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0E25" w14:textId="6A427345" w:rsidR="00773C9F" w:rsidRDefault="00773C9F" w:rsidP="00773C9F">
      <w:pPr>
        <w:outlineLvl w:val="0"/>
        <w:rPr>
          <w:rFonts w:ascii="Calibri" w:hAnsi="Calibri" w:cs="Calibri"/>
          <w:sz w:val="22"/>
          <w:szCs w:val="22"/>
          <w14:ligatures w14:val="none"/>
        </w:rPr>
      </w:pPr>
      <w:r>
        <w:rPr>
          <w:rFonts w:ascii="Calibri" w:hAnsi="Calibri" w:cs="Calibri"/>
          <w:b/>
          <w:bCs/>
          <w:sz w:val="22"/>
          <w:szCs w:val="22"/>
          <w14:ligatures w14:val="none"/>
        </w:rPr>
        <w:t>From:</w:t>
      </w:r>
      <w:r>
        <w:rPr>
          <w:rFonts w:ascii="Calibri" w:hAnsi="Calibri" w:cs="Calibri"/>
          <w:sz w:val="22"/>
          <w:szCs w:val="22"/>
          <w14:ligatures w14:val="none"/>
        </w:rPr>
        <w:t xml:space="preserve"> Morse, Ed </w:t>
      </w:r>
      <w:r>
        <w:rPr>
          <w:rFonts w:ascii="Calibri" w:hAnsi="Calibri" w:cs="Calibri"/>
          <w:sz w:val="22"/>
          <w:szCs w:val="22"/>
          <w14:ligatures w14:val="none"/>
        </w:rPr>
        <w:br/>
      </w:r>
      <w:r>
        <w:rPr>
          <w:rFonts w:ascii="Calibri" w:hAnsi="Calibri" w:cs="Calibri"/>
          <w:b/>
          <w:bCs/>
          <w:sz w:val="22"/>
          <w:szCs w:val="22"/>
          <w14:ligatures w14:val="none"/>
        </w:rPr>
        <w:t>Sent:</w:t>
      </w:r>
      <w:r>
        <w:rPr>
          <w:rFonts w:ascii="Calibri" w:hAnsi="Calibri" w:cs="Calibri"/>
          <w:sz w:val="22"/>
          <w:szCs w:val="22"/>
          <w14:ligatures w14:val="none"/>
        </w:rPr>
        <w:t xml:space="preserve"> Saturday, October 18, 2025 3:44 PM</w:t>
      </w:r>
      <w:r>
        <w:rPr>
          <w:rFonts w:ascii="Calibri" w:hAnsi="Calibri" w:cs="Calibri"/>
          <w:sz w:val="22"/>
          <w:szCs w:val="22"/>
          <w14:ligatures w14:val="none"/>
        </w:rPr>
        <w:br/>
      </w:r>
      <w:r>
        <w:rPr>
          <w:rFonts w:ascii="Calibri" w:hAnsi="Calibri" w:cs="Calibri"/>
          <w:b/>
          <w:bCs/>
          <w:sz w:val="22"/>
          <w:szCs w:val="22"/>
          <w14:ligatures w14:val="none"/>
        </w:rPr>
        <w:t>Subject:</w:t>
      </w:r>
      <w:r>
        <w:rPr>
          <w:rFonts w:ascii="Calibri" w:hAnsi="Calibri" w:cs="Calibri"/>
          <w:sz w:val="22"/>
          <w:szCs w:val="22"/>
          <w14:ligatures w14:val="none"/>
        </w:rPr>
        <w:t xml:space="preserve"> Support for the NAESB Standard Hydrogen Contract</w:t>
      </w:r>
    </w:p>
    <w:p w14:paraId="03298EB1" w14:textId="77777777" w:rsidR="00773C9F" w:rsidRDefault="00773C9F" w:rsidP="00773C9F"/>
    <w:p w14:paraId="6C53C955" w14:textId="77777777" w:rsidR="00773C9F" w:rsidRDefault="00773C9F" w:rsidP="00773C9F">
      <w:r>
        <w:t>Dear Mr. Booe,</w:t>
      </w:r>
    </w:p>
    <w:p w14:paraId="655FA216" w14:textId="77777777" w:rsidR="00773C9F" w:rsidRDefault="00773C9F" w:rsidP="00773C9F"/>
    <w:p w14:paraId="20DA1F9A" w14:textId="77777777" w:rsidR="00773C9F" w:rsidRDefault="00773C9F" w:rsidP="00773C9F">
      <w:r>
        <w:t>I want to thank NAESB for developing this standard Hydrogen Contract and I encourage the support of the WGQ Executive Committee on its October 23 vote.</w:t>
      </w:r>
    </w:p>
    <w:p w14:paraId="6AFB2937" w14:textId="77777777" w:rsidR="00773C9F" w:rsidRDefault="00773C9F" w:rsidP="00773C9F"/>
    <w:p w14:paraId="40690DC1" w14:textId="77777777" w:rsidR="00773C9F" w:rsidRDefault="00773C9F" w:rsidP="00773C9F">
      <w:r>
        <w:t xml:space="preserve">I am writing this as the co-chair of the Clean Hydrogen Transaction Advisory Committee (CH2TAC) to the Clean Hydrogen Buyers Alliance (CH2BA), itself a reflection of a decade- long study of hydrogen’s commercial uses as clean energy source.   In this capacity as CH2TAC co-chair I worked with about 20 people to prepare a report, “Accelerating the Hydrogen Market:  Establishing a Commodity Benchmark”.  As can be seen in the Executive Summary </w:t>
      </w:r>
      <w:hyperlink r:id="rId5" w:history="1">
        <w:r>
          <w:rPr>
            <w:rStyle w:val="Hyperlink"/>
          </w:rPr>
          <w:t>https://www.ch2ba.org/executive-summary</w:t>
        </w:r>
      </w:hyperlink>
      <w:r>
        <w:t xml:space="preserve">,  CH2TAC included people acting in their individual capacities from a diversity of companies such as American Honda Motor Company, California Governor’s Office of Business &amp; Economic Development (and the California Hydrogen Hub, ARCHES), Center for Houston’s Future, Chevron, Clean Energy Buyers Association (whose members include one-fifth of the Fortune 500),   GE Vernova, Green Strategies, Hartree Partners, H2X, Hydrogen Fuel Cell Partnership, New Waters Capital, Nikola, Open Hydrogen Initiative, Plug Power, Topsoe, Trane, Xpansiv and Walmart.    </w:t>
      </w:r>
    </w:p>
    <w:p w14:paraId="194178D0" w14:textId="77777777" w:rsidR="00773C9F" w:rsidRDefault="00773C9F" w:rsidP="00773C9F"/>
    <w:p w14:paraId="7FC472EA" w14:textId="77777777" w:rsidR="00773C9F" w:rsidRDefault="00773C9F" w:rsidP="00773C9F">
      <w:r>
        <w:t>Among other things, the CH2TAC report recommended using market mechanisms to reduce the need for government incentives.  Indeed, there was a consensus among the participants in the discussions leading up to the report that even without government incentives, in underlying markets demand was higher than available supply, and in many cases significantly higher. Ultra-low to negative carbon intensities of hydrogen, often labeled “green hydrogen” is another matter and is still an area in which demand has not materialized as rapidly as some people had hoped, resulted in abandonment or postponement of projects, providing a misleading conclusion about the continued rapidly growing demand for cleaner hydrogen. Such market mechanisms include establishing a Gulf Coast Hydrogen Index, which should significantly help in accelerating the growth of a hydrogen trading market. The report also observes the start of a global convergence of underlying carbon intensity standards for low-carbon hydrogen products across the US, the European Union, Japan and Korea, but also including Canada in North America and growing suppliers whether from the Middle East or Latin America.  Thus, the NAESB contract helps facilitate low carbon hydrogen transactions by North American companies both domestically and globally.</w:t>
      </w:r>
    </w:p>
    <w:p w14:paraId="2E79736B" w14:textId="77777777" w:rsidR="00773C9F" w:rsidRDefault="00773C9F" w:rsidP="00773C9F"/>
    <w:p w14:paraId="044DA5D1" w14:textId="77777777" w:rsidR="00773C9F" w:rsidRDefault="00773C9F" w:rsidP="00773C9F">
      <w:pPr>
        <w:rPr>
          <w:color w:val="212121"/>
        </w:rPr>
      </w:pPr>
      <w:r>
        <w:t xml:space="preserve">Coincidentally, the CH2TAC report was released within days of the status report by the Hydrogen Council, </w:t>
      </w:r>
      <w:r>
        <w:rPr>
          <w:i/>
          <w:iCs/>
        </w:rPr>
        <w:t>Global Hydrogen Compass 2025:  Industry progress and lessons learned from the first wave of mature clean hydrogen projects</w:t>
      </w:r>
      <w:r>
        <w:t xml:space="preserve">.   </w:t>
      </w:r>
      <w:r>
        <w:rPr>
          <w:color w:val="212121"/>
        </w:rPr>
        <w:t xml:space="preserve">This inaugural report in the Global Hydrogen Compass series reflects “qualitative and quantitative insights derived </w:t>
      </w:r>
      <w:r>
        <w:rPr>
          <w:color w:val="212121"/>
        </w:rPr>
        <w:lastRenderedPageBreak/>
        <w:t xml:space="preserve">from interactions with over 70 Hydrogen Council members gathered through a sentiment survey and direct conversations with CEOs across the value chain.”  It notes the “CEOs show confidence in hydrogen’s continued growth despite a challenging environment” and that 74% say their investment appetite in clean hydrogen and derivative projects is the same or higher than two years ago. This is supported by the fact that “committed investment in clean hydrogen has now surpassed $110 billion across 510 projects, up $35 billion from last year and growing at over 50% year-over-year since 2020.” </w:t>
      </w:r>
      <w:hyperlink r:id="rId6" w:history="1">
        <w:r>
          <w:rPr>
            <w:rStyle w:val="Hyperlink"/>
          </w:rPr>
          <w:t>https://compass.hydrogencouncil.com/wp-content/uploads/2025/09/Hydrogen-Council-Global-Hydrogen-Compass-2025.pdf</w:t>
        </w:r>
      </w:hyperlink>
      <w:r>
        <w:t xml:space="preserve"> </w:t>
      </w:r>
    </w:p>
    <w:p w14:paraId="31DF0384" w14:textId="77777777" w:rsidR="00773C9F" w:rsidRDefault="00773C9F" w:rsidP="00773C9F">
      <w:pPr>
        <w:rPr>
          <w:color w:val="212121"/>
        </w:rPr>
      </w:pPr>
    </w:p>
    <w:p w14:paraId="5396A875" w14:textId="77777777" w:rsidR="00773C9F" w:rsidRDefault="00773C9F" w:rsidP="00773C9F">
      <w:pPr>
        <w:rPr>
          <w:color w:val="212121"/>
        </w:rPr>
      </w:pPr>
      <w:r>
        <w:rPr>
          <w:color w:val="212121"/>
        </w:rPr>
        <w:t>Based on my decades of experience across multiple commodities, I know this NAESB Hydrogen Contract will make it easier for CH2BA members and others to:</w:t>
      </w:r>
    </w:p>
    <w:p w14:paraId="55C9719C" w14:textId="77777777" w:rsidR="00773C9F" w:rsidRDefault="00773C9F" w:rsidP="00773C9F">
      <w:pPr>
        <w:pStyle w:val="ListParagraph"/>
        <w:numPr>
          <w:ilvl w:val="0"/>
          <w:numId w:val="1"/>
        </w:numPr>
        <w:rPr>
          <w:rFonts w:eastAsia="Times New Roman"/>
        </w:rPr>
      </w:pPr>
      <w:r>
        <w:rPr>
          <w:rFonts w:eastAsia="Times New Roman"/>
          <w:color w:val="212121"/>
        </w:rPr>
        <w:t xml:space="preserve">attract investor capital, </w:t>
      </w:r>
    </w:p>
    <w:p w14:paraId="2C185719" w14:textId="77777777" w:rsidR="00773C9F" w:rsidRDefault="00773C9F" w:rsidP="00773C9F">
      <w:pPr>
        <w:pStyle w:val="ListParagraph"/>
        <w:numPr>
          <w:ilvl w:val="0"/>
          <w:numId w:val="1"/>
        </w:numPr>
        <w:rPr>
          <w:rFonts w:eastAsia="Times New Roman"/>
        </w:rPr>
      </w:pPr>
      <w:r>
        <w:rPr>
          <w:rFonts w:eastAsia="Times New Roman"/>
          <w:color w:val="212121"/>
        </w:rPr>
        <w:t xml:space="preserve">more quickly execute transactions, </w:t>
      </w:r>
    </w:p>
    <w:p w14:paraId="3CD2235D" w14:textId="77777777" w:rsidR="00773C9F" w:rsidRDefault="00773C9F" w:rsidP="00773C9F">
      <w:pPr>
        <w:pStyle w:val="ListParagraph"/>
        <w:numPr>
          <w:ilvl w:val="0"/>
          <w:numId w:val="1"/>
        </w:numPr>
        <w:rPr>
          <w:rFonts w:eastAsia="Times New Roman"/>
        </w:rPr>
      </w:pPr>
      <w:r>
        <w:rPr>
          <w:rFonts w:eastAsia="Times New Roman"/>
          <w:color w:val="212121"/>
        </w:rPr>
        <w:t xml:space="preserve">accomplish delivery,  </w:t>
      </w:r>
    </w:p>
    <w:p w14:paraId="64A372FC" w14:textId="77777777" w:rsidR="00773C9F" w:rsidRDefault="00773C9F" w:rsidP="00773C9F">
      <w:pPr>
        <w:pStyle w:val="ListParagraph"/>
        <w:numPr>
          <w:ilvl w:val="0"/>
          <w:numId w:val="1"/>
        </w:numPr>
        <w:rPr>
          <w:rFonts w:eastAsia="Times New Roman"/>
        </w:rPr>
      </w:pPr>
      <w:r>
        <w:rPr>
          <w:rFonts w:eastAsia="Times New Roman"/>
          <w:color w:val="212121"/>
        </w:rPr>
        <w:t xml:space="preserve">support claims of GHG reduction,  </w:t>
      </w:r>
    </w:p>
    <w:p w14:paraId="6D7F2355" w14:textId="77777777" w:rsidR="00773C9F" w:rsidRDefault="00773C9F" w:rsidP="00773C9F">
      <w:pPr>
        <w:pStyle w:val="ListParagraph"/>
        <w:numPr>
          <w:ilvl w:val="0"/>
          <w:numId w:val="1"/>
        </w:numPr>
        <w:rPr>
          <w:rFonts w:eastAsia="Times New Roman"/>
        </w:rPr>
      </w:pPr>
      <w:r>
        <w:rPr>
          <w:rFonts w:eastAsia="Times New Roman"/>
          <w:color w:val="212121"/>
        </w:rPr>
        <w:t xml:space="preserve">adjust their hydrogen volumes as their business conditions change and </w:t>
      </w:r>
    </w:p>
    <w:p w14:paraId="417B6266" w14:textId="77777777" w:rsidR="00773C9F" w:rsidRDefault="00773C9F" w:rsidP="00773C9F">
      <w:pPr>
        <w:pStyle w:val="ListParagraph"/>
        <w:numPr>
          <w:ilvl w:val="0"/>
          <w:numId w:val="1"/>
        </w:numPr>
        <w:rPr>
          <w:rFonts w:eastAsia="Times New Roman"/>
        </w:rPr>
      </w:pPr>
      <w:r>
        <w:rPr>
          <w:rFonts w:eastAsia="Times New Roman"/>
          <w:color w:val="212121"/>
        </w:rPr>
        <w:t>find a replacement counterparty if their seller (or buyer) fails to adequately perform.</w:t>
      </w:r>
    </w:p>
    <w:p w14:paraId="357AB9E6" w14:textId="77777777" w:rsidR="00773C9F" w:rsidRDefault="00773C9F" w:rsidP="00773C9F">
      <w:pPr>
        <w:pStyle w:val="ListParagraph"/>
      </w:pPr>
    </w:p>
    <w:p w14:paraId="403A7409" w14:textId="77777777" w:rsidR="00773C9F" w:rsidRDefault="00773C9F" w:rsidP="00773C9F">
      <w:pPr>
        <w:rPr>
          <w:color w:val="212121"/>
        </w:rPr>
      </w:pPr>
      <w:r>
        <w:t xml:space="preserve">For these reasons and the over-all concern about the potentially lower level of government incentives available, </w:t>
      </w:r>
      <w:r>
        <w:rPr>
          <w:i/>
          <w:iCs/>
          <w:color w:val="212121"/>
        </w:rPr>
        <w:t>I know that CH2BA intends to recommend usage of the NAESB Hydrogen Contract by its members</w:t>
      </w:r>
      <w:r>
        <w:rPr>
          <w:color w:val="212121"/>
        </w:rPr>
        <w:t xml:space="preserve">.   </w:t>
      </w:r>
    </w:p>
    <w:p w14:paraId="1D82620D" w14:textId="77777777" w:rsidR="00773C9F" w:rsidRDefault="00773C9F" w:rsidP="00773C9F">
      <w:pPr>
        <w:rPr>
          <w:color w:val="212121"/>
        </w:rPr>
      </w:pPr>
    </w:p>
    <w:p w14:paraId="2DF84BF7" w14:textId="77777777" w:rsidR="00773C9F" w:rsidRDefault="00773C9F" w:rsidP="00773C9F">
      <w:r>
        <w:rPr>
          <w:color w:val="212121"/>
        </w:rPr>
        <w:t>Thanks again to NAESB for voting to move forward with this standard hydrogen contract.   I look forward to helping CH2BA and NAESB entities with the use of the contract and growing the clean hydrogen market.</w:t>
      </w:r>
    </w:p>
    <w:p w14:paraId="298701E6" w14:textId="77777777" w:rsidR="00773C9F" w:rsidRDefault="00773C9F" w:rsidP="00773C9F"/>
    <w:p w14:paraId="3B608CC0" w14:textId="77777777" w:rsidR="00773C9F" w:rsidRDefault="00773C9F" w:rsidP="00773C9F">
      <w:r>
        <w:t>Sincerely,</w:t>
      </w:r>
    </w:p>
    <w:p w14:paraId="0204846F" w14:textId="77777777" w:rsidR="00773C9F" w:rsidRDefault="00773C9F" w:rsidP="00773C9F"/>
    <w:p w14:paraId="02595245" w14:textId="77777777" w:rsidR="00773C9F" w:rsidRDefault="00773C9F" w:rsidP="00773C9F">
      <w:pPr>
        <w:rPr>
          <w:sz w:val="28"/>
          <w:szCs w:val="28"/>
        </w:rPr>
      </w:pPr>
      <w:r>
        <w:rPr>
          <w:sz w:val="28"/>
          <w:szCs w:val="28"/>
        </w:rPr>
        <w:t>Ed Morse</w:t>
      </w:r>
    </w:p>
    <w:p w14:paraId="37B5E089" w14:textId="77777777" w:rsidR="00773C9F" w:rsidRDefault="00773C9F" w:rsidP="00773C9F">
      <w:pPr>
        <w:rPr>
          <w:sz w:val="28"/>
          <w:szCs w:val="28"/>
        </w:rPr>
      </w:pPr>
    </w:p>
    <w:p w14:paraId="5773AC79" w14:textId="4BAB1CD2" w:rsidR="00773C9F" w:rsidRDefault="00773C9F" w:rsidP="00773C9F">
      <w:pPr>
        <w:rPr>
          <w:color w:val="1F4E79"/>
          <w:lang w:val="en-GB" w:eastAsia="en-GB"/>
          <w14:ligatures w14:val="none"/>
        </w:rPr>
      </w:pPr>
      <w:r>
        <w:rPr>
          <w:noProof/>
        </w:rPr>
        <w:drawing>
          <wp:anchor distT="0" distB="0" distL="0" distR="114300" simplePos="0" relativeHeight="251659264" behindDoc="1" locked="0" layoutInCell="1" allowOverlap="1" wp14:anchorId="3479E1FE" wp14:editId="7AB1B2AF">
            <wp:simplePos x="0" y="0"/>
            <wp:positionH relativeFrom="column">
              <wp:posOffset>8255</wp:posOffset>
            </wp:positionH>
            <wp:positionV relativeFrom="paragraph">
              <wp:posOffset>16510</wp:posOffset>
            </wp:positionV>
            <wp:extent cx="1638300" cy="561340"/>
            <wp:effectExtent l="0" t="0" r="0" b="0"/>
            <wp:wrapSquare wrapText="bothSides"/>
            <wp:docPr id="436284448" name="Picture 1" descr="Ha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tre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561340"/>
                    </a:xfrm>
                    <a:prstGeom prst="rect">
                      <a:avLst/>
                    </a:prstGeom>
                    <a:noFill/>
                  </pic:spPr>
                </pic:pic>
              </a:graphicData>
            </a:graphic>
            <wp14:sizeRelH relativeFrom="page">
              <wp14:pctWidth>0</wp14:pctWidth>
            </wp14:sizeRelH>
            <wp14:sizeRelV relativeFrom="page">
              <wp14:pctHeight>0</wp14:pctHeight>
            </wp14:sizeRelV>
          </wp:anchor>
        </w:drawing>
      </w:r>
      <w:r>
        <w:rPr>
          <w:rFonts w:ascii="Candara" w:hAnsi="Candara"/>
          <w:b/>
          <w:bCs/>
          <w:color w:val="1F497D"/>
          <w:lang w:val="en-GB"/>
          <w14:ligatures w14:val="none"/>
        </w:rPr>
        <w:t>EDWARD L. MORSE,  Senior Advisor and Commodities Strategist</w:t>
      </w:r>
      <w:r>
        <w:rPr>
          <w:color w:val="1F4E79"/>
          <w:lang w:val="en-GB" w:eastAsia="en-GB"/>
          <w14:ligatures w14:val="none"/>
        </w:rPr>
        <w:t xml:space="preserve">  </w:t>
      </w:r>
      <w:r>
        <w:rPr>
          <w:rFonts w:ascii="Candara" w:hAnsi="Candara"/>
          <w:color w:val="1F497D"/>
          <w:lang w:val="en-GB" w:eastAsia="en-GB"/>
          <w14:ligatures w14:val="none"/>
        </w:rPr>
        <w:t>|</w:t>
      </w:r>
      <w:r>
        <w:rPr>
          <w:rFonts w:ascii="Candara" w:hAnsi="Candara"/>
          <w:b/>
          <w:bCs/>
          <w:color w:val="1F497D"/>
          <w:lang w:val="en-GB" w:eastAsia="en-GB"/>
          <w14:ligatures w14:val="none"/>
        </w:rPr>
        <w:t>  Hartree Partners LP</w:t>
      </w:r>
    </w:p>
    <w:p w14:paraId="0BAC85D0" w14:textId="77777777" w:rsidR="00773C9F" w:rsidRDefault="00773C9F" w:rsidP="00773C9F">
      <w:pPr>
        <w:rPr>
          <w:rFonts w:ascii="Candara" w:hAnsi="Candara"/>
          <w:color w:val="1F497D"/>
          <w:lang w:val="en-GB" w:eastAsia="en-GB"/>
          <w14:ligatures w14:val="none"/>
        </w:rPr>
      </w:pPr>
      <w:r>
        <w:rPr>
          <w:rFonts w:ascii="Candara" w:hAnsi="Candara"/>
          <w:color w:val="1F497D"/>
          <w:lang w:val="en-GB" w:eastAsia="en-GB"/>
          <w14:ligatures w14:val="none"/>
        </w:rPr>
        <w:t>1185 Avenue of the Americas | New York, NY 10036</w:t>
      </w:r>
    </w:p>
    <w:p w14:paraId="31C98530"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14452"/>
    <w:multiLevelType w:val="hybridMultilevel"/>
    <w:tmpl w:val="02967D7A"/>
    <w:lvl w:ilvl="0" w:tplc="79E262C2">
      <w:start w:val="1"/>
      <w:numFmt w:val="bullet"/>
      <w:lvlText w:val=""/>
      <w:lvlJc w:val="left"/>
      <w:pPr>
        <w:ind w:left="720" w:hanging="360"/>
      </w:pPr>
      <w:rPr>
        <w:rFonts w:ascii="Symbol" w:eastAsia="Times New Roman" w:hAnsi="Symbol" w:cs="Calibri" w:hint="default"/>
        <w:color w:val="2121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6830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F"/>
    <w:rsid w:val="000A68CE"/>
    <w:rsid w:val="00160E1C"/>
    <w:rsid w:val="00550F83"/>
    <w:rsid w:val="00773C9F"/>
    <w:rsid w:val="00833B75"/>
    <w:rsid w:val="00F6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DD56"/>
  <w15:chartTrackingRefBased/>
  <w15:docId w15:val="{6609B96C-AAAB-4927-9CCF-1D93EC2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9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73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C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C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C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C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C9F"/>
    <w:rPr>
      <w:rFonts w:eastAsiaTheme="majorEastAsia" w:cstheme="majorBidi"/>
      <w:color w:val="272727" w:themeColor="text1" w:themeTint="D8"/>
    </w:rPr>
  </w:style>
  <w:style w:type="paragraph" w:styleId="Title">
    <w:name w:val="Title"/>
    <w:basedOn w:val="Normal"/>
    <w:next w:val="Normal"/>
    <w:link w:val="TitleChar"/>
    <w:uiPriority w:val="10"/>
    <w:qFormat/>
    <w:rsid w:val="00773C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C9F"/>
    <w:pPr>
      <w:spacing w:before="160"/>
      <w:jc w:val="center"/>
    </w:pPr>
    <w:rPr>
      <w:i/>
      <w:iCs/>
      <w:color w:val="404040" w:themeColor="text1" w:themeTint="BF"/>
    </w:rPr>
  </w:style>
  <w:style w:type="character" w:customStyle="1" w:styleId="QuoteChar">
    <w:name w:val="Quote Char"/>
    <w:basedOn w:val="DefaultParagraphFont"/>
    <w:link w:val="Quote"/>
    <w:uiPriority w:val="29"/>
    <w:rsid w:val="00773C9F"/>
    <w:rPr>
      <w:i/>
      <w:iCs/>
      <w:color w:val="404040" w:themeColor="text1" w:themeTint="BF"/>
    </w:rPr>
  </w:style>
  <w:style w:type="paragraph" w:styleId="ListParagraph">
    <w:name w:val="List Paragraph"/>
    <w:basedOn w:val="Normal"/>
    <w:uiPriority w:val="34"/>
    <w:qFormat/>
    <w:rsid w:val="00773C9F"/>
    <w:pPr>
      <w:ind w:left="720"/>
      <w:contextualSpacing/>
    </w:pPr>
  </w:style>
  <w:style w:type="character" w:styleId="IntenseEmphasis">
    <w:name w:val="Intense Emphasis"/>
    <w:basedOn w:val="DefaultParagraphFont"/>
    <w:uiPriority w:val="21"/>
    <w:qFormat/>
    <w:rsid w:val="00773C9F"/>
    <w:rPr>
      <w:i/>
      <w:iCs/>
      <w:color w:val="2F5496" w:themeColor="accent1" w:themeShade="BF"/>
    </w:rPr>
  </w:style>
  <w:style w:type="paragraph" w:styleId="IntenseQuote">
    <w:name w:val="Intense Quote"/>
    <w:basedOn w:val="Normal"/>
    <w:next w:val="Normal"/>
    <w:link w:val="IntenseQuoteChar"/>
    <w:uiPriority w:val="30"/>
    <w:qFormat/>
    <w:rsid w:val="00773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C9F"/>
    <w:rPr>
      <w:i/>
      <w:iCs/>
      <w:color w:val="2F5496" w:themeColor="accent1" w:themeShade="BF"/>
    </w:rPr>
  </w:style>
  <w:style w:type="character" w:styleId="IntenseReference">
    <w:name w:val="Intense Reference"/>
    <w:basedOn w:val="DefaultParagraphFont"/>
    <w:uiPriority w:val="32"/>
    <w:qFormat/>
    <w:rsid w:val="00773C9F"/>
    <w:rPr>
      <w:b/>
      <w:bCs/>
      <w:smallCaps/>
      <w:color w:val="2F5496" w:themeColor="accent1" w:themeShade="BF"/>
      <w:spacing w:val="5"/>
    </w:rPr>
  </w:style>
  <w:style w:type="character" w:styleId="Hyperlink">
    <w:name w:val="Hyperlink"/>
    <w:basedOn w:val="DefaultParagraphFont"/>
    <w:uiPriority w:val="99"/>
    <w:semiHidden/>
    <w:unhideWhenUsed/>
    <w:rsid w:val="00773C9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ass.hydrogencouncil.com/wp-content/uploads/2025/09/Hydrogen-Council-Global-Hydrogen-Compass-2025.pdf" TargetMode="External"/><Relationship Id="rId5" Type="http://schemas.openxmlformats.org/officeDocument/2006/relationships/hyperlink" Target="https://www.ch2ba.org/executive-summ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2</cp:revision>
  <dcterms:created xsi:type="dcterms:W3CDTF">2025-10-20T17:18:00Z</dcterms:created>
  <dcterms:modified xsi:type="dcterms:W3CDTF">2025-10-20T17:18:00Z</dcterms:modified>
</cp:coreProperties>
</file>