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B05E" w14:textId="77777777" w:rsidR="00C60697" w:rsidRDefault="00C60697" w:rsidP="00C60697">
      <w:pPr>
        <w:outlineLvl w:val="0"/>
        <w:rPr>
          <w:rFonts w:ascii="Calibri" w:hAnsi="Calibri"/>
          <w14:ligatures w14:val="none"/>
        </w:rPr>
      </w:pPr>
      <w:r>
        <w:rPr>
          <w:rFonts w:ascii="Calibri" w:hAnsi="Calibri"/>
          <w:b/>
          <w:bCs/>
          <w14:ligatures w14:val="none"/>
        </w:rPr>
        <w:t>From:</w:t>
      </w:r>
      <w:r>
        <w:rPr>
          <w:rFonts w:ascii="Calibri" w:hAnsi="Calibri"/>
          <w14:ligatures w14:val="none"/>
        </w:rPr>
        <w:t xml:space="preserve"> Morse, Ed &lt;</w:t>
      </w:r>
      <w:hyperlink r:id="rId4" w:history="1">
        <w:r>
          <w:rPr>
            <w:rStyle w:val="Hyperlink"/>
            <w:rFonts w:ascii="Calibri" w:hAnsi="Calibri"/>
            <w14:ligatures w14:val="none"/>
          </w:rPr>
          <w:t>EMORSE@hartreepartners.com</w:t>
        </w:r>
      </w:hyperlink>
      <w:r>
        <w:rPr>
          <w:rFonts w:ascii="Calibri" w:hAnsi="Calibri"/>
          <w14:ligatures w14:val="none"/>
        </w:rPr>
        <w:t xml:space="preserve">&gt; </w:t>
      </w:r>
      <w:r>
        <w:rPr>
          <w:rFonts w:ascii="Calibri" w:hAnsi="Calibri"/>
          <w14:ligatures w14:val="none"/>
        </w:rPr>
        <w:br/>
      </w:r>
      <w:r>
        <w:rPr>
          <w:rFonts w:ascii="Calibri" w:hAnsi="Calibri"/>
          <w:b/>
          <w:bCs/>
          <w14:ligatures w14:val="none"/>
        </w:rPr>
        <w:t>Sent:</w:t>
      </w:r>
      <w:r>
        <w:rPr>
          <w:rFonts w:ascii="Calibri" w:hAnsi="Calibri"/>
          <w14:ligatures w14:val="none"/>
        </w:rPr>
        <w:t xml:space="preserve"> Monday, June 16, 2025 3:06 PM</w:t>
      </w:r>
      <w:r>
        <w:rPr>
          <w:rFonts w:ascii="Calibri" w:hAnsi="Calibri"/>
          <w14:ligatures w14:val="none"/>
        </w:rPr>
        <w:br/>
      </w:r>
      <w:r>
        <w:rPr>
          <w:rFonts w:ascii="Calibri" w:hAnsi="Calibri"/>
          <w:b/>
          <w:bCs/>
          <w14:ligatures w14:val="none"/>
        </w:rPr>
        <w:t>To:</w:t>
      </w:r>
      <w:r>
        <w:rPr>
          <w:rFonts w:ascii="Calibri" w:hAnsi="Calibri"/>
          <w14:ligatures w14:val="none"/>
        </w:rPr>
        <w:t xml:space="preserve"> Rae McQuade &lt;</w:t>
      </w:r>
      <w:hyperlink r:id="rId5" w:history="1">
        <w:r>
          <w:rPr>
            <w:rStyle w:val="Hyperlink"/>
            <w:rFonts w:ascii="Calibri" w:hAnsi="Calibri"/>
            <w14:ligatures w14:val="none"/>
          </w:rPr>
          <w:t>rmcquade@naesb.org</w:t>
        </w:r>
      </w:hyperlink>
      <w:r>
        <w:rPr>
          <w:rFonts w:ascii="Calibri" w:hAnsi="Calibri"/>
          <w14:ligatures w14:val="none"/>
        </w:rPr>
        <w:t>&gt;</w:t>
      </w:r>
      <w:r>
        <w:rPr>
          <w:rFonts w:ascii="Calibri" w:hAnsi="Calibri"/>
          <w14:ligatures w14:val="none"/>
        </w:rPr>
        <w:br/>
      </w:r>
      <w:r>
        <w:rPr>
          <w:rFonts w:ascii="Calibri" w:hAnsi="Calibri"/>
          <w:b/>
          <w:bCs/>
          <w14:ligatures w14:val="none"/>
        </w:rPr>
        <w:t>Cc:</w:t>
      </w:r>
      <w:r>
        <w:rPr>
          <w:rFonts w:ascii="Calibri" w:hAnsi="Calibri"/>
          <w14:ligatures w14:val="none"/>
        </w:rPr>
        <w:t xml:space="preserve"> Jonathan Booe &lt;</w:t>
      </w:r>
      <w:hyperlink r:id="rId6" w:history="1">
        <w:r>
          <w:rPr>
            <w:rStyle w:val="Hyperlink"/>
            <w:rFonts w:ascii="Calibri" w:hAnsi="Calibri"/>
            <w14:ligatures w14:val="none"/>
          </w:rPr>
          <w:t>jbooe@naesb.org</w:t>
        </w:r>
      </w:hyperlink>
      <w:r>
        <w:rPr>
          <w:rFonts w:ascii="Calibri" w:hAnsi="Calibri"/>
          <w14:ligatures w14:val="none"/>
        </w:rPr>
        <w:t>&gt;</w:t>
      </w:r>
      <w:r>
        <w:rPr>
          <w:rFonts w:ascii="Calibri" w:hAnsi="Calibri"/>
          <w14:ligatures w14:val="none"/>
        </w:rPr>
        <w:br/>
      </w:r>
      <w:r>
        <w:rPr>
          <w:rFonts w:ascii="Calibri" w:hAnsi="Calibri"/>
          <w:b/>
          <w:bCs/>
          <w14:ligatures w14:val="none"/>
        </w:rPr>
        <w:t>Subject:</w:t>
      </w:r>
      <w:r>
        <w:rPr>
          <w:rFonts w:ascii="Calibri" w:hAnsi="Calibri"/>
          <w14:ligatures w14:val="none"/>
        </w:rPr>
        <w:t xml:space="preserve"> Support for the NAESB Standard Hydrogen Contract</w:t>
      </w:r>
    </w:p>
    <w:p w14:paraId="169CF006" w14:textId="77777777" w:rsidR="00C60697" w:rsidRDefault="00C60697" w:rsidP="00C60697"/>
    <w:p w14:paraId="1DB0E2E9" w14:textId="77777777" w:rsidR="00C60697" w:rsidRDefault="00C60697" w:rsidP="00C60697">
      <w:pPr>
        <w:rPr>
          <w:sz w:val="24"/>
          <w:szCs w:val="24"/>
        </w:rPr>
      </w:pPr>
      <w:r>
        <w:rPr>
          <w:sz w:val="24"/>
          <w:szCs w:val="24"/>
        </w:rPr>
        <w:t>To:         Rae McQuade</w:t>
      </w:r>
    </w:p>
    <w:p w14:paraId="25FDB81F" w14:textId="77777777" w:rsidR="00C60697" w:rsidRDefault="00C60697" w:rsidP="00C60697">
      <w:pPr>
        <w:rPr>
          <w:sz w:val="24"/>
          <w:szCs w:val="24"/>
        </w:rPr>
      </w:pPr>
      <w:r>
        <w:rPr>
          <w:sz w:val="24"/>
          <w:szCs w:val="24"/>
        </w:rPr>
        <w:t>                President, North American Energy Standards Board</w:t>
      </w:r>
    </w:p>
    <w:p w14:paraId="118D4EF0" w14:textId="77777777" w:rsidR="00C60697" w:rsidRDefault="00C60697" w:rsidP="00C60697">
      <w:pPr>
        <w:rPr>
          <w:sz w:val="24"/>
          <w:szCs w:val="24"/>
        </w:rPr>
      </w:pPr>
      <w:r>
        <w:rPr>
          <w:sz w:val="24"/>
          <w:szCs w:val="24"/>
        </w:rPr>
        <w:t>                1415 Louisiana, Suite 3460</w:t>
      </w:r>
    </w:p>
    <w:p w14:paraId="751A0036" w14:textId="77777777" w:rsidR="00C60697" w:rsidRDefault="00C60697" w:rsidP="00C60697">
      <w:pPr>
        <w:rPr>
          <w:sz w:val="24"/>
          <w:szCs w:val="24"/>
        </w:rPr>
      </w:pPr>
      <w:r>
        <w:rPr>
          <w:sz w:val="24"/>
          <w:szCs w:val="24"/>
        </w:rPr>
        <w:t>                Houston, Texas 77002</w:t>
      </w:r>
    </w:p>
    <w:p w14:paraId="01870C36" w14:textId="77777777" w:rsidR="00C60697" w:rsidRDefault="00C60697" w:rsidP="00C60697">
      <w:pPr>
        <w:rPr>
          <w:sz w:val="24"/>
          <w:szCs w:val="24"/>
        </w:rPr>
      </w:pPr>
    </w:p>
    <w:p w14:paraId="34EC1902" w14:textId="77777777" w:rsidR="00C60697" w:rsidRDefault="00C60697" w:rsidP="00C60697">
      <w:pPr>
        <w:rPr>
          <w:sz w:val="24"/>
          <w:szCs w:val="24"/>
        </w:rPr>
      </w:pPr>
      <w:r>
        <w:rPr>
          <w:sz w:val="24"/>
          <w:szCs w:val="24"/>
        </w:rPr>
        <w:t>Cc:        Jonathan Booe</w:t>
      </w:r>
    </w:p>
    <w:p w14:paraId="60882DB4" w14:textId="77777777" w:rsidR="00C60697" w:rsidRDefault="00C60697" w:rsidP="00C60697">
      <w:pPr>
        <w:rPr>
          <w:sz w:val="24"/>
          <w:szCs w:val="24"/>
        </w:rPr>
      </w:pPr>
      <w:r>
        <w:rPr>
          <w:sz w:val="24"/>
          <w:szCs w:val="24"/>
        </w:rPr>
        <w:t>                Executive Vice President &amp; Chief Operating Officer</w:t>
      </w:r>
    </w:p>
    <w:p w14:paraId="634E3EC6" w14:textId="77777777" w:rsidR="00C60697" w:rsidRDefault="00C60697" w:rsidP="00C60697">
      <w:pPr>
        <w:rPr>
          <w:sz w:val="24"/>
          <w:szCs w:val="24"/>
        </w:rPr>
      </w:pPr>
      <w:r>
        <w:rPr>
          <w:sz w:val="24"/>
          <w:szCs w:val="24"/>
        </w:rPr>
        <w:t>                North American Energy Standards Board</w:t>
      </w:r>
    </w:p>
    <w:p w14:paraId="4BCB1522" w14:textId="77777777" w:rsidR="00C60697" w:rsidRDefault="00C60697" w:rsidP="00C60697">
      <w:pPr>
        <w:rPr>
          <w:sz w:val="24"/>
          <w:szCs w:val="24"/>
        </w:rPr>
      </w:pPr>
    </w:p>
    <w:p w14:paraId="48F6A613" w14:textId="77777777" w:rsidR="00C60697" w:rsidRDefault="00C60697" w:rsidP="00C60697">
      <w:pPr>
        <w:rPr>
          <w:sz w:val="24"/>
          <w:szCs w:val="24"/>
        </w:rPr>
      </w:pPr>
      <w:r>
        <w:rPr>
          <w:sz w:val="24"/>
          <w:szCs w:val="24"/>
        </w:rPr>
        <w:t>Dear Ms. McQuade</w:t>
      </w:r>
    </w:p>
    <w:p w14:paraId="394DEFE2" w14:textId="77777777" w:rsidR="00C60697" w:rsidRDefault="00C60697" w:rsidP="00C60697">
      <w:pPr>
        <w:rPr>
          <w:sz w:val="24"/>
          <w:szCs w:val="24"/>
        </w:rPr>
      </w:pPr>
    </w:p>
    <w:p w14:paraId="7DF887CA" w14:textId="77777777" w:rsidR="00C60697" w:rsidRDefault="00C60697" w:rsidP="00C60697">
      <w:pPr>
        <w:rPr>
          <w:sz w:val="24"/>
          <w:szCs w:val="24"/>
        </w:rPr>
      </w:pPr>
      <w:r>
        <w:rPr>
          <w:sz w:val="24"/>
          <w:szCs w:val="24"/>
        </w:rPr>
        <w:t xml:space="preserve">By way of background, I have spent over five decades in professional positions in commodities (and the energy sector in particular), including the bulk of these positions directly related to markets and trading.  I also want to express my support to NAESB for developing a standard hydrogen contract.  </w:t>
      </w:r>
    </w:p>
    <w:p w14:paraId="427E56A8" w14:textId="77777777" w:rsidR="00C60697" w:rsidRDefault="00C60697" w:rsidP="00C60697">
      <w:pPr>
        <w:rPr>
          <w:sz w:val="24"/>
          <w:szCs w:val="24"/>
        </w:rPr>
      </w:pPr>
      <w:r>
        <w:rPr>
          <w:sz w:val="24"/>
          <w:szCs w:val="24"/>
        </w:rPr>
        <w:t> </w:t>
      </w:r>
    </w:p>
    <w:p w14:paraId="03CF31B1" w14:textId="77777777" w:rsidR="00C60697" w:rsidRDefault="00C60697" w:rsidP="00C60697">
      <w:pPr>
        <w:rPr>
          <w:sz w:val="24"/>
          <w:szCs w:val="24"/>
        </w:rPr>
      </w:pPr>
      <w:r>
        <w:rPr>
          <w:sz w:val="24"/>
          <w:szCs w:val="24"/>
        </w:rPr>
        <w:t xml:space="preserve">During my career I have participated directly in energy markets as trading began to flourish and as benchmarks were first developed and as liquidity blossomed.  I founded a consulting company specifically designed to assist trading companies in understanding these market developments, which enabled me to actually create and head up the commodities strategies teams at three major financial institutions – Lehman Bros., Credit Suisse, and Citibank. I currently am the Senior Advisor and Commodities Strategist for Hartree Partners LP </w:t>
      </w:r>
      <w:hyperlink r:id="rId7" w:history="1">
        <w:r>
          <w:rPr>
            <w:rStyle w:val="Hyperlink"/>
            <w:sz w:val="24"/>
            <w:szCs w:val="24"/>
          </w:rPr>
          <w:t>https://www.hartreepartners.com</w:t>
        </w:r>
      </w:hyperlink>
      <w:r>
        <w:rPr>
          <w:sz w:val="24"/>
          <w:szCs w:val="24"/>
        </w:rPr>
        <w:t>, which is probably the largest US based privately own commodities firm, and which both owns commodity assets and trades physical and derivative markets across the entire commodity spectrum (including oil, natural gas, power, metals (including critical minerals for battery power), and agricultural commodities (including biofuels). I also published a number of pathbreaking studies on Hydrogen for Citi’s GPS Reports, which are generally available to the public, and I worked as an advisor to Citi’s bankers on clean energy, including hydrogen.</w:t>
      </w:r>
    </w:p>
    <w:p w14:paraId="3EB211CB" w14:textId="77777777" w:rsidR="00C60697" w:rsidRDefault="00C60697" w:rsidP="00C60697">
      <w:pPr>
        <w:rPr>
          <w:sz w:val="24"/>
          <w:szCs w:val="24"/>
        </w:rPr>
      </w:pPr>
      <w:r>
        <w:rPr>
          <w:color w:val="161B2D"/>
          <w:sz w:val="24"/>
          <w:szCs w:val="24"/>
        </w:rPr>
        <w:t> </w:t>
      </w:r>
    </w:p>
    <w:p w14:paraId="50615EF4" w14:textId="77777777" w:rsidR="00C60697" w:rsidRDefault="00C60697" w:rsidP="00C60697">
      <w:pPr>
        <w:rPr>
          <w:sz w:val="24"/>
          <w:szCs w:val="24"/>
        </w:rPr>
      </w:pPr>
      <w:r>
        <w:rPr>
          <w:color w:val="161B2D"/>
          <w:sz w:val="24"/>
          <w:szCs w:val="24"/>
        </w:rPr>
        <w:t>NAESB’s contract plays a key role in facilitating a liquid, efficient natural gas market.   I see NAESB’s standard hydrogen contract playing a similar role in facilitating a liquid, efficient hydrogen market – particularly with the carbon intensity and energy attribute certificate features.</w:t>
      </w:r>
    </w:p>
    <w:p w14:paraId="4284980C" w14:textId="77777777" w:rsidR="00C60697" w:rsidRDefault="00C60697" w:rsidP="00C60697">
      <w:pPr>
        <w:rPr>
          <w:sz w:val="24"/>
          <w:szCs w:val="24"/>
        </w:rPr>
      </w:pPr>
      <w:r>
        <w:rPr>
          <w:color w:val="161B2D"/>
          <w:sz w:val="24"/>
          <w:szCs w:val="24"/>
        </w:rPr>
        <w:t> </w:t>
      </w:r>
    </w:p>
    <w:p w14:paraId="73C9E34A" w14:textId="77777777" w:rsidR="00C60697" w:rsidRDefault="00C60697" w:rsidP="00C60697">
      <w:pPr>
        <w:rPr>
          <w:color w:val="161B2D"/>
          <w:sz w:val="24"/>
          <w:szCs w:val="24"/>
        </w:rPr>
      </w:pPr>
      <w:r>
        <w:rPr>
          <w:color w:val="161B2D"/>
          <w:sz w:val="24"/>
          <w:szCs w:val="24"/>
        </w:rPr>
        <w:t>Thank you for moving forward on this contract on June 26.</w:t>
      </w:r>
    </w:p>
    <w:p w14:paraId="23219368" w14:textId="77777777" w:rsidR="00C60697" w:rsidRDefault="00C60697" w:rsidP="00C60697">
      <w:pPr>
        <w:rPr>
          <w:color w:val="161B2D"/>
          <w:sz w:val="24"/>
          <w:szCs w:val="24"/>
        </w:rPr>
      </w:pPr>
    </w:p>
    <w:p w14:paraId="5A20CAA1" w14:textId="77777777" w:rsidR="00C60697" w:rsidRDefault="00C60697" w:rsidP="00C60697">
      <w:pPr>
        <w:rPr>
          <w:color w:val="161B2D"/>
          <w:sz w:val="24"/>
          <w:szCs w:val="24"/>
        </w:rPr>
      </w:pPr>
      <w:r>
        <w:rPr>
          <w:color w:val="161B2D"/>
          <w:sz w:val="24"/>
          <w:szCs w:val="24"/>
        </w:rPr>
        <w:t>Sincerely</w:t>
      </w:r>
    </w:p>
    <w:p w14:paraId="370A7820" w14:textId="77777777" w:rsidR="00C60697" w:rsidRDefault="00C60697" w:rsidP="00C60697">
      <w:pPr>
        <w:rPr>
          <w:color w:val="161B2D"/>
          <w:sz w:val="24"/>
          <w:szCs w:val="24"/>
        </w:rPr>
      </w:pPr>
    </w:p>
    <w:p w14:paraId="27AF4436" w14:textId="77777777" w:rsidR="00C60697" w:rsidRDefault="00C60697" w:rsidP="00C60697">
      <w:pPr>
        <w:rPr>
          <w:sz w:val="24"/>
          <w:szCs w:val="24"/>
        </w:rPr>
      </w:pPr>
      <w:r>
        <w:rPr>
          <w:color w:val="161B2D"/>
          <w:sz w:val="24"/>
          <w:szCs w:val="24"/>
        </w:rPr>
        <w:t>Ed Morse</w:t>
      </w:r>
    </w:p>
    <w:p w14:paraId="09D88444" w14:textId="77777777" w:rsidR="00C60697" w:rsidRDefault="00C60697" w:rsidP="00C60697"/>
    <w:p w14:paraId="5256E477" w14:textId="77777777" w:rsidR="00C60697" w:rsidRDefault="00C60697" w:rsidP="00C60697">
      <w:pPr>
        <w:rPr>
          <w:color w:val="1F4E79"/>
          <w:sz w:val="24"/>
          <w:szCs w:val="24"/>
          <w:lang w:val="en-GB" w:eastAsia="en-GB"/>
          <w14:ligatures w14:val="none"/>
        </w:rPr>
      </w:pPr>
      <w:r>
        <w:rPr>
          <w:noProof/>
        </w:rPr>
        <w:drawing>
          <wp:anchor distT="0" distB="0" distL="0" distR="114300" simplePos="0" relativeHeight="251658240" behindDoc="1" locked="0" layoutInCell="1" allowOverlap="1" wp14:anchorId="17249E39" wp14:editId="72D6A24F">
            <wp:simplePos x="0" y="0"/>
            <wp:positionH relativeFrom="column">
              <wp:posOffset>8255</wp:posOffset>
            </wp:positionH>
            <wp:positionV relativeFrom="paragraph">
              <wp:posOffset>16510</wp:posOffset>
            </wp:positionV>
            <wp:extent cx="1638300" cy="561340"/>
            <wp:effectExtent l="0" t="0" r="0" b="0"/>
            <wp:wrapSquare wrapText="bothSides"/>
            <wp:docPr id="1" name="Picture 1" descr="Har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t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561340"/>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b/>
          <w:bCs/>
          <w:color w:val="1F497D"/>
          <w:sz w:val="24"/>
          <w:szCs w:val="24"/>
          <w:lang w:val="en-GB"/>
          <w14:ligatures w14:val="none"/>
        </w:rPr>
        <w:t>EDWARD L. MORSE (Ph.D.),  Senior Advisor and Commodities Strategist</w:t>
      </w:r>
      <w:r>
        <w:rPr>
          <w:color w:val="1F4E79"/>
          <w:sz w:val="24"/>
          <w:szCs w:val="24"/>
          <w:lang w:val="en-GB" w:eastAsia="en-GB"/>
          <w14:ligatures w14:val="none"/>
        </w:rPr>
        <w:t xml:space="preserve">  </w:t>
      </w:r>
      <w:r>
        <w:rPr>
          <w:rFonts w:ascii="Candara" w:hAnsi="Candara"/>
          <w:color w:val="1F497D"/>
          <w:sz w:val="24"/>
          <w:szCs w:val="24"/>
          <w:lang w:val="en-GB" w:eastAsia="en-GB"/>
          <w14:ligatures w14:val="none"/>
        </w:rPr>
        <w:t>|</w:t>
      </w:r>
      <w:r>
        <w:rPr>
          <w:rFonts w:ascii="Candara" w:hAnsi="Candara"/>
          <w:b/>
          <w:bCs/>
          <w:color w:val="1F497D"/>
          <w:sz w:val="24"/>
          <w:szCs w:val="24"/>
          <w:lang w:val="en-GB" w:eastAsia="en-GB"/>
          <w14:ligatures w14:val="none"/>
        </w:rPr>
        <w:t>  Hartree Partners LP</w:t>
      </w:r>
    </w:p>
    <w:p w14:paraId="6A87992C" w14:textId="77777777" w:rsidR="00C60697" w:rsidRDefault="00C60697" w:rsidP="00C60697">
      <w:pPr>
        <w:rPr>
          <w:rFonts w:ascii="Candara" w:hAnsi="Candara"/>
          <w:color w:val="1F497D"/>
          <w:sz w:val="24"/>
          <w:szCs w:val="24"/>
          <w:lang w:val="en-GB" w:eastAsia="en-GB"/>
          <w14:ligatures w14:val="none"/>
        </w:rPr>
      </w:pPr>
      <w:r>
        <w:rPr>
          <w:rFonts w:ascii="Candara" w:hAnsi="Candara"/>
          <w:color w:val="1F497D"/>
          <w:sz w:val="24"/>
          <w:szCs w:val="24"/>
          <w:lang w:val="en-GB" w:eastAsia="en-GB"/>
          <w14:ligatures w14:val="none"/>
        </w:rPr>
        <w:t>1185 Avenue of the Americas | New York, NY 10036</w:t>
      </w:r>
    </w:p>
    <w:p w14:paraId="6F0C150F" w14:textId="77777777" w:rsidR="00C60697" w:rsidRDefault="00C60697" w:rsidP="00C60697">
      <w:pPr>
        <w:rPr>
          <w:sz w:val="24"/>
          <w:szCs w:val="24"/>
          <w14:ligatures w14:val="none"/>
        </w:rPr>
      </w:pPr>
      <w:r>
        <w:rPr>
          <w:rFonts w:ascii="Candara" w:hAnsi="Candara"/>
          <w:b/>
          <w:bCs/>
          <w:color w:val="1F497D"/>
          <w:sz w:val="24"/>
          <w:szCs w:val="24"/>
          <w:lang w:eastAsia="ja-JP"/>
          <w14:ligatures w14:val="none"/>
        </w:rPr>
        <w:t>T</w:t>
      </w:r>
      <w:r>
        <w:rPr>
          <w:rFonts w:ascii="Candara" w:hAnsi="Candara"/>
          <w:color w:val="1F497D"/>
          <w:sz w:val="24"/>
          <w:szCs w:val="24"/>
          <w:lang w:eastAsia="ja-JP"/>
          <w14:ligatures w14:val="none"/>
        </w:rPr>
        <w:t xml:space="preserve"> +1 646 584-2262 </w:t>
      </w:r>
      <w:r>
        <w:rPr>
          <w:rFonts w:ascii="Candara" w:hAnsi="Candara"/>
          <w:b/>
          <w:bCs/>
          <w:color w:val="1F497D"/>
          <w:sz w:val="24"/>
          <w:szCs w:val="24"/>
          <w:lang w:val="en-GB" w:eastAsia="en-GB"/>
          <w14:ligatures w14:val="none"/>
        </w:rPr>
        <w:t xml:space="preserve">| M </w:t>
      </w:r>
      <w:r>
        <w:rPr>
          <w:rFonts w:ascii="Candara" w:hAnsi="Candara"/>
          <w:color w:val="1F497D"/>
          <w:sz w:val="24"/>
          <w:szCs w:val="24"/>
          <w:lang w:eastAsia="ja-JP"/>
          <w14:ligatures w14:val="none"/>
        </w:rPr>
        <w:t xml:space="preserve">+1 917 445-3739 </w:t>
      </w:r>
      <w:r>
        <w:rPr>
          <w:rFonts w:ascii="Candara" w:hAnsi="Candara"/>
          <w:b/>
          <w:bCs/>
          <w:color w:val="1F497D"/>
          <w:sz w:val="24"/>
          <w:szCs w:val="24"/>
          <w:lang w:val="en-GB" w:eastAsia="en-GB"/>
          <w14:ligatures w14:val="none"/>
        </w:rPr>
        <w:t xml:space="preserve"> | E </w:t>
      </w:r>
      <w:hyperlink r:id="rId9" w:history="1">
        <w:r>
          <w:rPr>
            <w:rStyle w:val="Hyperlink"/>
            <w:rFonts w:ascii="Candara" w:hAnsi="Candara"/>
            <w:color w:val="0563C1"/>
            <w:sz w:val="24"/>
            <w:szCs w:val="24"/>
            <w:lang w:val="en-GB" w:eastAsia="en-GB"/>
            <w14:ligatures w14:val="none"/>
          </w:rPr>
          <w:t>EMorse@hartreepartners.com</w:t>
        </w:r>
      </w:hyperlink>
    </w:p>
    <w:p w14:paraId="3D90C5C1" w14:textId="77777777" w:rsidR="00C60697" w:rsidRDefault="00C60697" w:rsidP="00C60697">
      <w:pPr>
        <w:rPr>
          <w14:ligatures w14:val="none"/>
        </w:rPr>
      </w:pPr>
    </w:p>
    <w:p w14:paraId="75FF46C4" w14:textId="77777777" w:rsidR="00C60697" w:rsidRDefault="00C60697" w:rsidP="00C60697"/>
    <w:p w14:paraId="5D4ABC3F" w14:textId="77777777" w:rsidR="00A47711" w:rsidRDefault="00A47711"/>
    <w:sectPr w:rsidR="00A4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97"/>
    <w:rsid w:val="00397E51"/>
    <w:rsid w:val="00A47711"/>
    <w:rsid w:val="00C6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5AC3"/>
  <w15:chartTrackingRefBased/>
  <w15:docId w15:val="{0F311BCF-DCF2-43E0-89B2-DFEFD067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97"/>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69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1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artree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ooe@naesb.org" TargetMode="External"/><Relationship Id="rId11" Type="http://schemas.openxmlformats.org/officeDocument/2006/relationships/theme" Target="theme/theme1.xml"/><Relationship Id="rId5" Type="http://schemas.openxmlformats.org/officeDocument/2006/relationships/hyperlink" Target="mailto:rmcquade@naesb.org" TargetMode="External"/><Relationship Id="rId10" Type="http://schemas.openxmlformats.org/officeDocument/2006/relationships/fontTable" Target="fontTable.xml"/><Relationship Id="rId4" Type="http://schemas.openxmlformats.org/officeDocument/2006/relationships/hyperlink" Target="mailto:EMORSE@hartreepartners.com" TargetMode="External"/><Relationship Id="rId9" Type="http://schemas.openxmlformats.org/officeDocument/2006/relationships/hyperlink" Target="mailto:EMorse@hartree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2025-06-16T20:22:00Z</dcterms:created>
  <dcterms:modified xsi:type="dcterms:W3CDTF">2025-06-16T20:22:00Z</dcterms:modified>
</cp:coreProperties>
</file>