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68ECD" w14:textId="2B89A2DE" w:rsidR="007C5DF6" w:rsidRDefault="007C5DF6" w:rsidP="007C5DF6">
      <w:pPr>
        <w:outlineLvl w:val="0"/>
        <w:rPr>
          <w:rFonts w:ascii="Calibri" w:hAnsi="Calibri"/>
          <w14:ligatures w14:val="none"/>
        </w:rPr>
      </w:pPr>
      <w:bookmarkStart w:id="0" w:name="_MailOriginal"/>
      <w:r>
        <w:rPr>
          <w:rFonts w:ascii="Calibri" w:hAnsi="Calibri"/>
          <w:b/>
          <w:bCs/>
          <w14:ligatures w14:val="none"/>
        </w:rPr>
        <w:t>From:</w:t>
      </w:r>
      <w:r>
        <w:rPr>
          <w:rFonts w:ascii="Calibri" w:hAnsi="Calibri"/>
          <w14:ligatures w14:val="none"/>
        </w:rPr>
        <w:t xml:space="preserve"> Daniel Burns  </w:t>
      </w:r>
      <w:r>
        <w:rPr>
          <w:rFonts w:ascii="Calibri" w:hAnsi="Calibri"/>
          <w14:ligatures w14:val="none"/>
        </w:rPr>
        <w:br/>
      </w:r>
      <w:r>
        <w:rPr>
          <w:rFonts w:ascii="Calibri" w:hAnsi="Calibri"/>
          <w:b/>
          <w:bCs/>
          <w14:ligatures w14:val="none"/>
        </w:rPr>
        <w:t>Sent:</w:t>
      </w:r>
      <w:r>
        <w:rPr>
          <w:rFonts w:ascii="Calibri" w:hAnsi="Calibri"/>
          <w14:ligatures w14:val="none"/>
        </w:rPr>
        <w:t xml:space="preserve"> Friday, September 6, 2024 10:43 AM</w:t>
      </w:r>
      <w:r>
        <w:rPr>
          <w:rFonts w:ascii="Calibri" w:hAnsi="Calibri"/>
          <w14:ligatures w14:val="none"/>
        </w:rPr>
        <w:br/>
      </w:r>
      <w:r>
        <w:rPr>
          <w:rFonts w:ascii="Calibri" w:hAnsi="Calibri"/>
          <w:b/>
          <w:bCs/>
          <w14:ligatures w14:val="none"/>
        </w:rPr>
        <w:t>Subject:</w:t>
      </w:r>
      <w:r>
        <w:rPr>
          <w:rFonts w:ascii="Calibri" w:hAnsi="Calibri"/>
          <w14:ligatures w14:val="none"/>
        </w:rPr>
        <w:t xml:space="preserve"> NAESB Hydrogen Comments</w:t>
      </w:r>
    </w:p>
    <w:p w14:paraId="1501410A" w14:textId="77777777" w:rsidR="007C5DF6" w:rsidRDefault="007C5DF6" w:rsidP="007C5DF6"/>
    <w:p w14:paraId="6C28EC0E" w14:textId="77777777" w:rsidR="007C5DF6" w:rsidRDefault="007C5DF6" w:rsidP="007C5DF6">
      <w:r>
        <w:t>Hi Jonathan, these are the comments we would like to submit for the Hydrogen Contract.</w:t>
      </w:r>
    </w:p>
    <w:p w14:paraId="78F4C39A" w14:textId="77777777" w:rsidR="007C5DF6" w:rsidRDefault="007C5DF6" w:rsidP="007C5DF6"/>
    <w:p w14:paraId="6100E826" w14:textId="77777777" w:rsidR="007C5DF6" w:rsidRDefault="007C5DF6" w:rsidP="007C5DF6">
      <w:r>
        <w:t xml:space="preserve">General Index supports the foundational framework of the Hydrogen NAESB Contract, which we believe is a crucial step toward standardizing and facilitating the growth of the hydrogen market. </w:t>
      </w:r>
    </w:p>
    <w:p w14:paraId="7AD6E7B9" w14:textId="77777777" w:rsidR="007C5DF6" w:rsidRDefault="007C5DF6" w:rsidP="007C5DF6">
      <w:r>
        <w:t>The contract's emphasis on transparency, standardized terms, and the inclusion of carbon intensity tracking aligns with our commitment to fostering a more sustainable and efficient energy sector.</w:t>
      </w:r>
    </w:p>
    <w:p w14:paraId="21848FF5" w14:textId="77777777" w:rsidR="007C5DF6" w:rsidRDefault="007C5DF6" w:rsidP="007C5DF6">
      <w:r>
        <w:t xml:space="preserve">As the hydrogen market matures, we would support the inclusion of transportation-related emissions in the calculation of the Carbon Intensity (CI) score, specifically emphasizing the need for CI scoring to reflect the point of delivery. </w:t>
      </w:r>
    </w:p>
    <w:p w14:paraId="75936545" w14:textId="77777777" w:rsidR="007C5DF6" w:rsidRDefault="007C5DF6" w:rsidP="007C5DF6">
      <w:r>
        <w:t>This approach would provide a more accurate and comprehensive assessment of hydrogen’s environmental impact, accounting for the entire lifecycle from production to delivery.</w:t>
      </w:r>
    </w:p>
    <w:p w14:paraId="32A0FBE8" w14:textId="77777777" w:rsidR="007C5DF6" w:rsidRDefault="007C5DF6" w:rsidP="007C5DF6">
      <w:pPr>
        <w:rPr>
          <w:b/>
          <w:bCs/>
        </w:rPr>
      </w:pPr>
    </w:p>
    <w:p w14:paraId="6A7D7BD4" w14:textId="77777777" w:rsidR="007C5DF6" w:rsidRDefault="007C5DF6" w:rsidP="007C5DF6">
      <w:r>
        <w:rPr>
          <w:b/>
          <w:bCs/>
        </w:rPr>
        <w:t>Sincerely</w:t>
      </w:r>
      <w:r>
        <w:t xml:space="preserve">, </w:t>
      </w:r>
    </w:p>
    <w:p w14:paraId="6B046F45" w14:textId="77777777" w:rsidR="007C5DF6" w:rsidRDefault="007C5DF6" w:rsidP="007C5DF6">
      <w:r>
        <w:t>Nakul Hirani/Daniel Burns</w:t>
      </w:r>
      <w:r>
        <w:br/>
      </w:r>
      <w:proofErr w:type="gramStart"/>
      <w:r>
        <w:t>General  Index</w:t>
      </w:r>
      <w:proofErr w:type="gramEnd"/>
    </w:p>
    <w:p w14:paraId="05C1D810" w14:textId="77777777" w:rsidR="007C5DF6" w:rsidRDefault="007C5DF6" w:rsidP="007C5DF6"/>
    <w:p w14:paraId="788A934F" w14:textId="77777777" w:rsidR="007C5DF6" w:rsidRDefault="007C5DF6" w:rsidP="007C5DF6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Daniel Burns</w:t>
      </w:r>
    </w:p>
    <w:p w14:paraId="7742320F" w14:textId="77777777" w:rsidR="007C5DF6" w:rsidRDefault="007C5DF6" w:rsidP="007C5DF6">
      <w:p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>Energy Analyst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0"/>
          <w:szCs w:val="20"/>
        </w:rPr>
        <w:t>M: +1713 8262968</w:t>
      </w:r>
      <w:r>
        <w:rPr>
          <w:sz w:val="24"/>
          <w:szCs w:val="24"/>
        </w:rPr>
        <w:br/>
      </w:r>
      <w:r>
        <w:rPr>
          <w:sz w:val="20"/>
          <w:szCs w:val="20"/>
        </w:rPr>
        <w:t>A: 2211 Norfolk St Suite 1030, Houston, TX 77098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W: </w:t>
      </w:r>
      <w:hyperlink r:id="rId4" w:history="1">
        <w:r>
          <w:rPr>
            <w:rStyle w:val="Hyperlink"/>
            <w:color w:val="0563C1"/>
            <w:sz w:val="20"/>
            <w:szCs w:val="20"/>
          </w:rPr>
          <w:t>general-index.com</w:t>
        </w:r>
        <w:r>
          <w:rPr>
            <w:sz w:val="24"/>
            <w:szCs w:val="24"/>
          </w:rPr>
          <w:br/>
        </w:r>
      </w:hyperlink>
      <w:r>
        <w:rPr>
          <w:sz w:val="20"/>
          <w:szCs w:val="20"/>
        </w:rPr>
        <w:t xml:space="preserve">E: </w:t>
      </w:r>
      <w:hyperlink r:id="rId5" w:history="1">
        <w:r>
          <w:rPr>
            <w:rStyle w:val="Hyperlink"/>
            <w:sz w:val="20"/>
            <w:szCs w:val="20"/>
          </w:rPr>
          <w:t>dburns@general-index.com</w:t>
        </w:r>
      </w:hyperlink>
    </w:p>
    <w:p w14:paraId="03713778" w14:textId="0E0F1399" w:rsidR="007C5DF6" w:rsidRDefault="007C5DF6" w:rsidP="007C5DF6">
      <w:pPr>
        <w:spacing w:line="252" w:lineRule="auto"/>
        <w:rPr>
          <w:sz w:val="24"/>
          <w:szCs w:val="24"/>
        </w:rPr>
      </w:pPr>
      <w:r>
        <w:rPr>
          <w:noProof/>
          <w:sz w:val="24"/>
          <w:szCs w:val="24"/>
          <w14:ligatures w14:val="none"/>
        </w:rPr>
        <w:drawing>
          <wp:inline distT="0" distB="0" distL="0" distR="0" wp14:anchorId="0EB4BB42" wp14:editId="75C7D3A3">
            <wp:extent cx="3886200" cy="586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341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969B2D6" w14:textId="77777777" w:rsidR="007C5DF6" w:rsidRDefault="007C5DF6" w:rsidP="007C5DF6"/>
    <w:p w14:paraId="2D341986" w14:textId="77777777" w:rsidR="00AD0FC4" w:rsidRDefault="00AD0FC4"/>
    <w:sectPr w:rsidR="00AD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6"/>
    <w:rsid w:val="007C5DF6"/>
    <w:rsid w:val="00904587"/>
    <w:rsid w:val="00A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5669"/>
  <w15:chartTrackingRefBased/>
  <w15:docId w15:val="{1B1651B1-27C0-4CA6-B4B4-6178943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F6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DF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burns@general-index.com" TargetMode="External"/><Relationship Id="rId4" Type="http://schemas.openxmlformats.org/officeDocument/2006/relationships/hyperlink" Target="https://www.general-ind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Thomason</dc:creator>
  <cp:keywords/>
  <dc:description/>
  <cp:lastModifiedBy>Veronica Thomason</cp:lastModifiedBy>
  <cp:revision>2</cp:revision>
  <dcterms:created xsi:type="dcterms:W3CDTF">2024-09-06T17:31:00Z</dcterms:created>
  <dcterms:modified xsi:type="dcterms:W3CDTF">2024-09-06T18:09:00Z</dcterms:modified>
</cp:coreProperties>
</file>