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pPr>
      <w:r>
        <w:rPr>
          <w:rtl w:val="0"/>
        </w:rPr>
        <w:t xml:space="preserve">The R18007 request will involve several datasets, new processes, new security protocols, and data governance protocols to deliver a blockchain/Distributed Ledger Technology (DLT) solution.  The scope of the request is the natural gas settlement process </w:t>
      </w:r>
    </w:p>
    <w:p>
      <w:pPr>
        <w:pStyle w:val="Body A"/>
      </w:pPr>
    </w:p>
    <w:p>
      <w:pPr>
        <w:pStyle w:val="Body A"/>
      </w:pPr>
      <w:r>
        <w:rPr>
          <w:rtl w:val="0"/>
        </w:rPr>
        <w:t>The three primary datasets that will be used by the DLT solution are, as follows;</w:t>
      </w:r>
    </w:p>
    <w:p>
      <w:pPr>
        <w:pStyle w:val="Body A"/>
        <w:numPr>
          <w:ilvl w:val="0"/>
          <w:numId w:val="2"/>
        </w:numPr>
        <w:rPr>
          <w:lang w:val="en-US"/>
        </w:rPr>
      </w:pPr>
      <w:r>
        <w:rPr>
          <w:rtl w:val="0"/>
          <w:lang w:val="en-US"/>
        </w:rPr>
        <w:t>Base Contract for the for Sale and Purchase of Natural Gas</w:t>
      </w:r>
    </w:p>
    <w:p>
      <w:pPr>
        <w:pStyle w:val="Body A"/>
        <w:numPr>
          <w:ilvl w:val="0"/>
          <w:numId w:val="2"/>
        </w:numPr>
        <w:rPr>
          <w:lang w:val="en-US"/>
        </w:rPr>
      </w:pPr>
      <w:r>
        <w:rPr>
          <w:rtl w:val="0"/>
          <w:lang w:val="en-US"/>
        </w:rPr>
        <w:t xml:space="preserve">Confirmation </w:t>
      </w:r>
    </w:p>
    <w:p>
      <w:pPr>
        <w:pStyle w:val="Body A"/>
        <w:numPr>
          <w:ilvl w:val="0"/>
          <w:numId w:val="2"/>
        </w:numPr>
        <w:rPr>
          <w:lang w:val="en-US"/>
        </w:rPr>
      </w:pPr>
      <w:r>
        <w:rPr>
          <w:rtl w:val="0"/>
          <w:lang w:val="en-US"/>
        </w:rPr>
        <w:t>Settlement/Invoice</w:t>
      </w:r>
    </w:p>
    <w:p>
      <w:pPr>
        <w:pStyle w:val="Body A"/>
      </w:pPr>
    </w:p>
    <w:p>
      <w:pPr>
        <w:pStyle w:val="Body A"/>
      </w:pPr>
      <w:r>
        <w:rPr>
          <w:rtl w:val="0"/>
        </w:rPr>
        <w:t>The new processes required by the DLT Solution are, as follows;</w:t>
      </w:r>
    </w:p>
    <w:p>
      <w:pPr>
        <w:pStyle w:val="Body A"/>
        <w:numPr>
          <w:ilvl w:val="0"/>
          <w:numId w:val="4"/>
        </w:numPr>
        <w:rPr>
          <w:lang w:val="en-US"/>
        </w:rPr>
      </w:pPr>
      <w:r>
        <w:rPr>
          <w:rtl w:val="0"/>
          <w:lang w:val="en-US"/>
        </w:rPr>
        <w:t>NAESB Oversight Authority</w:t>
        <w:tab/>
      </w:r>
    </w:p>
    <w:p>
      <w:pPr>
        <w:pStyle w:val="Body A"/>
        <w:numPr>
          <w:ilvl w:val="1"/>
          <w:numId w:val="4"/>
        </w:numPr>
        <w:rPr>
          <w:lang w:val="en-US"/>
        </w:rPr>
      </w:pPr>
      <w:r>
        <w:rPr>
          <w:rtl w:val="0"/>
          <w:lang w:val="en-US"/>
        </w:rPr>
        <w:t>Authorize companies to participate in the NAESB DLT solution</w:t>
      </w:r>
    </w:p>
    <w:p>
      <w:pPr>
        <w:pStyle w:val="Body A"/>
        <w:numPr>
          <w:ilvl w:val="1"/>
          <w:numId w:val="4"/>
        </w:numPr>
        <w:rPr>
          <w:lang w:val="en-US"/>
        </w:rPr>
      </w:pPr>
      <w:r>
        <w:rPr>
          <w:rtl w:val="0"/>
          <w:lang w:val="en-US"/>
        </w:rPr>
        <w:t>Operate the master node of the private, open-source, interoperable NAESB DLT solution</w:t>
      </w:r>
    </w:p>
    <w:p>
      <w:pPr>
        <w:pStyle w:val="Body A"/>
        <w:numPr>
          <w:ilvl w:val="1"/>
          <w:numId w:val="4"/>
        </w:numPr>
        <w:rPr>
          <w:lang w:val="en-US"/>
        </w:rPr>
      </w:pPr>
      <w:r>
        <w:rPr>
          <w:rtl w:val="0"/>
          <w:lang w:val="en-US"/>
        </w:rPr>
        <w:t>Node Certification</w:t>
      </w:r>
      <w:r>
        <w:rPr>
          <w:rtl w:val="0"/>
          <w:lang w:val="en-US"/>
        </w:rPr>
        <w:t xml:space="preserve"> Process</w:t>
      </w:r>
    </w:p>
    <w:p>
      <w:pPr>
        <w:pStyle w:val="Body A"/>
        <w:numPr>
          <w:ilvl w:val="0"/>
          <w:numId w:val="5"/>
        </w:numPr>
        <w:rPr>
          <w:lang w:val="en-US"/>
        </w:rPr>
      </w:pPr>
      <w:r>
        <w:rPr>
          <w:rtl w:val="0"/>
          <w:lang w:val="en-US"/>
        </w:rPr>
        <w:t>Buyer and Purchaser Roles and Rules</w:t>
      </w:r>
    </w:p>
    <w:p>
      <w:pPr>
        <w:pStyle w:val="Body A"/>
        <w:numPr>
          <w:ilvl w:val="1"/>
          <w:numId w:val="5"/>
        </w:numPr>
        <w:rPr>
          <w:lang w:val="en-US"/>
        </w:rPr>
      </w:pPr>
      <w:r>
        <w:rPr>
          <w:rtl w:val="0"/>
          <w:lang w:val="en-US"/>
        </w:rPr>
        <w:t>Contract creation and maintenance</w:t>
      </w:r>
    </w:p>
    <w:p>
      <w:pPr>
        <w:pStyle w:val="Body A"/>
        <w:numPr>
          <w:ilvl w:val="1"/>
          <w:numId w:val="5"/>
        </w:numPr>
        <w:rPr>
          <w:lang w:val="en-US"/>
        </w:rPr>
      </w:pPr>
      <w:r>
        <w:rPr>
          <w:rtl w:val="0"/>
          <w:lang w:val="en-US"/>
        </w:rPr>
        <w:t>Transaction creation and maintenance</w:t>
      </w:r>
    </w:p>
    <w:p>
      <w:pPr>
        <w:pStyle w:val="Body A"/>
        <w:numPr>
          <w:ilvl w:val="1"/>
          <w:numId w:val="5"/>
        </w:numPr>
        <w:rPr>
          <w:lang w:val="en-US"/>
        </w:rPr>
      </w:pPr>
      <w:r>
        <w:rPr>
          <w:rtl w:val="0"/>
          <w:lang w:val="en-US"/>
        </w:rPr>
        <w:t>Settlement and Accounting automation</w:t>
      </w:r>
    </w:p>
    <w:p>
      <w:pPr>
        <w:pStyle w:val="Body A"/>
        <w:numPr>
          <w:ilvl w:val="0"/>
          <w:numId w:val="5"/>
        </w:numPr>
        <w:rPr>
          <w:lang w:val="en-US"/>
        </w:rPr>
      </w:pPr>
      <w:r>
        <w:rPr>
          <w:rtl w:val="0"/>
          <w:lang w:val="en-US"/>
        </w:rPr>
        <w:t xml:space="preserve">Technical Interoperability </w:t>
      </w:r>
      <w:r>
        <w:rPr>
          <w:rtl w:val="0"/>
          <w:lang w:val="en-US"/>
        </w:rPr>
        <w:t>Specifications Standards</w:t>
      </w:r>
    </w:p>
    <w:p>
      <w:pPr>
        <w:pStyle w:val="Body A"/>
        <w:numPr>
          <w:ilvl w:val="1"/>
          <w:numId w:val="5"/>
        </w:numPr>
        <w:rPr>
          <w:lang w:val="en-US"/>
        </w:rPr>
      </w:pPr>
      <w:r>
        <w:rPr>
          <w:rtl w:val="0"/>
          <w:lang w:val="en-US"/>
        </w:rPr>
        <w:t>Communication</w:t>
      </w:r>
    </w:p>
    <w:p>
      <w:pPr>
        <w:pStyle w:val="Body A"/>
        <w:numPr>
          <w:ilvl w:val="1"/>
          <w:numId w:val="5"/>
        </w:numPr>
        <w:rPr>
          <w:lang w:val="en-US"/>
        </w:rPr>
      </w:pPr>
      <w:r>
        <w:rPr>
          <w:rtl w:val="0"/>
          <w:lang w:val="en-US"/>
        </w:rPr>
        <w:t>Security Standards</w:t>
      </w:r>
    </w:p>
    <w:p>
      <w:pPr>
        <w:pStyle w:val="Body A"/>
        <w:numPr>
          <w:ilvl w:val="1"/>
          <w:numId w:val="5"/>
        </w:numPr>
        <w:rPr>
          <w:lang w:val="en-US"/>
        </w:rPr>
      </w:pPr>
      <w:r>
        <w:rPr>
          <w:rtl w:val="0"/>
          <w:lang w:val="en-US"/>
        </w:rPr>
        <w:t xml:space="preserve">Node Configuration - Algorithm </w:t>
      </w:r>
    </w:p>
    <w:p>
      <w:pPr>
        <w:pStyle w:val="Body A"/>
      </w:pPr>
    </w:p>
    <w:p>
      <w:pPr>
        <w:pStyle w:val="Body A"/>
      </w:pPr>
      <w:r>
        <w:rPr>
          <w:rtl w:val="0"/>
        </w:rPr>
        <w:t>A new security protocol is required to post transactions and keep nodes in sync.  In addition, data governance protocols will need to be established for creation, access for DLT participants.</w:t>
      </w:r>
    </w:p>
    <w:p>
      <w:pPr>
        <w:pStyle w:val="Body A"/>
      </w:pPr>
    </w:p>
    <w:p>
      <w:pPr>
        <w:pStyle w:val="Body A"/>
      </w:pPr>
      <w:r>
        <w:rPr>
          <w:rtl w:val="0"/>
        </w:rPr>
        <w:t xml:space="preserve">A next step would be to develop a proof of concept with a limited number of volunteer companies to identify, validate, and implement required datasets, processes, security, and governance of the NAESB DLT Solution.  The proof of concept effort will include implementation considerations for supporting the next phase.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2" w:hanging="12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2" w:hanging="12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2" w:hanging="1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2" w:hanging="1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2"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2" w:hanging="12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1.%2."/>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1.%2.%3."/>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120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156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192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228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264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300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1"/>
      </w:numPr>
    </w:pPr>
  </w:style>
  <w:style w:type="numbering" w:styleId="Imported Style 1">
    <w:name w:val="Imported Style 1"/>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