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C9285" w14:textId="7FD977D3" w:rsidR="00E46FBB" w:rsidRDefault="006B5F86">
      <w:r>
        <w:t>Order of Approach as of March 4, 2020</w:t>
      </w:r>
    </w:p>
    <w:p w14:paraId="3DA5F7D6" w14:textId="5FBDC707" w:rsidR="006B5F86" w:rsidRPr="009203CF" w:rsidRDefault="006B5F86" w:rsidP="006B5F86">
      <w:pPr>
        <w:pStyle w:val="ListParagraph"/>
        <w:numPr>
          <w:ilvl w:val="0"/>
          <w:numId w:val="2"/>
        </w:numPr>
        <w:rPr>
          <w:strike/>
        </w:rPr>
      </w:pPr>
      <w:r w:rsidRPr="009203CF">
        <w:rPr>
          <w:strike/>
        </w:rPr>
        <w:t>Review revised Order of Approach (this document) combined with Parking Lot document from previous meeting and agree on process.</w:t>
      </w:r>
    </w:p>
    <w:p w14:paraId="0E8948C3" w14:textId="667155B6" w:rsidR="006B5F86" w:rsidRPr="009203CF" w:rsidRDefault="006B5F86" w:rsidP="006B5F86">
      <w:pPr>
        <w:pStyle w:val="ListParagraph"/>
        <w:numPr>
          <w:ilvl w:val="0"/>
          <w:numId w:val="2"/>
        </w:numPr>
        <w:rPr>
          <w:strike/>
        </w:rPr>
      </w:pPr>
      <w:r w:rsidRPr="009203CF">
        <w:rPr>
          <w:strike/>
        </w:rPr>
        <w:t>Remember that these datasets will not conform to ALL of the methods and look and feel of the non-contract-related datasets in more than one way.</w:t>
      </w:r>
      <w:r w:rsidR="007161AB" w:rsidRPr="009203CF">
        <w:rPr>
          <w:strike/>
        </w:rPr>
        <w:t xml:space="preserve"> We are using an approach that we have determined works best for these datasets.</w:t>
      </w:r>
    </w:p>
    <w:p w14:paraId="42176974" w14:textId="7DE84E1A" w:rsidR="006B5F86" w:rsidRPr="009203CF" w:rsidRDefault="006B5F86" w:rsidP="006B5F86">
      <w:pPr>
        <w:pStyle w:val="ListParagraph"/>
        <w:numPr>
          <w:ilvl w:val="0"/>
          <w:numId w:val="2"/>
        </w:numPr>
        <w:rPr>
          <w:strike/>
        </w:rPr>
      </w:pPr>
      <w:r w:rsidRPr="009203CF">
        <w:rPr>
          <w:strike/>
        </w:rPr>
        <w:t xml:space="preserve">Remember that we </w:t>
      </w:r>
      <w:r w:rsidR="007161AB" w:rsidRPr="009203CF">
        <w:rPr>
          <w:strike/>
        </w:rPr>
        <w:t>are trying to not re-discuss the same decision multiple times (sorry for item 4, below),</w:t>
      </w:r>
      <w:r w:rsidRPr="009203CF">
        <w:rPr>
          <w:strike/>
        </w:rPr>
        <w:t xml:space="preserve"> and we are not trying to be 199% perfect, just 99% good. </w:t>
      </w:r>
    </w:p>
    <w:p w14:paraId="147CB384" w14:textId="0F291AFE" w:rsidR="006B5F86" w:rsidRPr="00017BDA" w:rsidRDefault="006B5F86" w:rsidP="006B5F86">
      <w:pPr>
        <w:pStyle w:val="ListParagraph"/>
        <w:numPr>
          <w:ilvl w:val="0"/>
          <w:numId w:val="2"/>
        </w:numPr>
        <w:rPr>
          <w:strike/>
        </w:rPr>
      </w:pPr>
      <w:r w:rsidRPr="00017BDA">
        <w:rPr>
          <w:strike/>
        </w:rPr>
        <w:t xml:space="preserve">Determine whether Required Response is needed for the invoice and why. Sorry – either I missed this </w:t>
      </w:r>
      <w:r w:rsidR="007161AB" w:rsidRPr="00017BDA">
        <w:rPr>
          <w:strike/>
        </w:rPr>
        <w:t>discussion,</w:t>
      </w:r>
      <w:r w:rsidRPr="00017BDA">
        <w:rPr>
          <w:strike/>
        </w:rPr>
        <w:t xml:space="preserve"> or I have erased it from memory. </w:t>
      </w:r>
    </w:p>
    <w:p w14:paraId="54C1A29F" w14:textId="5D98B206" w:rsidR="007161AB" w:rsidRPr="00D36B4A" w:rsidRDefault="007161AB" w:rsidP="006B5F86">
      <w:pPr>
        <w:pStyle w:val="ListParagraph"/>
        <w:numPr>
          <w:ilvl w:val="0"/>
          <w:numId w:val="2"/>
        </w:numPr>
        <w:rPr>
          <w:strike/>
        </w:rPr>
      </w:pPr>
      <w:r w:rsidRPr="00D36B4A">
        <w:rPr>
          <w:strike/>
        </w:rPr>
        <w:t>Discuss how to develop scenarios for 6.4.3 and 6.4.4. Sylvia’s recommendation is that we do not need scenarios for these two documents. We can describe how they are used or give multiple examples of the data completed but the ‘scenarios’ approach is interactive and does not work well.</w:t>
      </w:r>
    </w:p>
    <w:p w14:paraId="54D6D3A2" w14:textId="6E63CCD1" w:rsidR="006B5F86" w:rsidRDefault="006B5F86" w:rsidP="006B5F86">
      <w:pPr>
        <w:pStyle w:val="ListParagraph"/>
        <w:numPr>
          <w:ilvl w:val="0"/>
          <w:numId w:val="2"/>
        </w:numPr>
      </w:pPr>
      <w:r w:rsidRPr="007C3A9E">
        <w:rPr>
          <w:strike/>
        </w:rPr>
        <w:t>Complete review of 6.4.3 TIBP using workpaper posted for meeting plus Sylvia’s notes</w:t>
      </w:r>
      <w:r>
        <w:t>.</w:t>
      </w:r>
    </w:p>
    <w:p w14:paraId="0538266A" w14:textId="77777777" w:rsidR="00B7721A" w:rsidRDefault="00B7721A" w:rsidP="00B7721A">
      <w:pPr>
        <w:pStyle w:val="ListParagraph"/>
        <w:numPr>
          <w:ilvl w:val="0"/>
          <w:numId w:val="2"/>
        </w:numPr>
      </w:pPr>
      <w:r>
        <w:t>Clean up 6.4.3 items from parking lot:</w:t>
      </w:r>
    </w:p>
    <w:p w14:paraId="5626767D" w14:textId="77777777" w:rsidR="00B7721A" w:rsidRPr="007C3A9E" w:rsidRDefault="00B7721A" w:rsidP="00B7721A">
      <w:pPr>
        <w:pStyle w:val="ListParagraph"/>
        <w:numPr>
          <w:ilvl w:val="1"/>
          <w:numId w:val="2"/>
        </w:numPr>
        <w:rPr>
          <w:strike/>
        </w:rPr>
      </w:pPr>
      <w:r w:rsidRPr="007C3A9E">
        <w:rPr>
          <w:strike/>
        </w:rPr>
        <w:t xml:space="preserve">Change the Receipt Time Stamp to be Non-Initiating Party Receipt Time Stamp in the Invoice. To determine the date due based on when party receives the invoice. How does sender know that it was received. </w:t>
      </w:r>
    </w:p>
    <w:p w14:paraId="05B56478" w14:textId="4304D3A5" w:rsidR="00B7721A" w:rsidRPr="007C3A9E" w:rsidRDefault="00B7721A" w:rsidP="00B7721A">
      <w:pPr>
        <w:pStyle w:val="ListParagraph"/>
        <w:numPr>
          <w:ilvl w:val="1"/>
          <w:numId w:val="2"/>
        </w:numPr>
        <w:rPr>
          <w:strike/>
        </w:rPr>
      </w:pPr>
      <w:bookmarkStart w:id="0" w:name="_Hlk32411011"/>
      <w:r w:rsidRPr="007C3A9E">
        <w:rPr>
          <w:strike/>
        </w:rPr>
        <w:t>The 6.4.3 Sales and Purchase Invoice (Invoice) may be sent by the Payee as a Preliminary (aka draft) invoice or as a Final invoice. A Preliminary invoice may be sent multiple times until a Final invoice is sent. The Final invoice is the invoice upon which payment should be made.        While the Invoice is in Preliminary status, the Payee may send multiple versions of the Invoice and the Payer may dispute the preliminary invoice prior to it being sent as a Final invoice. After the Invoice is Final. . .</w:t>
      </w:r>
      <w:bookmarkEnd w:id="0"/>
    </w:p>
    <w:p w14:paraId="1BC2A79E" w14:textId="102C1D98" w:rsidR="006B5F86" w:rsidRPr="00C85AC7" w:rsidRDefault="006B5F86" w:rsidP="006B5F86">
      <w:pPr>
        <w:pStyle w:val="ListParagraph"/>
        <w:numPr>
          <w:ilvl w:val="0"/>
          <w:numId w:val="2"/>
        </w:numPr>
        <w:rPr>
          <w:strike/>
        </w:rPr>
      </w:pPr>
      <w:r w:rsidRPr="00C85AC7">
        <w:rPr>
          <w:strike/>
        </w:rPr>
        <w:t>Make corresponding changes to 6.4.4 Dictionary using workpaper posted for meeting plus Sylvia’s notes.</w:t>
      </w:r>
    </w:p>
    <w:p w14:paraId="761FE1D6" w14:textId="554AC9D1" w:rsidR="006B5F86" w:rsidRPr="00C85AC7" w:rsidRDefault="006B5F86" w:rsidP="006B5F86">
      <w:pPr>
        <w:pStyle w:val="ListParagraph"/>
        <w:numPr>
          <w:ilvl w:val="0"/>
          <w:numId w:val="2"/>
        </w:numPr>
        <w:rPr>
          <w:strike/>
        </w:rPr>
      </w:pPr>
      <w:r w:rsidRPr="00C85AC7">
        <w:rPr>
          <w:strike/>
        </w:rPr>
        <w:t>FIRST PASS of 6.4.4 TIBP using workpaper posted for meeting plus Sylvia’s notes.</w:t>
      </w:r>
    </w:p>
    <w:p w14:paraId="312D3BEE" w14:textId="048F0D89" w:rsidR="006B5F86" w:rsidRDefault="00B7721A" w:rsidP="006B5F86">
      <w:pPr>
        <w:pStyle w:val="ListParagraph"/>
        <w:numPr>
          <w:ilvl w:val="0"/>
          <w:numId w:val="2"/>
        </w:numPr>
      </w:pPr>
      <w:r>
        <w:t>Clean up 6.4.2 items from Parking Lot:</w:t>
      </w:r>
    </w:p>
    <w:p w14:paraId="64DC321A" w14:textId="43805D1E" w:rsidR="00053873" w:rsidRPr="00DC1AB8" w:rsidRDefault="00053873" w:rsidP="00B7721A">
      <w:pPr>
        <w:pStyle w:val="ListParagraph"/>
        <w:numPr>
          <w:ilvl w:val="1"/>
          <w:numId w:val="2"/>
        </w:numPr>
        <w:rPr>
          <w:strike/>
        </w:rPr>
      </w:pPr>
      <w:r w:rsidRPr="00DC1AB8">
        <w:rPr>
          <w:strike/>
        </w:rPr>
        <w:t>Marcy’s Table</w:t>
      </w:r>
    </w:p>
    <w:p w14:paraId="2E811CA5" w14:textId="479D10F5" w:rsidR="00D36B4A" w:rsidRPr="00A80BC4" w:rsidRDefault="00D36B4A" w:rsidP="00B7721A">
      <w:pPr>
        <w:pStyle w:val="ListParagraph"/>
        <w:numPr>
          <w:ilvl w:val="1"/>
          <w:numId w:val="2"/>
        </w:numPr>
        <w:rPr>
          <w:strike/>
        </w:rPr>
      </w:pPr>
      <w:r w:rsidRPr="00A80BC4">
        <w:rPr>
          <w:strike/>
        </w:rPr>
        <w:t>Add 6.3.1 Exhibit A terminology back in</w:t>
      </w:r>
    </w:p>
    <w:p w14:paraId="1A35A09B" w14:textId="2BCCA4D4" w:rsidR="00B7721A" w:rsidRPr="00B12365" w:rsidRDefault="00B7721A" w:rsidP="00B7721A">
      <w:pPr>
        <w:pStyle w:val="ListParagraph"/>
        <w:numPr>
          <w:ilvl w:val="1"/>
          <w:numId w:val="2"/>
        </w:numPr>
        <w:rPr>
          <w:strike/>
        </w:rPr>
      </w:pPr>
      <w:bookmarkStart w:id="1" w:name="_Hlk34229027"/>
      <w:r w:rsidRPr="00B12365">
        <w:rPr>
          <w:strike/>
        </w:rPr>
        <w:t>Parties who elect to use electronic transaction confirmations agree to explicit confirmations. This means that the confirmation is not accepted until a Transaction Confirmation with a status = Accept is received and the confirmation is not binding if the confirmation deadline passes without Acceptance.</w:t>
      </w:r>
      <w:bookmarkEnd w:id="1"/>
      <w:r w:rsidRPr="00B12365">
        <w:rPr>
          <w:strike/>
        </w:rPr>
        <w:t xml:space="preserve"> </w:t>
      </w:r>
    </w:p>
    <w:p w14:paraId="4B81A8C1" w14:textId="0D96BE18" w:rsidR="00B7721A" w:rsidRPr="00B12365" w:rsidRDefault="00B7721A" w:rsidP="00B7721A">
      <w:pPr>
        <w:pStyle w:val="ListParagraph"/>
        <w:ind w:left="1440"/>
        <w:rPr>
          <w:strike/>
        </w:rPr>
      </w:pPr>
      <w:r w:rsidRPr="00B12365">
        <w:rPr>
          <w:strike/>
        </w:rPr>
        <w:t>Contract Section 1.3</w:t>
      </w:r>
    </w:p>
    <w:p w14:paraId="6B0750FE" w14:textId="12BB1BE9" w:rsidR="00F7511F" w:rsidRDefault="00F7511F" w:rsidP="00B7721A">
      <w:pPr>
        <w:pStyle w:val="ListParagraph"/>
        <w:ind w:left="1440"/>
      </w:pPr>
    </w:p>
    <w:p w14:paraId="289291B4" w14:textId="77777777" w:rsidR="00B7721A" w:rsidRPr="00B12365" w:rsidRDefault="00B7721A" w:rsidP="00B7721A">
      <w:pPr>
        <w:ind w:left="1440"/>
        <w:rPr>
          <w:strike/>
        </w:rPr>
      </w:pPr>
      <w:r w:rsidRPr="00B12365">
        <w:rPr>
          <w:strike/>
        </w:rPr>
        <w:lastRenderedPageBreak/>
        <w:t xml:space="preserve">If the parties send an electronic (6.4.2 TC Dataset) Transaction Confirmation the receiving party must accept the TC prior to the confirm deadline otherwise the transaction confirmation is null and void. </w:t>
      </w:r>
    </w:p>
    <w:p w14:paraId="19B59C62" w14:textId="334992D4" w:rsidR="00B7721A" w:rsidRPr="00B12365" w:rsidRDefault="00B7721A" w:rsidP="00B7721A">
      <w:pPr>
        <w:ind w:left="1440"/>
        <w:rPr>
          <w:strike/>
        </w:rPr>
      </w:pPr>
      <w:r w:rsidRPr="00B12365">
        <w:rPr>
          <w:strike/>
        </w:rPr>
        <w:t>(as an extension of the existing sentence “</w:t>
      </w:r>
      <w:bookmarkStart w:id="2" w:name="_Hlk34228105"/>
      <w:r w:rsidRPr="00B12365">
        <w:rPr>
          <w:strike/>
        </w:rPr>
        <w:t>The failure of the receiving party</w:t>
      </w:r>
      <w:bookmarkEnd w:id="2"/>
      <w:r w:rsidRPr="00B12365">
        <w:rPr>
          <w:strike/>
        </w:rPr>
        <w:t xml:space="preserve"> . . . )</w:t>
      </w:r>
    </w:p>
    <w:p w14:paraId="460236BD" w14:textId="1B6ED906" w:rsidR="008574F1" w:rsidRPr="00B12365" w:rsidRDefault="00F7511F" w:rsidP="00D46299">
      <w:pPr>
        <w:pStyle w:val="ListParagraph"/>
        <w:numPr>
          <w:ilvl w:val="1"/>
          <w:numId w:val="2"/>
        </w:numPr>
        <w:rPr>
          <w:strike/>
        </w:rPr>
      </w:pPr>
      <w:bookmarkStart w:id="3" w:name="_Hlk32483113"/>
      <w:r w:rsidRPr="00B12365">
        <w:rPr>
          <w:rFonts w:cstheme="minorHAnsi"/>
          <w:strike/>
        </w:rPr>
        <w:t xml:space="preserve">Add some stuff to cover: </w:t>
      </w:r>
      <w:r w:rsidR="00B7721A" w:rsidRPr="00B12365">
        <w:rPr>
          <w:rFonts w:cstheme="minorHAnsi"/>
          <w:strike/>
        </w:rPr>
        <w:t>(if both counterparties follow the practice of initiating the confirmation process then when the counterparty responds to a TC dataset they should include their assigned conf number in the non-initiating party’s Conf number to facilitate matching of the duplicates. Only one of the two initiated confirmation transactions should be accepted. It is up to the internal processes and systems of the two parties to maintain the uniqueness and identification of these duplicate transactions)</w:t>
      </w:r>
      <w:bookmarkEnd w:id="3"/>
      <w:r w:rsidR="00C85AC7" w:rsidRPr="00B12365">
        <w:rPr>
          <w:rFonts w:cstheme="minorHAnsi"/>
          <w:strike/>
        </w:rPr>
        <w:t>.</w:t>
      </w:r>
    </w:p>
    <w:p w14:paraId="1F63DE63" w14:textId="77777777" w:rsidR="00F7511F" w:rsidRDefault="00F7511F" w:rsidP="00D46299">
      <w:pPr>
        <w:pStyle w:val="ListParagraph"/>
        <w:numPr>
          <w:ilvl w:val="1"/>
          <w:numId w:val="2"/>
        </w:numPr>
      </w:pPr>
    </w:p>
    <w:p w14:paraId="757183AA" w14:textId="1E09D294" w:rsidR="006B5F86" w:rsidRDefault="006B5F86" w:rsidP="006B5F86">
      <w:pPr>
        <w:pStyle w:val="ListParagraph"/>
        <w:numPr>
          <w:ilvl w:val="0"/>
          <w:numId w:val="2"/>
        </w:numPr>
      </w:pPr>
      <w:r>
        <w:t xml:space="preserve">Make corresponding changes to </w:t>
      </w:r>
      <w:r w:rsidRPr="008574F1">
        <w:rPr>
          <w:b/>
          <w:bCs/>
        </w:rPr>
        <w:t>6.4.1</w:t>
      </w:r>
      <w:r>
        <w:t xml:space="preserve"> using Sylvia’s beginning of draft changes (as of today, most recently posted as Workpaper 7 for Jan 21 meeting) including</w:t>
      </w:r>
      <w:r w:rsidR="007161AB">
        <w:t xml:space="preserve"> these parking lot items</w:t>
      </w:r>
      <w:r>
        <w:t>:</w:t>
      </w:r>
    </w:p>
    <w:p w14:paraId="0B462814" w14:textId="77777777" w:rsidR="006B5F86" w:rsidRPr="00D51FA3" w:rsidRDefault="006B5F86" w:rsidP="006B5F86">
      <w:pPr>
        <w:pStyle w:val="ListParagraph"/>
        <w:numPr>
          <w:ilvl w:val="1"/>
          <w:numId w:val="2"/>
        </w:numPr>
        <w:rPr>
          <w:strike/>
        </w:rPr>
      </w:pPr>
      <w:r w:rsidRPr="00D51FA3">
        <w:rPr>
          <w:strike/>
        </w:rPr>
        <w:t xml:space="preserve">Add this to contract: </w:t>
      </w:r>
    </w:p>
    <w:tbl>
      <w:tblPr>
        <w:tblW w:w="9360" w:type="dxa"/>
        <w:tblInd w:w="8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450"/>
        <w:gridCol w:w="2340"/>
        <w:gridCol w:w="3240"/>
        <w:gridCol w:w="990"/>
        <w:gridCol w:w="720"/>
        <w:gridCol w:w="1620"/>
      </w:tblGrid>
      <w:tr w:rsidR="006B5F86" w:rsidRPr="00D51FA3" w14:paraId="5E02D411" w14:textId="77777777" w:rsidTr="00B7721A">
        <w:trPr>
          <w:cantSplit/>
          <w:trHeight w:val="20"/>
        </w:trPr>
        <w:tc>
          <w:tcPr>
            <w:tcW w:w="450" w:type="dxa"/>
            <w:tcBorders>
              <w:top w:val="single" w:sz="6" w:space="0" w:color="000000"/>
              <w:left w:val="double" w:sz="2" w:space="0" w:color="000000"/>
              <w:bottom w:val="single" w:sz="6" w:space="0" w:color="000000"/>
              <w:right w:val="single" w:sz="6" w:space="0" w:color="000000"/>
            </w:tcBorders>
            <w:hideMark/>
          </w:tcPr>
          <w:p w14:paraId="1D7C36C6" w14:textId="77777777" w:rsidR="006B5F86" w:rsidRPr="00D51FA3" w:rsidRDefault="006B5F86">
            <w:pPr>
              <w:pStyle w:val="TableParagraph"/>
              <w:spacing w:before="77" w:line="254" w:lineRule="auto"/>
              <w:ind w:left="107"/>
              <w:rPr>
                <w:rFonts w:asciiTheme="minorHAnsi" w:hAnsiTheme="minorHAnsi" w:cstheme="minorHAnsi"/>
                <w:strike/>
              </w:rPr>
            </w:pPr>
            <w:r w:rsidRPr="00D51FA3">
              <w:rPr>
                <w:rFonts w:asciiTheme="minorHAnsi" w:hAnsiTheme="minorHAnsi" w:cstheme="minorHAnsi"/>
                <w:strike/>
              </w:rPr>
              <w:t>H</w:t>
            </w:r>
          </w:p>
        </w:tc>
        <w:tc>
          <w:tcPr>
            <w:tcW w:w="2340" w:type="dxa"/>
            <w:tcBorders>
              <w:top w:val="single" w:sz="6" w:space="0" w:color="000000"/>
              <w:left w:val="double" w:sz="2" w:space="0" w:color="000000"/>
              <w:bottom w:val="single" w:sz="6" w:space="0" w:color="000000"/>
              <w:right w:val="single" w:sz="6" w:space="0" w:color="000000"/>
            </w:tcBorders>
            <w:hideMark/>
          </w:tcPr>
          <w:p w14:paraId="414E038D" w14:textId="77777777" w:rsidR="006B5F86" w:rsidRPr="00D51FA3" w:rsidRDefault="006B5F86">
            <w:pPr>
              <w:pStyle w:val="TableParagraph"/>
              <w:spacing w:before="77" w:line="254" w:lineRule="auto"/>
              <w:ind w:left="107"/>
              <w:rPr>
                <w:rFonts w:asciiTheme="minorHAnsi" w:hAnsiTheme="minorHAnsi" w:cstheme="minorHAnsi"/>
                <w:strike/>
              </w:rPr>
            </w:pPr>
            <w:r w:rsidRPr="00D51FA3">
              <w:rPr>
                <w:rFonts w:asciiTheme="minorHAnsi" w:hAnsiTheme="minorHAnsi" w:cstheme="minorHAnsi"/>
                <w:strike/>
              </w:rPr>
              <w:t xml:space="preserve">NAESB WGQ Version Final Action As-Of Date </w:t>
            </w:r>
          </w:p>
          <w:p w14:paraId="68EB05D9" w14:textId="77777777" w:rsidR="006B5F86" w:rsidRPr="00D51FA3" w:rsidRDefault="006B5F86">
            <w:pPr>
              <w:pStyle w:val="TableParagraph"/>
              <w:spacing w:before="77" w:line="254" w:lineRule="auto"/>
              <w:ind w:left="107"/>
              <w:rPr>
                <w:rFonts w:asciiTheme="minorHAnsi" w:hAnsiTheme="minorHAnsi" w:cstheme="minorHAnsi"/>
                <w:strike/>
              </w:rPr>
            </w:pPr>
            <w:r w:rsidRPr="00D51FA3">
              <w:rPr>
                <w:rFonts w:asciiTheme="minorHAnsi" w:hAnsiTheme="minorHAnsi" w:cstheme="minorHAnsi"/>
                <w:strike/>
              </w:rPr>
              <w:t>(Version Date)</w:t>
            </w:r>
          </w:p>
        </w:tc>
        <w:tc>
          <w:tcPr>
            <w:tcW w:w="3240" w:type="dxa"/>
            <w:tcBorders>
              <w:top w:val="single" w:sz="6" w:space="0" w:color="000000"/>
              <w:left w:val="single" w:sz="6" w:space="0" w:color="000000"/>
              <w:bottom w:val="single" w:sz="6" w:space="0" w:color="000000"/>
              <w:right w:val="single" w:sz="6" w:space="0" w:color="000000"/>
            </w:tcBorders>
            <w:hideMark/>
          </w:tcPr>
          <w:p w14:paraId="1B4C3691" w14:textId="77777777" w:rsidR="006B5F86" w:rsidRPr="00D51FA3" w:rsidRDefault="006B5F86">
            <w:pPr>
              <w:pStyle w:val="TableParagraph"/>
              <w:spacing w:before="77" w:line="254" w:lineRule="auto"/>
              <w:ind w:left="121" w:right="150"/>
              <w:rPr>
                <w:rFonts w:asciiTheme="minorHAnsi" w:hAnsiTheme="minorHAnsi" w:cstheme="minorHAnsi"/>
                <w:strike/>
              </w:rPr>
            </w:pPr>
            <w:r w:rsidRPr="00D51FA3">
              <w:rPr>
                <w:rFonts w:asciiTheme="minorHAnsi" w:hAnsiTheme="minorHAnsi" w:cstheme="minorHAnsi"/>
                <w:strike/>
              </w:rPr>
              <w:t>The code value representing the As-=Of Date for the 6.3.1 Contract.</w:t>
            </w:r>
          </w:p>
        </w:tc>
        <w:tc>
          <w:tcPr>
            <w:tcW w:w="990" w:type="dxa"/>
            <w:tcBorders>
              <w:top w:val="single" w:sz="6" w:space="0" w:color="000000"/>
              <w:left w:val="single" w:sz="6" w:space="0" w:color="000000"/>
              <w:bottom w:val="single" w:sz="6" w:space="0" w:color="000000"/>
              <w:right w:val="single" w:sz="6" w:space="0" w:color="000000"/>
            </w:tcBorders>
            <w:hideMark/>
          </w:tcPr>
          <w:p w14:paraId="55D61F42" w14:textId="77777777" w:rsidR="006B5F86" w:rsidRPr="00D51FA3" w:rsidRDefault="006B5F86">
            <w:pPr>
              <w:pStyle w:val="TableParagraph"/>
              <w:spacing w:line="254" w:lineRule="auto"/>
              <w:jc w:val="center"/>
              <w:rPr>
                <w:rFonts w:asciiTheme="minorHAnsi" w:hAnsiTheme="minorHAnsi" w:cstheme="minorHAnsi"/>
                <w:strike/>
              </w:rPr>
            </w:pPr>
            <w:r w:rsidRPr="00D51FA3">
              <w:rPr>
                <w:rFonts w:asciiTheme="minorHAnsi" w:hAnsiTheme="minorHAnsi" w:cstheme="minorHAnsi"/>
                <w:strike/>
              </w:rPr>
              <w:t>AN</w:t>
            </w:r>
          </w:p>
        </w:tc>
        <w:tc>
          <w:tcPr>
            <w:tcW w:w="720" w:type="dxa"/>
            <w:tcBorders>
              <w:top w:val="single" w:sz="6" w:space="0" w:color="000000"/>
              <w:left w:val="single" w:sz="6" w:space="0" w:color="000000"/>
              <w:bottom w:val="single" w:sz="6" w:space="0" w:color="000000"/>
              <w:right w:val="single" w:sz="6" w:space="0" w:color="000000"/>
            </w:tcBorders>
            <w:hideMark/>
          </w:tcPr>
          <w:p w14:paraId="127A04DD" w14:textId="77777777" w:rsidR="006B5F86" w:rsidRPr="00D51FA3" w:rsidRDefault="006B5F86">
            <w:pPr>
              <w:pStyle w:val="TableParagraph"/>
              <w:spacing w:line="254" w:lineRule="auto"/>
              <w:jc w:val="center"/>
              <w:rPr>
                <w:rFonts w:asciiTheme="minorHAnsi" w:hAnsiTheme="minorHAnsi" w:cstheme="minorHAnsi"/>
                <w:strike/>
              </w:rPr>
            </w:pPr>
            <w:r w:rsidRPr="00D51FA3">
              <w:rPr>
                <w:rFonts w:asciiTheme="minorHAnsi" w:hAnsiTheme="minorHAnsi" w:cstheme="minorHAnsi"/>
                <w:strike/>
              </w:rPr>
              <w:t>M</w:t>
            </w:r>
          </w:p>
        </w:tc>
        <w:tc>
          <w:tcPr>
            <w:tcW w:w="1620" w:type="dxa"/>
            <w:tcBorders>
              <w:top w:val="single" w:sz="6" w:space="0" w:color="000000"/>
              <w:left w:val="single" w:sz="6" w:space="0" w:color="000000"/>
              <w:bottom w:val="single" w:sz="6" w:space="0" w:color="000000"/>
              <w:right w:val="double" w:sz="2" w:space="0" w:color="000000"/>
            </w:tcBorders>
            <w:hideMark/>
          </w:tcPr>
          <w:p w14:paraId="6E195C9D" w14:textId="77777777" w:rsidR="006B5F86" w:rsidRPr="00D51FA3" w:rsidRDefault="006B5F86">
            <w:pPr>
              <w:pStyle w:val="TableParagraph"/>
              <w:spacing w:line="254" w:lineRule="auto"/>
              <w:ind w:right="167"/>
              <w:rPr>
                <w:rFonts w:asciiTheme="minorHAnsi" w:hAnsiTheme="minorHAnsi" w:cstheme="minorHAnsi"/>
                <w:strike/>
              </w:rPr>
            </w:pPr>
            <w:r w:rsidRPr="00D51FA3">
              <w:rPr>
                <w:rFonts w:asciiTheme="minorHAnsi" w:hAnsiTheme="minorHAnsi" w:cstheme="minorHAnsi"/>
                <w:strike/>
              </w:rPr>
              <w:t>See Code Values Dictionary – NAESB WGQ Version Final Action As-Of Date.</w:t>
            </w:r>
          </w:p>
        </w:tc>
      </w:tr>
      <w:tr w:rsidR="006B5F86" w:rsidRPr="00D51FA3" w14:paraId="34683076" w14:textId="77777777" w:rsidTr="00B7721A">
        <w:trPr>
          <w:cantSplit/>
          <w:trHeight w:val="20"/>
        </w:trPr>
        <w:tc>
          <w:tcPr>
            <w:tcW w:w="450" w:type="dxa"/>
            <w:tcBorders>
              <w:top w:val="single" w:sz="6" w:space="0" w:color="000000"/>
              <w:left w:val="double" w:sz="2" w:space="0" w:color="000000"/>
              <w:bottom w:val="single" w:sz="6" w:space="0" w:color="000000"/>
              <w:right w:val="single" w:sz="6" w:space="0" w:color="000000"/>
            </w:tcBorders>
            <w:hideMark/>
          </w:tcPr>
          <w:p w14:paraId="2D8E72B5" w14:textId="77777777" w:rsidR="006B5F86" w:rsidRPr="00D51FA3" w:rsidRDefault="006B5F86">
            <w:pPr>
              <w:pStyle w:val="TableParagraph"/>
              <w:spacing w:before="77" w:line="254" w:lineRule="auto"/>
              <w:ind w:left="107"/>
              <w:rPr>
                <w:rFonts w:asciiTheme="minorHAnsi" w:hAnsiTheme="minorHAnsi" w:cstheme="minorHAnsi"/>
                <w:strike/>
              </w:rPr>
            </w:pPr>
            <w:r w:rsidRPr="00D51FA3">
              <w:rPr>
                <w:rFonts w:asciiTheme="minorHAnsi" w:hAnsiTheme="minorHAnsi" w:cstheme="minorHAnsi"/>
                <w:strike/>
              </w:rPr>
              <w:t>H</w:t>
            </w:r>
          </w:p>
        </w:tc>
        <w:tc>
          <w:tcPr>
            <w:tcW w:w="2340" w:type="dxa"/>
            <w:tcBorders>
              <w:top w:val="single" w:sz="6" w:space="0" w:color="000000"/>
              <w:left w:val="double" w:sz="2" w:space="0" w:color="000000"/>
              <w:bottom w:val="single" w:sz="6" w:space="0" w:color="000000"/>
              <w:right w:val="single" w:sz="6" w:space="0" w:color="000000"/>
            </w:tcBorders>
            <w:hideMark/>
          </w:tcPr>
          <w:p w14:paraId="4CD35E1F" w14:textId="77777777" w:rsidR="006B5F86" w:rsidRPr="00D51FA3" w:rsidRDefault="006B5F86">
            <w:pPr>
              <w:pStyle w:val="TableParagraph"/>
              <w:spacing w:before="77" w:line="254" w:lineRule="auto"/>
              <w:ind w:left="107"/>
              <w:rPr>
                <w:rFonts w:asciiTheme="minorHAnsi" w:hAnsiTheme="minorHAnsi" w:cstheme="minorHAnsi"/>
                <w:strike/>
              </w:rPr>
            </w:pPr>
            <w:r w:rsidRPr="00D51FA3">
              <w:rPr>
                <w:rFonts w:asciiTheme="minorHAnsi" w:hAnsiTheme="minorHAnsi" w:cstheme="minorHAnsi"/>
                <w:strike/>
              </w:rPr>
              <w:t>NAESB WGQ Standard No</w:t>
            </w:r>
          </w:p>
          <w:p w14:paraId="63CEB954" w14:textId="77777777" w:rsidR="006B5F86" w:rsidRPr="00D51FA3" w:rsidRDefault="006B5F86">
            <w:pPr>
              <w:pStyle w:val="TableParagraph"/>
              <w:spacing w:before="77" w:line="254" w:lineRule="auto"/>
              <w:ind w:left="107"/>
              <w:rPr>
                <w:rFonts w:asciiTheme="minorHAnsi" w:hAnsiTheme="minorHAnsi" w:cstheme="minorHAnsi"/>
                <w:strike/>
              </w:rPr>
            </w:pPr>
            <w:r w:rsidRPr="00D51FA3">
              <w:rPr>
                <w:rFonts w:asciiTheme="minorHAnsi" w:hAnsiTheme="minorHAnsi" w:cstheme="minorHAnsi"/>
                <w:strike/>
              </w:rPr>
              <w:t>(Standard)</w:t>
            </w:r>
          </w:p>
        </w:tc>
        <w:tc>
          <w:tcPr>
            <w:tcW w:w="3240" w:type="dxa"/>
            <w:tcBorders>
              <w:top w:val="single" w:sz="6" w:space="0" w:color="000000"/>
              <w:left w:val="single" w:sz="6" w:space="0" w:color="000000"/>
              <w:bottom w:val="single" w:sz="6" w:space="0" w:color="000000"/>
              <w:right w:val="single" w:sz="6" w:space="0" w:color="000000"/>
            </w:tcBorders>
            <w:hideMark/>
          </w:tcPr>
          <w:p w14:paraId="0CA8C534" w14:textId="77777777" w:rsidR="006B5F86" w:rsidRPr="00D51FA3" w:rsidRDefault="006B5F86">
            <w:pPr>
              <w:pStyle w:val="TableParagraph"/>
              <w:spacing w:before="77" w:line="254" w:lineRule="auto"/>
              <w:ind w:left="121" w:right="150"/>
              <w:rPr>
                <w:rFonts w:asciiTheme="minorHAnsi" w:hAnsiTheme="minorHAnsi" w:cstheme="minorHAnsi"/>
                <w:strike/>
              </w:rPr>
            </w:pPr>
            <w:r w:rsidRPr="00D51FA3">
              <w:rPr>
                <w:rFonts w:asciiTheme="minorHAnsi" w:hAnsiTheme="minorHAnsi" w:cstheme="minorHAnsi"/>
                <w:strike/>
              </w:rPr>
              <w:t xml:space="preserve">The NAESB WGQ Standard Number under which this information is transmitted. </w:t>
            </w:r>
          </w:p>
        </w:tc>
        <w:tc>
          <w:tcPr>
            <w:tcW w:w="990" w:type="dxa"/>
            <w:tcBorders>
              <w:top w:val="single" w:sz="6" w:space="0" w:color="000000"/>
              <w:left w:val="single" w:sz="6" w:space="0" w:color="000000"/>
              <w:bottom w:val="single" w:sz="6" w:space="0" w:color="000000"/>
              <w:right w:val="single" w:sz="6" w:space="0" w:color="000000"/>
            </w:tcBorders>
            <w:hideMark/>
          </w:tcPr>
          <w:p w14:paraId="41A20EC4" w14:textId="77777777" w:rsidR="006B5F86" w:rsidRPr="00D51FA3" w:rsidRDefault="006B5F86">
            <w:pPr>
              <w:pStyle w:val="TableParagraph"/>
              <w:spacing w:line="254" w:lineRule="auto"/>
              <w:jc w:val="center"/>
              <w:rPr>
                <w:rFonts w:asciiTheme="minorHAnsi" w:hAnsiTheme="minorHAnsi" w:cstheme="minorHAnsi"/>
                <w:strike/>
              </w:rPr>
            </w:pPr>
            <w:r w:rsidRPr="00D51FA3">
              <w:rPr>
                <w:rFonts w:asciiTheme="minorHAnsi" w:hAnsiTheme="minorHAnsi" w:cstheme="minorHAnsi"/>
                <w:strike/>
              </w:rPr>
              <w:t>AN</w:t>
            </w:r>
          </w:p>
          <w:p w14:paraId="011D5BDC" w14:textId="77777777" w:rsidR="006B5F86" w:rsidRPr="00D51FA3" w:rsidRDefault="006B5F86">
            <w:pPr>
              <w:pStyle w:val="TableParagraph"/>
              <w:spacing w:line="254" w:lineRule="auto"/>
              <w:jc w:val="center"/>
              <w:rPr>
                <w:rFonts w:asciiTheme="minorHAnsi" w:hAnsiTheme="minorHAnsi" w:cstheme="minorHAnsi"/>
                <w:strike/>
              </w:rPr>
            </w:pPr>
            <w:r w:rsidRPr="00D51FA3">
              <w:rPr>
                <w:rFonts w:asciiTheme="minorHAnsi" w:hAnsiTheme="minorHAnsi" w:cstheme="minorHAnsi"/>
                <w:strike/>
              </w:rPr>
              <w:t>1/10</w:t>
            </w:r>
          </w:p>
        </w:tc>
        <w:tc>
          <w:tcPr>
            <w:tcW w:w="720" w:type="dxa"/>
            <w:tcBorders>
              <w:top w:val="single" w:sz="6" w:space="0" w:color="000000"/>
              <w:left w:val="single" w:sz="6" w:space="0" w:color="000000"/>
              <w:bottom w:val="single" w:sz="6" w:space="0" w:color="000000"/>
              <w:right w:val="single" w:sz="6" w:space="0" w:color="000000"/>
            </w:tcBorders>
            <w:hideMark/>
          </w:tcPr>
          <w:p w14:paraId="5E59B48D" w14:textId="77777777" w:rsidR="006B5F86" w:rsidRPr="00D51FA3" w:rsidRDefault="006B5F86">
            <w:pPr>
              <w:pStyle w:val="TableParagraph"/>
              <w:spacing w:line="254" w:lineRule="auto"/>
              <w:jc w:val="center"/>
              <w:rPr>
                <w:rFonts w:asciiTheme="minorHAnsi" w:hAnsiTheme="minorHAnsi" w:cstheme="minorHAnsi"/>
                <w:strike/>
              </w:rPr>
            </w:pPr>
            <w:r w:rsidRPr="00D51FA3">
              <w:rPr>
                <w:rFonts w:asciiTheme="minorHAnsi" w:hAnsiTheme="minorHAnsi" w:cstheme="minorHAnsi"/>
                <w:strike/>
              </w:rPr>
              <w:t>M</w:t>
            </w:r>
          </w:p>
        </w:tc>
        <w:tc>
          <w:tcPr>
            <w:tcW w:w="1620" w:type="dxa"/>
            <w:tcBorders>
              <w:top w:val="single" w:sz="6" w:space="0" w:color="000000"/>
              <w:left w:val="single" w:sz="6" w:space="0" w:color="000000"/>
              <w:bottom w:val="single" w:sz="6" w:space="0" w:color="000000"/>
              <w:right w:val="double" w:sz="2" w:space="0" w:color="000000"/>
            </w:tcBorders>
          </w:tcPr>
          <w:p w14:paraId="327076D1" w14:textId="441F6105" w:rsidR="006B5F86" w:rsidRPr="00D51FA3" w:rsidRDefault="006B5F86">
            <w:pPr>
              <w:pStyle w:val="TableParagraph"/>
              <w:spacing w:line="254" w:lineRule="auto"/>
              <w:ind w:right="167"/>
              <w:rPr>
                <w:rFonts w:asciiTheme="minorHAnsi" w:hAnsiTheme="minorHAnsi" w:cstheme="minorHAnsi"/>
                <w:strike/>
              </w:rPr>
            </w:pPr>
            <w:r w:rsidRPr="00D51FA3">
              <w:rPr>
                <w:rFonts w:asciiTheme="minorHAnsi" w:hAnsiTheme="minorHAnsi" w:cstheme="minorHAnsi"/>
                <w:strike/>
              </w:rPr>
              <w:t>Value for this document = 6.4.</w:t>
            </w:r>
            <w:r w:rsidR="00783065" w:rsidRPr="00D51FA3">
              <w:rPr>
                <w:rFonts w:asciiTheme="minorHAnsi" w:hAnsiTheme="minorHAnsi" w:cstheme="minorHAnsi"/>
                <w:strike/>
              </w:rPr>
              <w:t>1</w:t>
            </w:r>
          </w:p>
          <w:p w14:paraId="1F8AFCF4" w14:textId="77777777" w:rsidR="006B5F86" w:rsidRPr="00D51FA3" w:rsidRDefault="006B5F86">
            <w:pPr>
              <w:pStyle w:val="TableParagraph"/>
              <w:spacing w:line="254" w:lineRule="auto"/>
              <w:ind w:right="167"/>
              <w:rPr>
                <w:rFonts w:asciiTheme="minorHAnsi" w:hAnsiTheme="minorHAnsi" w:cstheme="minorHAnsi"/>
                <w:strike/>
              </w:rPr>
            </w:pPr>
          </w:p>
          <w:p w14:paraId="3216EBFE" w14:textId="77777777" w:rsidR="006B5F86" w:rsidRPr="00D51FA3" w:rsidRDefault="006B5F86">
            <w:pPr>
              <w:pStyle w:val="TableParagraph"/>
              <w:spacing w:line="254" w:lineRule="auto"/>
              <w:ind w:right="167"/>
              <w:rPr>
                <w:rFonts w:asciiTheme="minorHAnsi" w:hAnsiTheme="minorHAnsi" w:cstheme="minorHAnsi"/>
                <w:strike/>
              </w:rPr>
            </w:pPr>
            <w:r w:rsidRPr="00D51FA3">
              <w:rPr>
                <w:rFonts w:asciiTheme="minorHAnsi" w:hAnsiTheme="minorHAnsi" w:cstheme="minorHAnsi"/>
                <w:strike/>
              </w:rPr>
              <w:t>There is not an equivalent to this in the 6.3.1 Contract Exhibit A.</w:t>
            </w:r>
          </w:p>
        </w:tc>
      </w:tr>
    </w:tbl>
    <w:p w14:paraId="07B0BC35" w14:textId="4CAE5D4B" w:rsidR="006B5F86" w:rsidRPr="00D51FA3" w:rsidRDefault="006B5F86" w:rsidP="006B5F86">
      <w:pPr>
        <w:pStyle w:val="ListParagraph"/>
        <w:numPr>
          <w:ilvl w:val="1"/>
          <w:numId w:val="2"/>
        </w:numPr>
        <w:rPr>
          <w:strike/>
        </w:rPr>
      </w:pPr>
      <w:r w:rsidRPr="00D51FA3">
        <w:rPr>
          <w:strike/>
        </w:rPr>
        <w:t xml:space="preserve">Add this to contract: </w:t>
      </w:r>
      <w:r w:rsidRPr="00D51FA3">
        <w:rPr>
          <w:strike/>
          <w:szCs w:val="24"/>
        </w:rPr>
        <w:t xml:space="preserve">NAESB versioning – what do we do/how do we capture Final Actions </w:t>
      </w:r>
      <w:r w:rsidR="008574F1" w:rsidRPr="00D51FA3">
        <w:rPr>
          <w:strike/>
          <w:szCs w:val="24"/>
        </w:rPr>
        <w:t>implemented post Version publication – how do we capture this in the dataset/transmission for proper validation. Final Actions are currently as-of dates</w:t>
      </w:r>
      <w:r w:rsidR="008574F1" w:rsidRPr="00D51FA3">
        <w:rPr>
          <w:strike/>
          <w:sz w:val="28"/>
          <w:szCs w:val="28"/>
        </w:rPr>
        <w:t>.</w:t>
      </w:r>
    </w:p>
    <w:tbl>
      <w:tblPr>
        <w:tblpPr w:leftFromText="180" w:rightFromText="180" w:bottomFromText="160" w:vertAnchor="text" w:tblpY="-68"/>
        <w:tblW w:w="94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510"/>
        <w:gridCol w:w="4234"/>
        <w:gridCol w:w="2698"/>
      </w:tblGrid>
      <w:tr w:rsidR="006B5F86" w:rsidRPr="00D51FA3" w14:paraId="2D972935" w14:textId="77777777" w:rsidTr="008574F1">
        <w:trPr>
          <w:trHeight w:val="415"/>
        </w:trPr>
        <w:tc>
          <w:tcPr>
            <w:tcW w:w="2510" w:type="dxa"/>
            <w:tcBorders>
              <w:top w:val="double" w:sz="2" w:space="0" w:color="000000"/>
              <w:left w:val="double" w:sz="2" w:space="0" w:color="000000"/>
              <w:bottom w:val="double" w:sz="2" w:space="0" w:color="000000"/>
              <w:right w:val="single" w:sz="6" w:space="0" w:color="000000"/>
            </w:tcBorders>
            <w:hideMark/>
          </w:tcPr>
          <w:p w14:paraId="2230EBDD" w14:textId="77777777" w:rsidR="006B5F86" w:rsidRPr="00D51FA3" w:rsidRDefault="006B5F86">
            <w:pPr>
              <w:pStyle w:val="TableParagraph"/>
              <w:spacing w:before="75" w:line="254" w:lineRule="auto"/>
              <w:ind w:left="102" w:right="738"/>
              <w:rPr>
                <w:rFonts w:ascii="Calibri" w:hAnsi="Calibri" w:cs="Calibri"/>
                <w:b/>
                <w:strike/>
              </w:rPr>
            </w:pPr>
            <w:r w:rsidRPr="00D51FA3">
              <w:rPr>
                <w:rFonts w:ascii="Calibri" w:hAnsi="Calibri" w:cs="Calibri"/>
                <w:b/>
                <w:strike/>
              </w:rPr>
              <w:lastRenderedPageBreak/>
              <w:t>Code Value Description (Abbreviation)</w:t>
            </w:r>
          </w:p>
        </w:tc>
        <w:tc>
          <w:tcPr>
            <w:tcW w:w="4234" w:type="dxa"/>
            <w:tcBorders>
              <w:top w:val="double" w:sz="2" w:space="0" w:color="000000"/>
              <w:left w:val="single" w:sz="6" w:space="0" w:color="000000"/>
              <w:bottom w:val="double" w:sz="2" w:space="0" w:color="000000"/>
              <w:right w:val="single" w:sz="6" w:space="0" w:color="000000"/>
            </w:tcBorders>
          </w:tcPr>
          <w:p w14:paraId="49D53003" w14:textId="77777777" w:rsidR="006B5F86" w:rsidRPr="00D51FA3" w:rsidRDefault="006B5F86">
            <w:pPr>
              <w:pStyle w:val="TableParagraph"/>
              <w:spacing w:before="5" w:line="254" w:lineRule="auto"/>
              <w:rPr>
                <w:rFonts w:ascii="Calibri" w:hAnsi="Calibri" w:cs="Calibri"/>
                <w:b/>
                <w:strike/>
              </w:rPr>
            </w:pPr>
          </w:p>
          <w:p w14:paraId="129FBBCF" w14:textId="77777777" w:rsidR="006B5F86" w:rsidRPr="00D51FA3" w:rsidRDefault="006B5F86">
            <w:pPr>
              <w:pStyle w:val="TableParagraph"/>
              <w:spacing w:line="254" w:lineRule="auto"/>
              <w:ind w:left="117"/>
              <w:rPr>
                <w:rFonts w:ascii="Calibri" w:hAnsi="Calibri" w:cs="Calibri"/>
                <w:b/>
                <w:strike/>
              </w:rPr>
            </w:pPr>
            <w:r w:rsidRPr="00D51FA3">
              <w:rPr>
                <w:rFonts w:ascii="Calibri" w:hAnsi="Calibri" w:cs="Calibri"/>
                <w:b/>
                <w:strike/>
              </w:rPr>
              <w:t>Code Value Definition</w:t>
            </w:r>
          </w:p>
        </w:tc>
        <w:tc>
          <w:tcPr>
            <w:tcW w:w="2698" w:type="dxa"/>
            <w:tcBorders>
              <w:top w:val="double" w:sz="2" w:space="0" w:color="000000"/>
              <w:left w:val="single" w:sz="6" w:space="0" w:color="000000"/>
              <w:bottom w:val="double" w:sz="2" w:space="0" w:color="000000"/>
              <w:right w:val="double" w:sz="2" w:space="0" w:color="000000"/>
            </w:tcBorders>
          </w:tcPr>
          <w:p w14:paraId="14F4AA13" w14:textId="77777777" w:rsidR="006B5F86" w:rsidRPr="00D51FA3" w:rsidRDefault="006B5F86">
            <w:pPr>
              <w:pStyle w:val="TableParagraph"/>
              <w:spacing w:before="5" w:line="254" w:lineRule="auto"/>
              <w:rPr>
                <w:rFonts w:ascii="Calibri" w:hAnsi="Calibri" w:cs="Calibri"/>
                <w:b/>
                <w:strike/>
              </w:rPr>
            </w:pPr>
          </w:p>
          <w:p w14:paraId="092D6562" w14:textId="77777777" w:rsidR="006B5F86" w:rsidRPr="00D51FA3" w:rsidRDefault="006B5F86">
            <w:pPr>
              <w:pStyle w:val="TableParagraph"/>
              <w:spacing w:line="254" w:lineRule="auto"/>
              <w:ind w:left="209" w:right="178"/>
              <w:jc w:val="center"/>
              <w:rPr>
                <w:rFonts w:ascii="Calibri" w:hAnsi="Calibri" w:cs="Calibri"/>
                <w:b/>
                <w:strike/>
              </w:rPr>
            </w:pPr>
            <w:r w:rsidRPr="00D51FA3">
              <w:rPr>
                <w:rFonts w:ascii="Calibri" w:hAnsi="Calibri" w:cs="Calibri"/>
                <w:b/>
                <w:strike/>
              </w:rPr>
              <w:t>Code Value</w:t>
            </w:r>
          </w:p>
        </w:tc>
      </w:tr>
      <w:tr w:rsidR="006B5F86" w:rsidRPr="00D51FA3" w14:paraId="7F35EF22" w14:textId="77777777" w:rsidTr="008574F1">
        <w:trPr>
          <w:trHeight w:val="416"/>
        </w:trPr>
        <w:tc>
          <w:tcPr>
            <w:tcW w:w="2510" w:type="dxa"/>
            <w:tcBorders>
              <w:top w:val="single" w:sz="4" w:space="0" w:color="auto"/>
              <w:left w:val="double" w:sz="2" w:space="0" w:color="000000"/>
              <w:bottom w:val="single" w:sz="4" w:space="0" w:color="auto"/>
              <w:right w:val="single" w:sz="6" w:space="0" w:color="000000"/>
            </w:tcBorders>
          </w:tcPr>
          <w:p w14:paraId="1B14B078" w14:textId="77777777" w:rsidR="006B5F86" w:rsidRPr="00D51FA3" w:rsidRDefault="006B5F86">
            <w:pPr>
              <w:pStyle w:val="TableParagraph"/>
              <w:spacing w:before="80" w:line="254" w:lineRule="auto"/>
              <w:ind w:left="102" w:right="1088"/>
              <w:rPr>
                <w:rFonts w:ascii="Calibri" w:hAnsi="Calibri" w:cs="Calibri"/>
                <w:strike/>
              </w:rPr>
            </w:pPr>
            <w:r w:rsidRPr="00D51FA3">
              <w:rPr>
                <w:rFonts w:ascii="Calibri" w:hAnsi="Calibri" w:cs="Calibri"/>
                <w:strike/>
              </w:rPr>
              <w:t>6.3.1 Contract Revised11/21/2019</w:t>
            </w:r>
          </w:p>
          <w:p w14:paraId="03C2B9BF" w14:textId="77777777" w:rsidR="006B5F86" w:rsidRPr="00D51FA3" w:rsidRDefault="006B5F86">
            <w:pPr>
              <w:pStyle w:val="TableParagraph"/>
              <w:spacing w:before="80" w:line="254" w:lineRule="auto"/>
              <w:ind w:left="102" w:right="1088"/>
              <w:rPr>
                <w:rFonts w:ascii="Calibri" w:hAnsi="Calibri" w:cs="Calibri"/>
                <w:strike/>
              </w:rPr>
            </w:pPr>
          </w:p>
        </w:tc>
        <w:tc>
          <w:tcPr>
            <w:tcW w:w="4234" w:type="dxa"/>
            <w:tcBorders>
              <w:top w:val="single" w:sz="4" w:space="0" w:color="auto"/>
              <w:left w:val="single" w:sz="6" w:space="0" w:color="000000"/>
              <w:bottom w:val="single" w:sz="4" w:space="0" w:color="auto"/>
              <w:right w:val="single" w:sz="6" w:space="0" w:color="000000"/>
            </w:tcBorders>
            <w:hideMark/>
          </w:tcPr>
          <w:p w14:paraId="605C992B" w14:textId="77777777" w:rsidR="006B5F86" w:rsidRPr="00D51FA3" w:rsidRDefault="006B5F86">
            <w:pPr>
              <w:pStyle w:val="TableParagraph"/>
              <w:spacing w:before="80" w:line="254" w:lineRule="auto"/>
              <w:ind w:left="117"/>
              <w:rPr>
                <w:rFonts w:ascii="Calibri" w:hAnsi="Calibri" w:cs="Calibri"/>
                <w:strike/>
              </w:rPr>
            </w:pPr>
            <w:r w:rsidRPr="00D51FA3">
              <w:rPr>
                <w:rFonts w:ascii="Calibri" w:hAnsi="Calibri" w:cs="Calibri"/>
                <w:strike/>
              </w:rPr>
              <w:t>WGQ 6.3.1 - NAESB Base Contract for Sale and Purchase of Natural Gas adopted on September 5, 2006 in </w:t>
            </w:r>
            <w:hyperlink r:id="rId5" w:tgtFrame="new" w:history="1">
              <w:r w:rsidRPr="00D51FA3">
                <w:rPr>
                  <w:rStyle w:val="Hyperlink"/>
                  <w:rFonts w:ascii="Calibri" w:hAnsi="Calibri" w:cs="Calibri"/>
                  <w:strike/>
                </w:rPr>
                <w:t>Microsoft Word Version</w:t>
              </w:r>
            </w:hyperlink>
            <w:r w:rsidRPr="00D51FA3">
              <w:rPr>
                <w:rFonts w:ascii="Calibri" w:hAnsi="Calibri" w:cs="Calibri"/>
                <w:strike/>
              </w:rPr>
              <w:t> or in </w:t>
            </w:r>
            <w:hyperlink r:id="rId6" w:tgtFrame="new" w:history="1">
              <w:r w:rsidRPr="00D51FA3">
                <w:rPr>
                  <w:rStyle w:val="Hyperlink"/>
                  <w:rFonts w:ascii="Calibri" w:hAnsi="Calibri" w:cs="Calibri"/>
                  <w:strike/>
                </w:rPr>
                <w:t>PDF Format.</w:t>
              </w:r>
            </w:hyperlink>
            <w:r w:rsidRPr="00D51FA3">
              <w:rPr>
                <w:rFonts w:ascii="Calibri" w:hAnsi="Calibri" w:cs="Calibri"/>
                <w:b/>
                <w:bCs/>
                <w:strike/>
              </w:rPr>
              <w:t> (Minor Correction Applied 09/19/2011, Revised by R15003/R15007, 04/04/2016, Revised by R19006, 11/21/2019)</w:t>
            </w:r>
          </w:p>
        </w:tc>
        <w:tc>
          <w:tcPr>
            <w:tcW w:w="2698" w:type="dxa"/>
            <w:tcBorders>
              <w:top w:val="single" w:sz="4" w:space="0" w:color="auto"/>
              <w:left w:val="single" w:sz="6" w:space="0" w:color="000000"/>
              <w:bottom w:val="single" w:sz="4" w:space="0" w:color="auto"/>
              <w:right w:val="double" w:sz="2" w:space="0" w:color="000000"/>
            </w:tcBorders>
            <w:hideMark/>
          </w:tcPr>
          <w:p w14:paraId="5B6CFD15" w14:textId="77777777" w:rsidR="006B5F86" w:rsidRPr="00D51FA3" w:rsidRDefault="006B5F86">
            <w:pPr>
              <w:pStyle w:val="TableParagraph"/>
              <w:spacing w:before="80" w:line="254" w:lineRule="auto"/>
              <w:ind w:left="209" w:right="177"/>
              <w:jc w:val="center"/>
              <w:rPr>
                <w:rFonts w:ascii="Calibri" w:hAnsi="Calibri" w:cs="Calibri"/>
                <w:strike/>
              </w:rPr>
            </w:pPr>
            <w:r w:rsidRPr="00D51FA3">
              <w:rPr>
                <w:rFonts w:ascii="Calibri" w:hAnsi="Calibri" w:cs="Calibri"/>
                <w:strike/>
              </w:rPr>
              <w:t>20191121</w:t>
            </w:r>
          </w:p>
        </w:tc>
      </w:tr>
      <w:tr w:rsidR="006B5F86" w:rsidRPr="00D51FA3" w14:paraId="7310AA65" w14:textId="77777777" w:rsidTr="008574F1">
        <w:trPr>
          <w:trHeight w:val="416"/>
        </w:trPr>
        <w:tc>
          <w:tcPr>
            <w:tcW w:w="2510" w:type="dxa"/>
            <w:tcBorders>
              <w:top w:val="single" w:sz="4" w:space="0" w:color="auto"/>
              <w:left w:val="double" w:sz="2" w:space="0" w:color="000000"/>
              <w:bottom w:val="single" w:sz="4" w:space="0" w:color="auto"/>
              <w:right w:val="single" w:sz="6" w:space="0" w:color="000000"/>
            </w:tcBorders>
          </w:tcPr>
          <w:p w14:paraId="5323E9C1" w14:textId="77777777" w:rsidR="006B5F86" w:rsidRPr="00D51FA3" w:rsidRDefault="006B5F86">
            <w:pPr>
              <w:pStyle w:val="TableParagraph"/>
              <w:spacing w:before="80" w:line="254" w:lineRule="auto"/>
              <w:ind w:left="102" w:right="1088"/>
              <w:rPr>
                <w:rFonts w:ascii="Calibri" w:hAnsi="Calibri" w:cs="Calibri"/>
                <w:strike/>
              </w:rPr>
            </w:pPr>
          </w:p>
        </w:tc>
        <w:tc>
          <w:tcPr>
            <w:tcW w:w="4234" w:type="dxa"/>
            <w:tcBorders>
              <w:top w:val="single" w:sz="4" w:space="0" w:color="auto"/>
              <w:left w:val="single" w:sz="6" w:space="0" w:color="000000"/>
              <w:bottom w:val="single" w:sz="4" w:space="0" w:color="auto"/>
              <w:right w:val="single" w:sz="6" w:space="0" w:color="000000"/>
            </w:tcBorders>
          </w:tcPr>
          <w:p w14:paraId="23CB7B70" w14:textId="77777777" w:rsidR="006B5F86" w:rsidRPr="00D51FA3" w:rsidRDefault="006B5F86">
            <w:pPr>
              <w:pStyle w:val="TableParagraph"/>
              <w:spacing w:before="80" w:line="254" w:lineRule="auto"/>
              <w:ind w:left="117"/>
              <w:rPr>
                <w:rFonts w:ascii="Calibri" w:hAnsi="Calibri" w:cs="Calibri"/>
                <w:strike/>
              </w:rPr>
            </w:pPr>
          </w:p>
        </w:tc>
        <w:tc>
          <w:tcPr>
            <w:tcW w:w="2698" w:type="dxa"/>
            <w:tcBorders>
              <w:top w:val="single" w:sz="4" w:space="0" w:color="auto"/>
              <w:left w:val="single" w:sz="6" w:space="0" w:color="000000"/>
              <w:bottom w:val="single" w:sz="4" w:space="0" w:color="auto"/>
              <w:right w:val="double" w:sz="2" w:space="0" w:color="000000"/>
            </w:tcBorders>
          </w:tcPr>
          <w:p w14:paraId="504B47DC" w14:textId="77777777" w:rsidR="006B5F86" w:rsidRPr="00D51FA3" w:rsidRDefault="006B5F86">
            <w:pPr>
              <w:pStyle w:val="TableParagraph"/>
              <w:spacing w:before="80" w:line="254" w:lineRule="auto"/>
              <w:ind w:left="209" w:right="177"/>
              <w:jc w:val="center"/>
              <w:rPr>
                <w:rFonts w:ascii="Calibri" w:hAnsi="Calibri" w:cs="Calibri"/>
                <w:strike/>
              </w:rPr>
            </w:pPr>
          </w:p>
        </w:tc>
      </w:tr>
      <w:tr w:rsidR="006B5F86" w:rsidRPr="00D51FA3" w14:paraId="1F19DA82" w14:textId="77777777" w:rsidTr="008574F1">
        <w:trPr>
          <w:trHeight w:val="416"/>
        </w:trPr>
        <w:tc>
          <w:tcPr>
            <w:tcW w:w="2510" w:type="dxa"/>
            <w:tcBorders>
              <w:top w:val="single" w:sz="4" w:space="0" w:color="auto"/>
              <w:left w:val="double" w:sz="2" w:space="0" w:color="000000"/>
              <w:bottom w:val="single" w:sz="4" w:space="0" w:color="auto"/>
              <w:right w:val="single" w:sz="6" w:space="0" w:color="000000"/>
            </w:tcBorders>
            <w:hideMark/>
          </w:tcPr>
          <w:p w14:paraId="1C27E115" w14:textId="25DF6654" w:rsidR="006B5F86" w:rsidRPr="00D51FA3" w:rsidRDefault="006B5F86">
            <w:pPr>
              <w:pStyle w:val="TableParagraph"/>
              <w:spacing w:before="80" w:line="254" w:lineRule="auto"/>
              <w:ind w:left="102" w:right="217"/>
              <w:rPr>
                <w:rFonts w:ascii="Calibri" w:hAnsi="Calibri" w:cs="Calibri"/>
                <w:strike/>
              </w:rPr>
            </w:pPr>
          </w:p>
        </w:tc>
        <w:tc>
          <w:tcPr>
            <w:tcW w:w="4234" w:type="dxa"/>
            <w:tcBorders>
              <w:top w:val="single" w:sz="4" w:space="0" w:color="auto"/>
              <w:left w:val="single" w:sz="6" w:space="0" w:color="000000"/>
              <w:bottom w:val="single" w:sz="4" w:space="0" w:color="auto"/>
              <w:right w:val="single" w:sz="6" w:space="0" w:color="000000"/>
            </w:tcBorders>
            <w:hideMark/>
          </w:tcPr>
          <w:p w14:paraId="40F2A850" w14:textId="77777777" w:rsidR="006B5F86" w:rsidRPr="00D51FA3" w:rsidRDefault="006B5F86">
            <w:pPr>
              <w:pStyle w:val="TableParagraph"/>
              <w:spacing w:before="80" w:line="254" w:lineRule="auto"/>
              <w:ind w:left="117"/>
              <w:rPr>
                <w:rFonts w:ascii="Calibri" w:hAnsi="Calibri" w:cs="Calibri"/>
                <w:strike/>
              </w:rPr>
            </w:pPr>
            <w:r w:rsidRPr="00D51FA3">
              <w:rPr>
                <w:rFonts w:ascii="Calibri" w:hAnsi="Calibri" w:cs="Calibri"/>
                <w:strike/>
              </w:rPr>
              <w:t>WGQ 6.3.1 - NAESB Base Contract for Sale and Purchase of Natural Gas adopted on April 19, 2002 in </w:t>
            </w:r>
            <w:hyperlink r:id="rId7" w:tgtFrame="new" w:history="1">
              <w:r w:rsidRPr="00D51FA3">
                <w:rPr>
                  <w:rStyle w:val="Hyperlink"/>
                  <w:rFonts w:ascii="Calibri" w:hAnsi="Calibri" w:cs="Calibri"/>
                  <w:strike/>
                </w:rPr>
                <w:t>Microsoft Word Version.</w:t>
              </w:r>
            </w:hyperlink>
            <w:r w:rsidRPr="00D51FA3">
              <w:rPr>
                <w:rFonts w:ascii="Calibri" w:hAnsi="Calibri" w:cs="Calibri"/>
                <w:b/>
                <w:bCs/>
                <w:strike/>
              </w:rPr>
              <w:t> (Revised by R15003 (Part 2), 08/31/2016)</w:t>
            </w:r>
          </w:p>
        </w:tc>
        <w:tc>
          <w:tcPr>
            <w:tcW w:w="2698" w:type="dxa"/>
            <w:tcBorders>
              <w:top w:val="single" w:sz="4" w:space="0" w:color="auto"/>
              <w:left w:val="single" w:sz="6" w:space="0" w:color="000000"/>
              <w:bottom w:val="single" w:sz="4" w:space="0" w:color="auto"/>
              <w:right w:val="double" w:sz="2" w:space="0" w:color="000000"/>
            </w:tcBorders>
            <w:hideMark/>
          </w:tcPr>
          <w:p w14:paraId="382FDC0E" w14:textId="77777777" w:rsidR="006B5F86" w:rsidRPr="00D51FA3" w:rsidRDefault="006B5F86">
            <w:pPr>
              <w:pStyle w:val="TableParagraph"/>
              <w:spacing w:before="80" w:line="254" w:lineRule="auto"/>
              <w:ind w:left="209" w:right="177"/>
              <w:jc w:val="center"/>
              <w:rPr>
                <w:rFonts w:ascii="Calibri" w:hAnsi="Calibri" w:cs="Calibri"/>
                <w:strike/>
              </w:rPr>
            </w:pPr>
            <w:r w:rsidRPr="00D51FA3">
              <w:rPr>
                <w:rFonts w:ascii="Calibri" w:hAnsi="Calibri" w:cs="Calibri"/>
                <w:strike/>
              </w:rPr>
              <w:t>20160831</w:t>
            </w:r>
          </w:p>
        </w:tc>
      </w:tr>
      <w:tr w:rsidR="006B5F86" w:rsidRPr="00D51FA3" w14:paraId="2A89F6F0" w14:textId="77777777" w:rsidTr="008574F1">
        <w:trPr>
          <w:trHeight w:val="416"/>
        </w:trPr>
        <w:tc>
          <w:tcPr>
            <w:tcW w:w="2510" w:type="dxa"/>
            <w:tcBorders>
              <w:top w:val="single" w:sz="4" w:space="0" w:color="auto"/>
              <w:left w:val="double" w:sz="2" w:space="0" w:color="000000"/>
              <w:bottom w:val="single" w:sz="4" w:space="0" w:color="auto"/>
              <w:right w:val="single" w:sz="6" w:space="0" w:color="000000"/>
            </w:tcBorders>
            <w:hideMark/>
          </w:tcPr>
          <w:p w14:paraId="3DE06366" w14:textId="24139B8C" w:rsidR="00783065" w:rsidRPr="00D51FA3" w:rsidRDefault="00783065" w:rsidP="00783065">
            <w:pPr>
              <w:pStyle w:val="TableParagraph"/>
              <w:spacing w:before="80" w:line="254" w:lineRule="auto"/>
              <w:ind w:left="102" w:right="1088"/>
              <w:rPr>
                <w:rFonts w:ascii="Calibri" w:hAnsi="Calibri" w:cs="Calibri"/>
                <w:strike/>
              </w:rPr>
            </w:pPr>
          </w:p>
          <w:p w14:paraId="64522668" w14:textId="06657298" w:rsidR="006B5F86" w:rsidRPr="00D51FA3" w:rsidRDefault="006B5F86">
            <w:pPr>
              <w:pStyle w:val="TableParagraph"/>
              <w:spacing w:before="80" w:line="254" w:lineRule="auto"/>
              <w:ind w:left="102" w:right="217"/>
              <w:rPr>
                <w:rFonts w:ascii="Calibri" w:hAnsi="Calibri" w:cs="Calibri"/>
                <w:strike/>
              </w:rPr>
            </w:pPr>
          </w:p>
        </w:tc>
        <w:tc>
          <w:tcPr>
            <w:tcW w:w="4234" w:type="dxa"/>
            <w:tcBorders>
              <w:top w:val="single" w:sz="4" w:space="0" w:color="auto"/>
              <w:left w:val="single" w:sz="6" w:space="0" w:color="000000"/>
              <w:bottom w:val="single" w:sz="4" w:space="0" w:color="auto"/>
              <w:right w:val="single" w:sz="6" w:space="0" w:color="000000"/>
            </w:tcBorders>
            <w:hideMark/>
          </w:tcPr>
          <w:p w14:paraId="3E984244" w14:textId="77777777" w:rsidR="006B5F86" w:rsidRPr="00D51FA3" w:rsidRDefault="006B5F86">
            <w:pPr>
              <w:pStyle w:val="TableParagraph"/>
              <w:spacing w:before="80" w:line="254" w:lineRule="auto"/>
              <w:ind w:left="117"/>
              <w:rPr>
                <w:rFonts w:ascii="Calibri" w:hAnsi="Calibri" w:cs="Calibri"/>
                <w:strike/>
              </w:rPr>
            </w:pPr>
            <w:r w:rsidRPr="00D51FA3">
              <w:rPr>
                <w:rFonts w:ascii="Calibri" w:hAnsi="Calibri" w:cs="Calibri"/>
                <w:strike/>
                <w:color w:val="000000"/>
              </w:rPr>
              <w:t>Base Contract for Short-Term Sale and Purchase of Natural Gas adopted on January 7, 2000 in </w:t>
            </w:r>
            <w:hyperlink r:id="rId8" w:tgtFrame="new" w:history="1">
              <w:r w:rsidRPr="00D51FA3">
                <w:rPr>
                  <w:rStyle w:val="Hyperlink"/>
                  <w:rFonts w:ascii="Calibri" w:hAnsi="Calibri" w:cs="Calibri"/>
                  <w:strike/>
                  <w:color w:val="000000"/>
                </w:rPr>
                <w:t>Microsoft Word Version</w:t>
              </w:r>
            </w:hyperlink>
            <w:r w:rsidRPr="00D51FA3">
              <w:rPr>
                <w:rFonts w:ascii="Calibri" w:hAnsi="Calibri" w:cs="Calibri"/>
                <w:strike/>
                <w:color w:val="000000"/>
              </w:rPr>
              <w:t> or in </w:t>
            </w:r>
            <w:hyperlink r:id="rId9" w:tgtFrame="new" w:history="1">
              <w:r w:rsidRPr="00D51FA3">
                <w:rPr>
                  <w:rStyle w:val="Hyperlink"/>
                  <w:rFonts w:ascii="Calibri" w:hAnsi="Calibri" w:cs="Calibri"/>
                  <w:strike/>
                  <w:color w:val="000000"/>
                </w:rPr>
                <w:t>PDF Format.</w:t>
              </w:r>
            </w:hyperlink>
            <w:r w:rsidRPr="00D51FA3">
              <w:rPr>
                <w:rFonts w:ascii="Calibri" w:hAnsi="Calibri" w:cs="Calibri"/>
                <w:b/>
                <w:bCs/>
                <w:strike/>
                <w:color w:val="000000"/>
              </w:rPr>
              <w:t> (Revised by R15003 (Part 2), 08/31/2016)</w:t>
            </w:r>
            <w:r w:rsidRPr="00D51FA3">
              <w:rPr>
                <w:rFonts w:ascii="Calibri" w:hAnsi="Calibri" w:cs="Calibri"/>
                <w:strike/>
                <w:color w:val="000000"/>
              </w:rPr>
              <w:t> </w:t>
            </w:r>
          </w:p>
        </w:tc>
        <w:tc>
          <w:tcPr>
            <w:tcW w:w="2698" w:type="dxa"/>
            <w:tcBorders>
              <w:top w:val="single" w:sz="4" w:space="0" w:color="auto"/>
              <w:left w:val="single" w:sz="6" w:space="0" w:color="000000"/>
              <w:bottom w:val="single" w:sz="4" w:space="0" w:color="auto"/>
              <w:right w:val="double" w:sz="2" w:space="0" w:color="000000"/>
            </w:tcBorders>
            <w:hideMark/>
          </w:tcPr>
          <w:p w14:paraId="7233066A" w14:textId="77777777" w:rsidR="006B5F86" w:rsidRPr="00D51FA3" w:rsidRDefault="006B5F86">
            <w:pPr>
              <w:pStyle w:val="TableParagraph"/>
              <w:spacing w:before="80" w:line="254" w:lineRule="auto"/>
              <w:ind w:left="209" w:right="177"/>
              <w:jc w:val="center"/>
              <w:rPr>
                <w:rFonts w:ascii="Calibri" w:hAnsi="Calibri" w:cs="Calibri"/>
                <w:strike/>
              </w:rPr>
            </w:pPr>
            <w:r w:rsidRPr="00D51FA3">
              <w:rPr>
                <w:rFonts w:ascii="Calibri" w:hAnsi="Calibri" w:cs="Calibri"/>
                <w:strike/>
              </w:rPr>
              <w:t>20160831</w:t>
            </w:r>
          </w:p>
        </w:tc>
      </w:tr>
    </w:tbl>
    <w:p w14:paraId="14921ACA" w14:textId="77777777" w:rsidR="006B5F86" w:rsidRPr="00D51FA3" w:rsidRDefault="006B5F86" w:rsidP="007161AB">
      <w:pPr>
        <w:pStyle w:val="ListParagraph"/>
        <w:numPr>
          <w:ilvl w:val="1"/>
          <w:numId w:val="2"/>
        </w:numPr>
        <w:rPr>
          <w:strike/>
        </w:rPr>
      </w:pPr>
    </w:p>
    <w:p w14:paraId="1DD16CB1" w14:textId="418C3487" w:rsidR="006B5F86" w:rsidRDefault="006B5F86" w:rsidP="006B5F86">
      <w:pPr>
        <w:pStyle w:val="ListParagraph"/>
        <w:numPr>
          <w:ilvl w:val="0"/>
          <w:numId w:val="2"/>
        </w:numPr>
      </w:pPr>
      <w:r>
        <w:t xml:space="preserve">Review Keith’s workpapers for draft </w:t>
      </w:r>
      <w:r w:rsidRPr="008574F1">
        <w:rPr>
          <w:b/>
          <w:bCs/>
        </w:rPr>
        <w:t xml:space="preserve">6.3.1 Contract </w:t>
      </w:r>
      <w:r>
        <w:t>changes</w:t>
      </w:r>
      <w:r w:rsidR="007161AB">
        <w:t>, posted for 3/3/2020 meeting,</w:t>
      </w:r>
      <w:r>
        <w:t xml:space="preserve"> including</w:t>
      </w:r>
      <w:r w:rsidR="007161AB">
        <w:t xml:space="preserve"> these parking lot items</w:t>
      </w:r>
      <w:r>
        <w:t>:</w:t>
      </w:r>
    </w:p>
    <w:p w14:paraId="0CCD988A" w14:textId="55860660" w:rsidR="006B5F86" w:rsidRDefault="006B5F86" w:rsidP="006B5F86">
      <w:pPr>
        <w:pStyle w:val="ListParagraph"/>
        <w:numPr>
          <w:ilvl w:val="1"/>
          <w:numId w:val="2"/>
        </w:numPr>
      </w:pPr>
      <w:r>
        <w:t>Update FAQs for contracts</w:t>
      </w:r>
    </w:p>
    <w:p w14:paraId="11AF695E" w14:textId="3D3E8375" w:rsidR="00A80BC4" w:rsidRDefault="00A80BC4" w:rsidP="006B5F86">
      <w:pPr>
        <w:pStyle w:val="ListParagraph"/>
        <w:numPr>
          <w:ilvl w:val="1"/>
          <w:numId w:val="2"/>
        </w:numPr>
      </w:pPr>
      <w:r>
        <w:t>Add Lisa’s comments about explicit confirmation and binding/non binding rules – see email</w:t>
      </w:r>
    </w:p>
    <w:p w14:paraId="2A07F526" w14:textId="77777777" w:rsidR="008574F1" w:rsidRPr="006D3F30" w:rsidRDefault="006B5F86" w:rsidP="00D71154">
      <w:pPr>
        <w:pStyle w:val="ListParagraph"/>
        <w:numPr>
          <w:ilvl w:val="1"/>
          <w:numId w:val="2"/>
        </w:numPr>
        <w:rPr>
          <w:szCs w:val="24"/>
        </w:rPr>
      </w:pPr>
      <w:r>
        <w:t xml:space="preserve">Update contract to accommodate electronic transmissions (notification rules, </w:t>
      </w:r>
      <w:r w:rsidRPr="006D3F30">
        <w:rPr>
          <w:szCs w:val="24"/>
        </w:rPr>
        <w:t>specifically) and broaden language to include future communications.</w:t>
      </w:r>
    </w:p>
    <w:p w14:paraId="6F0CB531" w14:textId="112FFC62" w:rsidR="008574F1" w:rsidRPr="006D3F30" w:rsidRDefault="008574F1" w:rsidP="00D71154">
      <w:pPr>
        <w:pStyle w:val="ListParagraph"/>
        <w:numPr>
          <w:ilvl w:val="1"/>
          <w:numId w:val="2"/>
        </w:numPr>
        <w:rPr>
          <w:szCs w:val="24"/>
        </w:rPr>
      </w:pPr>
      <w:r w:rsidRPr="006D3F30">
        <w:rPr>
          <w:szCs w:val="24"/>
        </w:rPr>
        <w:t xml:space="preserve">revisit language of contract in ref to this stmt removed from 6.4.2 and 6.4.3 and 6.4.4. </w:t>
      </w:r>
    </w:p>
    <w:p w14:paraId="78AC888F" w14:textId="5F9C8B9F" w:rsidR="008574F1" w:rsidRPr="006D3F30" w:rsidRDefault="008574F1" w:rsidP="008574F1">
      <w:pPr>
        <w:pStyle w:val="ListParagraph"/>
        <w:ind w:left="1800"/>
        <w:rPr>
          <w:szCs w:val="24"/>
        </w:rPr>
      </w:pPr>
      <w:r w:rsidRPr="006D3F30">
        <w:rPr>
          <w:szCs w:val="24"/>
        </w:rPr>
        <w:t>This TC Dataset is only for use by parties who have rights to use the 6.3.1 Contract.  The use rights of the 6.3.1 Contract are extended to include the use of this TC Dataset.</w:t>
      </w:r>
    </w:p>
    <w:p w14:paraId="13A52D21" w14:textId="25C6174B" w:rsidR="008574F1" w:rsidRPr="006D3F30" w:rsidRDefault="008574F1" w:rsidP="008574F1">
      <w:pPr>
        <w:pStyle w:val="ListParagraph"/>
        <w:numPr>
          <w:ilvl w:val="0"/>
          <w:numId w:val="2"/>
        </w:numPr>
        <w:rPr>
          <w:szCs w:val="24"/>
        </w:rPr>
      </w:pPr>
      <w:r w:rsidRPr="006D3F30">
        <w:rPr>
          <w:szCs w:val="24"/>
        </w:rPr>
        <w:t>STANDARDS</w:t>
      </w:r>
      <w:r w:rsidR="007161AB">
        <w:rPr>
          <w:szCs w:val="24"/>
        </w:rPr>
        <w:t xml:space="preserve"> updates from parking lot</w:t>
      </w:r>
    </w:p>
    <w:p w14:paraId="544FE4C7" w14:textId="77777777" w:rsidR="008574F1" w:rsidRPr="006D3F30" w:rsidRDefault="008574F1" w:rsidP="008574F1">
      <w:pPr>
        <w:pStyle w:val="ListParagraph"/>
        <w:numPr>
          <w:ilvl w:val="1"/>
          <w:numId w:val="2"/>
        </w:numPr>
        <w:rPr>
          <w:szCs w:val="24"/>
        </w:rPr>
      </w:pPr>
      <w:r w:rsidRPr="006D3F30">
        <w:rPr>
          <w:szCs w:val="24"/>
        </w:rPr>
        <w:t>Update 6.3.z105 per hierarchical csv file.</w:t>
      </w:r>
    </w:p>
    <w:p w14:paraId="21E7F8E1" w14:textId="7C8A752B" w:rsidR="008574F1" w:rsidRPr="006D3F30" w:rsidRDefault="008574F1" w:rsidP="008574F1">
      <w:pPr>
        <w:pStyle w:val="ListParagraph"/>
        <w:ind w:left="1440"/>
        <w:rPr>
          <w:szCs w:val="24"/>
        </w:rPr>
      </w:pPr>
      <w:r w:rsidRPr="006D3F30">
        <w:rPr>
          <w:szCs w:val="24"/>
        </w:rPr>
        <w:t xml:space="preserve">The Header Group occurs one time in the 6.4.2 Transaction Confirmation. This group includes the Transaction Confirmation Base Data Section, Seller Data Section, Buyer Data Section and Tracking Group Data Section. When exchanged via a NAESB WGQ Standard 6.3.z105, all information in the Header Group may be sent in a single row of information where the first data element in the row is the Record Identifier = H.  The first row of the Header Group contains the data </w:t>
      </w:r>
      <w:r w:rsidRPr="006D3F30">
        <w:rPr>
          <w:szCs w:val="24"/>
        </w:rPr>
        <w:lastRenderedPageBreak/>
        <w:t>element names as described in 6.3.z105, with the first data element value containing “H” to identify the data element names as Header Data elements. One subsequent row will contain the data related to Header Group.</w:t>
      </w:r>
    </w:p>
    <w:p w14:paraId="0E1BFBF6" w14:textId="7ED341C7" w:rsidR="008574F1" w:rsidRDefault="008574F1" w:rsidP="008574F1">
      <w:pPr>
        <w:pStyle w:val="ListParagraph"/>
        <w:ind w:left="1080"/>
        <w:rPr>
          <w:szCs w:val="24"/>
        </w:rPr>
      </w:pPr>
      <w:r w:rsidRPr="006D3F30">
        <w:rPr>
          <w:szCs w:val="24"/>
        </w:rPr>
        <w:t xml:space="preserve">b. look at adding a standard on rounding so that invoices are mathematically correct. </w:t>
      </w:r>
      <w:r w:rsidRPr="008574F1">
        <w:rPr>
          <w:szCs w:val="24"/>
        </w:rPr>
        <w:t>Amounts reported as dollar amounts with two decimal places shall be totaled using two decimal places to achieve an accurate Invoice Total Amount.</w:t>
      </w:r>
    </w:p>
    <w:p w14:paraId="098F6B14" w14:textId="12631463" w:rsidR="005F0CC7" w:rsidRDefault="005F0CC7" w:rsidP="005F0CC7">
      <w:pPr>
        <w:rPr>
          <w:szCs w:val="24"/>
        </w:rPr>
      </w:pPr>
      <w:r>
        <w:rPr>
          <w:szCs w:val="24"/>
        </w:rPr>
        <w:t>14.</w:t>
      </w:r>
      <w:r>
        <w:rPr>
          <w:szCs w:val="24"/>
        </w:rPr>
        <w:tab/>
      </w:r>
      <w:r w:rsidRPr="00403080">
        <w:rPr>
          <w:strike/>
          <w:szCs w:val="24"/>
        </w:rPr>
        <w:t>Alphabetize 6.4.3 detail group</w:t>
      </w:r>
    </w:p>
    <w:p w14:paraId="7E11D322" w14:textId="55503E27" w:rsidR="00511489" w:rsidRPr="0034022E" w:rsidRDefault="00511489" w:rsidP="005F0CC7">
      <w:pPr>
        <w:rPr>
          <w:strike/>
          <w:szCs w:val="24"/>
        </w:rPr>
      </w:pPr>
      <w:r>
        <w:rPr>
          <w:szCs w:val="24"/>
        </w:rPr>
        <w:tab/>
      </w:r>
      <w:r w:rsidRPr="0034022E">
        <w:rPr>
          <w:strike/>
          <w:szCs w:val="24"/>
        </w:rPr>
        <w:t>Describe the line number incrementation in the TIBP</w:t>
      </w:r>
    </w:p>
    <w:p w14:paraId="026D510A" w14:textId="69E58AEF" w:rsidR="000A014F" w:rsidRPr="005F0CC7" w:rsidRDefault="000A014F" w:rsidP="005F0CC7">
      <w:pPr>
        <w:rPr>
          <w:szCs w:val="24"/>
        </w:rPr>
      </w:pPr>
      <w:r>
        <w:rPr>
          <w:szCs w:val="24"/>
        </w:rPr>
        <w:t xml:space="preserve">15 </w:t>
      </w:r>
      <w:r>
        <w:rPr>
          <w:szCs w:val="24"/>
        </w:rPr>
        <w:tab/>
      </w:r>
      <w:r w:rsidRPr="006D5697">
        <w:rPr>
          <w:strike/>
          <w:szCs w:val="24"/>
        </w:rPr>
        <w:t>change name of Line Number in 6.4.</w:t>
      </w:r>
      <w:r w:rsidR="006D5697">
        <w:rPr>
          <w:strike/>
          <w:szCs w:val="24"/>
        </w:rPr>
        <w:t>3</w:t>
      </w:r>
      <w:bookmarkStart w:id="4" w:name="_GoBack"/>
      <w:bookmarkEnd w:id="4"/>
    </w:p>
    <w:p w14:paraId="66BDF6A5" w14:textId="629DCB28" w:rsidR="008574F1" w:rsidRPr="006D3F30" w:rsidRDefault="008574F1" w:rsidP="008574F1">
      <w:pPr>
        <w:pStyle w:val="ListParagraph"/>
        <w:ind w:left="1080"/>
        <w:rPr>
          <w:szCs w:val="24"/>
        </w:rPr>
      </w:pPr>
    </w:p>
    <w:p w14:paraId="4FB9D1AE" w14:textId="77777777" w:rsidR="008574F1" w:rsidRPr="006D3F30" w:rsidRDefault="008574F1" w:rsidP="008574F1">
      <w:pPr>
        <w:pStyle w:val="ListParagraph"/>
        <w:ind w:left="0"/>
        <w:rPr>
          <w:szCs w:val="24"/>
        </w:rPr>
      </w:pPr>
    </w:p>
    <w:p w14:paraId="489339E9" w14:textId="77777777" w:rsidR="006B5F86" w:rsidRPr="006D3F30" w:rsidRDefault="006B5F86">
      <w:pPr>
        <w:rPr>
          <w:szCs w:val="24"/>
        </w:rPr>
      </w:pPr>
    </w:p>
    <w:sectPr w:rsidR="006B5F86" w:rsidRPr="006D3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D7692"/>
    <w:multiLevelType w:val="hybridMultilevel"/>
    <w:tmpl w:val="FE047D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C5614"/>
    <w:multiLevelType w:val="hybridMultilevel"/>
    <w:tmpl w:val="E7A07E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EBE17D6"/>
    <w:multiLevelType w:val="hybridMultilevel"/>
    <w:tmpl w:val="A53A232C"/>
    <w:lvl w:ilvl="0" w:tplc="72B03A3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B13F93"/>
    <w:multiLevelType w:val="hybridMultilevel"/>
    <w:tmpl w:val="6BFE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71949"/>
    <w:multiLevelType w:val="hybridMultilevel"/>
    <w:tmpl w:val="87E49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86"/>
    <w:rsid w:val="00017BDA"/>
    <w:rsid w:val="00053873"/>
    <w:rsid w:val="000A014F"/>
    <w:rsid w:val="0034022E"/>
    <w:rsid w:val="00403080"/>
    <w:rsid w:val="00511489"/>
    <w:rsid w:val="00547FB7"/>
    <w:rsid w:val="005F0CC7"/>
    <w:rsid w:val="006B5F86"/>
    <w:rsid w:val="006D3F30"/>
    <w:rsid w:val="006D5697"/>
    <w:rsid w:val="007161AB"/>
    <w:rsid w:val="00783065"/>
    <w:rsid w:val="007C3A9E"/>
    <w:rsid w:val="007C7E03"/>
    <w:rsid w:val="008574F1"/>
    <w:rsid w:val="009203CF"/>
    <w:rsid w:val="00983722"/>
    <w:rsid w:val="00A80BC4"/>
    <w:rsid w:val="00B12365"/>
    <w:rsid w:val="00B7721A"/>
    <w:rsid w:val="00BB2AAE"/>
    <w:rsid w:val="00C85AC7"/>
    <w:rsid w:val="00D36B4A"/>
    <w:rsid w:val="00D51FA3"/>
    <w:rsid w:val="00DA078C"/>
    <w:rsid w:val="00DC1AB8"/>
    <w:rsid w:val="00E46FBB"/>
    <w:rsid w:val="00F7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ECA0"/>
  <w15:chartTrackingRefBased/>
  <w15:docId w15:val="{88741A01-68A4-4463-B55F-61948E7F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86"/>
    <w:pPr>
      <w:ind w:left="720"/>
      <w:contextualSpacing/>
    </w:pPr>
  </w:style>
  <w:style w:type="paragraph" w:customStyle="1" w:styleId="TableParagraph">
    <w:name w:val="Table Paragraph"/>
    <w:basedOn w:val="Normal"/>
    <w:uiPriority w:val="1"/>
    <w:qFormat/>
    <w:rsid w:val="006B5F86"/>
    <w:pPr>
      <w:widowControl w:val="0"/>
      <w:autoSpaceDE w:val="0"/>
      <w:autoSpaceDN w:val="0"/>
      <w:spacing w:after="0" w:line="240" w:lineRule="auto"/>
    </w:pPr>
    <w:rPr>
      <w:rFonts w:ascii="Arial" w:eastAsia="Arial" w:hAnsi="Arial" w:cs="Arial"/>
      <w:sz w:val="22"/>
    </w:rPr>
  </w:style>
  <w:style w:type="character" w:styleId="Hyperlink">
    <w:name w:val="Hyperlink"/>
    <w:basedOn w:val="DefaultParagraphFont"/>
    <w:uiPriority w:val="99"/>
    <w:semiHidden/>
    <w:unhideWhenUsed/>
    <w:rsid w:val="006B5F86"/>
    <w:rPr>
      <w:color w:val="0000FF"/>
      <w:u w:val="single"/>
    </w:rPr>
  </w:style>
  <w:style w:type="paragraph" w:styleId="BalloonText">
    <w:name w:val="Balloon Text"/>
    <w:basedOn w:val="Normal"/>
    <w:link w:val="BalloonTextChar"/>
    <w:uiPriority w:val="99"/>
    <w:semiHidden/>
    <w:unhideWhenUsed/>
    <w:rsid w:val="00857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79877">
      <w:bodyDiv w:val="1"/>
      <w:marLeft w:val="0"/>
      <w:marRight w:val="0"/>
      <w:marTop w:val="0"/>
      <w:marBottom w:val="0"/>
      <w:divBdr>
        <w:top w:val="none" w:sz="0" w:space="0" w:color="auto"/>
        <w:left w:val="none" w:sz="0" w:space="0" w:color="auto"/>
        <w:bottom w:val="none" w:sz="0" w:space="0" w:color="auto"/>
        <w:right w:val="none" w:sz="0" w:space="0" w:color="auto"/>
      </w:divBdr>
    </w:div>
    <w:div w:id="778840286">
      <w:bodyDiv w:val="1"/>
      <w:marLeft w:val="0"/>
      <w:marRight w:val="0"/>
      <w:marTop w:val="0"/>
      <w:marBottom w:val="0"/>
      <w:divBdr>
        <w:top w:val="none" w:sz="0" w:space="0" w:color="auto"/>
        <w:left w:val="none" w:sz="0" w:space="0" w:color="auto"/>
        <w:bottom w:val="none" w:sz="0" w:space="0" w:color="auto"/>
        <w:right w:val="none" w:sz="0" w:space="0" w:color="auto"/>
      </w:divBdr>
    </w:div>
    <w:div w:id="944071525">
      <w:bodyDiv w:val="1"/>
      <w:marLeft w:val="0"/>
      <w:marRight w:val="0"/>
      <w:marTop w:val="0"/>
      <w:marBottom w:val="0"/>
      <w:divBdr>
        <w:top w:val="none" w:sz="0" w:space="0" w:color="auto"/>
        <w:left w:val="none" w:sz="0" w:space="0" w:color="auto"/>
        <w:bottom w:val="none" w:sz="0" w:space="0" w:color="auto"/>
        <w:right w:val="none" w:sz="0" w:space="0" w:color="auto"/>
      </w:divBdr>
    </w:div>
    <w:div w:id="212796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basecontract_gisb_rev2016.doc" TargetMode="External"/><Relationship Id="rId3" Type="http://schemas.openxmlformats.org/officeDocument/2006/relationships/settings" Target="settings.xml"/><Relationship Id="rId7" Type="http://schemas.openxmlformats.org/officeDocument/2006/relationships/hyperlink" Target="https://www.naesb.org/member_login_check.asp?doc=base041902_rev201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esb.org/member_login_check.asp?doc=base090406_112119.pdf" TargetMode="External"/><Relationship Id="rId11" Type="http://schemas.openxmlformats.org/officeDocument/2006/relationships/theme" Target="theme/theme1.xml"/><Relationship Id="rId5" Type="http://schemas.openxmlformats.org/officeDocument/2006/relationships/hyperlink" Target="https://www.naesb.org/member_login_check.asp?doc=base090406_112119.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esb.org/member_login_check.asp?doc=basecontract_gisb_rev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Munson</dc:creator>
  <cp:keywords/>
  <dc:description/>
  <cp:lastModifiedBy>Sylvia Munson</cp:lastModifiedBy>
  <cp:revision>13</cp:revision>
  <cp:lastPrinted>2020-03-24T13:36:00Z</cp:lastPrinted>
  <dcterms:created xsi:type="dcterms:W3CDTF">2020-03-04T11:19:00Z</dcterms:created>
  <dcterms:modified xsi:type="dcterms:W3CDTF">2020-03-25T20:05:00Z</dcterms:modified>
</cp:coreProperties>
</file>