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91C83" w14:textId="77777777" w:rsidR="00D360B8" w:rsidRPr="00322A2C" w:rsidRDefault="00B377A2" w:rsidP="00250BE5">
      <w:pPr>
        <w:jc w:val="center"/>
        <w:rPr>
          <w:rFonts w:asciiTheme="minorHAnsi" w:hAnsiTheme="minorHAnsi" w:cstheme="minorHAnsi"/>
          <w:b/>
          <w:sz w:val="22"/>
        </w:rPr>
      </w:pPr>
      <w:r w:rsidRPr="00322A2C">
        <w:rPr>
          <w:rFonts w:asciiTheme="minorHAnsi" w:hAnsiTheme="minorHAnsi" w:cstheme="minorHAnsi"/>
          <w:b/>
          <w:sz w:val="22"/>
        </w:rPr>
        <w:t>North American Energy Standards Board</w:t>
      </w:r>
    </w:p>
    <w:p w14:paraId="0E37A196" w14:textId="77777777" w:rsidR="00B377A2" w:rsidRPr="00322A2C" w:rsidRDefault="00B377A2" w:rsidP="00250BE5">
      <w:pPr>
        <w:jc w:val="center"/>
        <w:rPr>
          <w:rFonts w:asciiTheme="minorHAnsi" w:hAnsiTheme="minorHAnsi" w:cstheme="minorHAnsi"/>
          <w:b/>
          <w:sz w:val="22"/>
        </w:rPr>
      </w:pPr>
    </w:p>
    <w:p w14:paraId="073EC2B9" w14:textId="77777777" w:rsidR="00E963C9" w:rsidRPr="00322A2C" w:rsidRDefault="00E963C9" w:rsidP="00250BE5">
      <w:pPr>
        <w:jc w:val="center"/>
        <w:rPr>
          <w:rFonts w:asciiTheme="minorHAnsi" w:hAnsiTheme="minorHAnsi" w:cstheme="minorHAnsi"/>
          <w:b/>
          <w:sz w:val="22"/>
        </w:rPr>
      </w:pPr>
      <w:r w:rsidRPr="00322A2C">
        <w:rPr>
          <w:rFonts w:asciiTheme="minorHAnsi" w:hAnsiTheme="minorHAnsi" w:cstheme="minorHAnsi"/>
          <w:b/>
          <w:sz w:val="22"/>
        </w:rPr>
        <w:t>Request for Initiation of a NAESB Business Practice Standard, Model Business Practice or Electronic Transaction</w:t>
      </w:r>
    </w:p>
    <w:p w14:paraId="0DC0F4C6" w14:textId="77777777" w:rsidR="00E963C9" w:rsidRPr="00322A2C" w:rsidRDefault="00E963C9" w:rsidP="00250BE5">
      <w:pPr>
        <w:jc w:val="center"/>
        <w:rPr>
          <w:rFonts w:asciiTheme="minorHAnsi" w:hAnsiTheme="minorHAnsi" w:cstheme="minorHAnsi"/>
          <w:b/>
          <w:sz w:val="22"/>
        </w:rPr>
      </w:pPr>
      <w:r w:rsidRPr="00322A2C">
        <w:rPr>
          <w:rFonts w:asciiTheme="minorHAnsi" w:hAnsiTheme="minorHAnsi" w:cstheme="minorHAnsi"/>
          <w:b/>
          <w:sz w:val="22"/>
        </w:rPr>
        <w:t xml:space="preserve">or </w:t>
      </w:r>
    </w:p>
    <w:p w14:paraId="3E7B00EF" w14:textId="77777777" w:rsidR="00E963C9" w:rsidRPr="00322A2C" w:rsidRDefault="00E963C9" w:rsidP="00250BE5">
      <w:pPr>
        <w:jc w:val="center"/>
        <w:rPr>
          <w:rFonts w:asciiTheme="minorHAnsi" w:hAnsiTheme="minorHAnsi" w:cstheme="minorHAnsi"/>
          <w:sz w:val="22"/>
        </w:rPr>
      </w:pPr>
      <w:r w:rsidRPr="00322A2C">
        <w:rPr>
          <w:rFonts w:asciiTheme="minorHAnsi" w:hAnsiTheme="minorHAnsi" w:cstheme="minorHAnsi"/>
          <w:b/>
          <w:sz w:val="22"/>
        </w:rPr>
        <w:t>Enhancement of an Existing NAESB Business Practice Standard, Model Business Practice or Electronic Transaction</w:t>
      </w:r>
    </w:p>
    <w:p w14:paraId="0FDFA2B9" w14:textId="77777777" w:rsidR="00E963C9" w:rsidRPr="00322A2C" w:rsidRDefault="00E963C9" w:rsidP="00250BE5">
      <w:pPr>
        <w:rPr>
          <w:rFonts w:asciiTheme="minorHAnsi" w:hAnsiTheme="minorHAnsi" w:cstheme="minorHAnsi"/>
          <w:sz w:val="22"/>
        </w:rPr>
      </w:pPr>
    </w:p>
    <w:p w14:paraId="11725B24" w14:textId="77777777" w:rsidR="00A44E5F" w:rsidRPr="00322A2C" w:rsidRDefault="00A44E5F" w:rsidP="00250BE5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6B1F35F0" w14:textId="36C1A53C" w:rsidR="00D360B8" w:rsidRPr="00322A2C" w:rsidRDefault="00D360B8" w:rsidP="00250BE5">
      <w:pPr>
        <w:jc w:val="right"/>
        <w:rPr>
          <w:rFonts w:asciiTheme="minorHAnsi" w:hAnsiTheme="minorHAnsi" w:cstheme="minorHAnsi"/>
          <w:sz w:val="22"/>
          <w:szCs w:val="22"/>
        </w:rPr>
      </w:pPr>
      <w:r w:rsidRPr="00322A2C">
        <w:rPr>
          <w:rFonts w:asciiTheme="minorHAnsi" w:hAnsiTheme="minorHAnsi" w:cstheme="minorHAnsi"/>
          <w:sz w:val="22"/>
          <w:szCs w:val="22"/>
        </w:rPr>
        <w:t xml:space="preserve">Date of Request:   </w:t>
      </w:r>
      <w:r w:rsidR="00322A2C" w:rsidRPr="00322A2C">
        <w:rPr>
          <w:rFonts w:asciiTheme="minorHAnsi" w:hAnsiTheme="minorHAnsi" w:cstheme="minorHAnsi"/>
          <w:sz w:val="22"/>
          <w:szCs w:val="22"/>
        </w:rPr>
        <w:t xml:space="preserve">March </w:t>
      </w:r>
      <w:r w:rsidR="00A800B8" w:rsidRPr="00322A2C">
        <w:rPr>
          <w:rFonts w:asciiTheme="minorHAnsi" w:hAnsiTheme="minorHAnsi" w:cstheme="minorHAnsi"/>
          <w:sz w:val="22"/>
          <w:szCs w:val="22"/>
        </w:rPr>
        <w:t>2</w:t>
      </w:r>
      <w:r w:rsidR="00322A2C">
        <w:rPr>
          <w:rFonts w:asciiTheme="minorHAnsi" w:hAnsiTheme="minorHAnsi" w:cstheme="minorHAnsi"/>
          <w:sz w:val="22"/>
          <w:szCs w:val="22"/>
        </w:rPr>
        <w:t>3</w:t>
      </w:r>
      <w:r w:rsidR="00A800B8" w:rsidRPr="00322A2C">
        <w:rPr>
          <w:rFonts w:asciiTheme="minorHAnsi" w:hAnsiTheme="minorHAnsi" w:cstheme="minorHAnsi"/>
          <w:sz w:val="22"/>
          <w:szCs w:val="22"/>
        </w:rPr>
        <w:t>, 2026</w:t>
      </w:r>
    </w:p>
    <w:p w14:paraId="27652B6E" w14:textId="77777777" w:rsidR="00D360B8" w:rsidRPr="00322A2C" w:rsidRDefault="00D360B8" w:rsidP="00250BE5">
      <w:pPr>
        <w:rPr>
          <w:rFonts w:asciiTheme="minorHAnsi" w:hAnsiTheme="minorHAnsi" w:cstheme="minorHAnsi"/>
          <w:sz w:val="22"/>
          <w:szCs w:val="22"/>
        </w:rPr>
      </w:pPr>
    </w:p>
    <w:p w14:paraId="6F3FDC85" w14:textId="77777777" w:rsidR="00D360B8" w:rsidRPr="00322A2C" w:rsidRDefault="00D360B8" w:rsidP="00250BE5">
      <w:pPr>
        <w:rPr>
          <w:rFonts w:asciiTheme="minorHAnsi" w:hAnsiTheme="minorHAnsi" w:cstheme="minorHAnsi"/>
          <w:sz w:val="22"/>
          <w:szCs w:val="22"/>
        </w:rPr>
      </w:pPr>
    </w:p>
    <w:p w14:paraId="7FFBD80B" w14:textId="77777777" w:rsidR="00742107" w:rsidRPr="00322A2C" w:rsidRDefault="00742107" w:rsidP="007421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</w:rPr>
      </w:pPr>
    </w:p>
    <w:p w14:paraId="7B9C1667" w14:textId="77777777" w:rsidR="00742107" w:rsidRPr="00322A2C" w:rsidRDefault="00742107" w:rsidP="00742107">
      <w:pPr>
        <w:numPr>
          <w:ilvl w:val="0"/>
          <w:numId w:val="2"/>
        </w:numPr>
        <w:tabs>
          <w:tab w:val="clear" w:pos="720"/>
          <w:tab w:val="num" w:pos="270"/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 w:hanging="270"/>
        <w:rPr>
          <w:rFonts w:asciiTheme="minorHAnsi" w:hAnsiTheme="minorHAnsi" w:cstheme="minorHAnsi"/>
          <w:b/>
          <w:sz w:val="22"/>
        </w:rPr>
      </w:pPr>
      <w:r w:rsidRPr="00322A2C">
        <w:rPr>
          <w:rFonts w:asciiTheme="minorHAnsi" w:hAnsiTheme="minorHAnsi" w:cstheme="minorHAnsi"/>
          <w:b/>
          <w:sz w:val="22"/>
        </w:rPr>
        <w:t xml:space="preserve">Submitting Entity &amp; Address:  </w:t>
      </w:r>
    </w:p>
    <w:p w14:paraId="2E1469BA" w14:textId="77777777" w:rsidR="00742107" w:rsidRPr="00322A2C" w:rsidRDefault="00742107" w:rsidP="0074210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720"/>
        <w:rPr>
          <w:rFonts w:asciiTheme="minorHAnsi" w:hAnsiTheme="minorHAnsi" w:cstheme="minorHAnsi"/>
          <w:sz w:val="22"/>
        </w:rPr>
      </w:pPr>
      <w:r w:rsidRPr="00322A2C">
        <w:rPr>
          <w:rFonts w:asciiTheme="minorHAnsi" w:hAnsiTheme="minorHAnsi" w:cstheme="minorHAnsi"/>
          <w:sz w:val="22"/>
        </w:rPr>
        <w:tab/>
        <w:t>Kinder Morgan Inc.</w:t>
      </w:r>
    </w:p>
    <w:p w14:paraId="6028C53B" w14:textId="41AB12F0" w:rsidR="00742107" w:rsidRPr="00322A2C" w:rsidRDefault="00742107" w:rsidP="00742107">
      <w:pPr>
        <w:tabs>
          <w:tab w:val="left" w:pos="11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270"/>
        <w:rPr>
          <w:rFonts w:asciiTheme="minorHAnsi" w:hAnsiTheme="minorHAnsi" w:cstheme="minorHAnsi"/>
          <w:sz w:val="22"/>
        </w:rPr>
      </w:pPr>
      <w:r w:rsidRPr="00322A2C">
        <w:rPr>
          <w:rFonts w:asciiTheme="minorHAnsi" w:hAnsiTheme="minorHAnsi" w:cstheme="minorHAnsi"/>
          <w:sz w:val="22"/>
        </w:rPr>
        <w:tab/>
        <w:t>1001 Louisiana Street, Suite 1000, Office 15</w:t>
      </w:r>
      <w:r w:rsidR="00286D9B" w:rsidRPr="00322A2C">
        <w:rPr>
          <w:rFonts w:asciiTheme="minorHAnsi" w:hAnsiTheme="minorHAnsi" w:cstheme="minorHAnsi"/>
          <w:sz w:val="22"/>
        </w:rPr>
        <w:t>18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532"/>
      </w:tblGrid>
      <w:tr w:rsidR="00742107" w:rsidRPr="00322A2C" w14:paraId="430AB70D" w14:textId="77777777" w:rsidTr="00742107">
        <w:tc>
          <w:tcPr>
            <w:tcW w:w="8748" w:type="dxa"/>
          </w:tcPr>
          <w:p w14:paraId="17235F46" w14:textId="77777777" w:rsidR="00742107" w:rsidRPr="00322A2C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  <w:r w:rsidRPr="00322A2C">
              <w:rPr>
                <w:rFonts w:asciiTheme="minorHAnsi" w:hAnsiTheme="minorHAnsi" w:cstheme="minorHAnsi"/>
                <w:sz w:val="22"/>
              </w:rPr>
              <w:t xml:space="preserve">    Houston, TX 77002</w:t>
            </w:r>
          </w:p>
        </w:tc>
      </w:tr>
      <w:tr w:rsidR="00742107" w:rsidRPr="00322A2C" w14:paraId="39B37570" w14:textId="77777777" w:rsidTr="00742107">
        <w:tc>
          <w:tcPr>
            <w:tcW w:w="8748" w:type="dxa"/>
          </w:tcPr>
          <w:p w14:paraId="0D1D5786" w14:textId="77777777" w:rsidR="00742107" w:rsidRPr="00322A2C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4AD27A6" w14:textId="77777777" w:rsidR="00742107" w:rsidRPr="00322A2C" w:rsidRDefault="00742107" w:rsidP="00742107">
      <w:pPr>
        <w:numPr>
          <w:ilvl w:val="0"/>
          <w:numId w:val="2"/>
        </w:numPr>
        <w:tabs>
          <w:tab w:val="clear" w:pos="720"/>
          <w:tab w:val="num" w:pos="27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left="270" w:hanging="270"/>
        <w:rPr>
          <w:rFonts w:asciiTheme="minorHAnsi" w:hAnsiTheme="minorHAnsi" w:cstheme="minorHAnsi"/>
          <w:b/>
          <w:sz w:val="22"/>
        </w:rPr>
      </w:pPr>
      <w:r w:rsidRPr="00322A2C">
        <w:rPr>
          <w:rFonts w:asciiTheme="minorHAnsi" w:hAnsiTheme="minorHAnsi" w:cstheme="minorHAnsi"/>
          <w:b/>
          <w:sz w:val="22"/>
        </w:rPr>
        <w:t>Contact Person, Phone #, Fax #, Electronic Mailing Address: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898"/>
        <w:gridCol w:w="352"/>
        <w:gridCol w:w="7282"/>
      </w:tblGrid>
      <w:tr w:rsidR="00742107" w:rsidRPr="00322A2C" w14:paraId="13E7E636" w14:textId="77777777" w:rsidTr="00CC54D6">
        <w:tc>
          <w:tcPr>
            <w:tcW w:w="898" w:type="dxa"/>
          </w:tcPr>
          <w:p w14:paraId="71D6DC99" w14:textId="77777777" w:rsidR="00742107" w:rsidRPr="00322A2C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  <w:r w:rsidRPr="00322A2C">
              <w:rPr>
                <w:rFonts w:asciiTheme="minorHAnsi" w:hAnsiTheme="minorHAnsi" w:cstheme="minorHAnsi"/>
                <w:sz w:val="22"/>
              </w:rPr>
              <w:t xml:space="preserve">Name: </w:t>
            </w:r>
          </w:p>
        </w:tc>
        <w:tc>
          <w:tcPr>
            <w:tcW w:w="352" w:type="dxa"/>
          </w:tcPr>
          <w:p w14:paraId="5AD9DCDB" w14:textId="77777777" w:rsidR="00742107" w:rsidRPr="00322A2C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282" w:type="dxa"/>
          </w:tcPr>
          <w:p w14:paraId="72FAA063" w14:textId="000346CF" w:rsidR="00742107" w:rsidRPr="00322A2C" w:rsidRDefault="00322A2C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Kim Van Pelt</w:t>
            </w:r>
          </w:p>
        </w:tc>
      </w:tr>
      <w:tr w:rsidR="00742107" w:rsidRPr="00322A2C" w14:paraId="1A6503B1" w14:textId="77777777" w:rsidTr="00CC54D6">
        <w:tc>
          <w:tcPr>
            <w:tcW w:w="898" w:type="dxa"/>
          </w:tcPr>
          <w:p w14:paraId="42775CFD" w14:textId="77777777" w:rsidR="00742107" w:rsidRPr="00322A2C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  <w:r w:rsidRPr="00322A2C">
              <w:rPr>
                <w:rFonts w:asciiTheme="minorHAnsi" w:hAnsiTheme="minorHAnsi" w:cstheme="minorHAnsi"/>
                <w:sz w:val="22"/>
              </w:rPr>
              <w:t>Title:</w:t>
            </w:r>
          </w:p>
        </w:tc>
        <w:tc>
          <w:tcPr>
            <w:tcW w:w="352" w:type="dxa"/>
          </w:tcPr>
          <w:p w14:paraId="783738AA" w14:textId="77777777" w:rsidR="00742107" w:rsidRPr="00322A2C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282" w:type="dxa"/>
          </w:tcPr>
          <w:p w14:paraId="7985BB07" w14:textId="4815888D" w:rsidR="00742107" w:rsidRPr="00322A2C" w:rsidRDefault="00322A2C" w:rsidP="00742107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Manager, Business Processes</w:t>
            </w:r>
          </w:p>
        </w:tc>
      </w:tr>
      <w:tr w:rsidR="00742107" w:rsidRPr="00322A2C" w14:paraId="4F552BF2" w14:textId="77777777" w:rsidTr="00CC54D6">
        <w:tc>
          <w:tcPr>
            <w:tcW w:w="898" w:type="dxa"/>
          </w:tcPr>
          <w:p w14:paraId="304B526D" w14:textId="77777777" w:rsidR="00742107" w:rsidRPr="00322A2C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  <w:r w:rsidRPr="00322A2C">
              <w:rPr>
                <w:rFonts w:asciiTheme="minorHAnsi" w:hAnsiTheme="minorHAnsi" w:cstheme="minorHAnsi"/>
                <w:sz w:val="22"/>
              </w:rPr>
              <w:t>Phone:</w:t>
            </w:r>
          </w:p>
        </w:tc>
        <w:tc>
          <w:tcPr>
            <w:tcW w:w="352" w:type="dxa"/>
          </w:tcPr>
          <w:p w14:paraId="54A5F11E" w14:textId="77777777" w:rsidR="00742107" w:rsidRPr="00322A2C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282" w:type="dxa"/>
          </w:tcPr>
          <w:p w14:paraId="7D1FFDB6" w14:textId="11BEFE56" w:rsidR="00742107" w:rsidRPr="00322A2C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  <w:r w:rsidRPr="00322A2C">
              <w:rPr>
                <w:rFonts w:asciiTheme="minorHAnsi" w:hAnsiTheme="minorHAnsi" w:cstheme="minorHAnsi"/>
                <w:sz w:val="22"/>
              </w:rPr>
              <w:t>713-420-</w:t>
            </w:r>
            <w:r w:rsidR="00322A2C">
              <w:rPr>
                <w:rFonts w:asciiTheme="minorHAnsi" w:hAnsiTheme="minorHAnsi" w:cstheme="minorHAnsi"/>
                <w:sz w:val="22"/>
              </w:rPr>
              <w:t>8612</w:t>
            </w:r>
          </w:p>
        </w:tc>
      </w:tr>
      <w:tr w:rsidR="00742107" w:rsidRPr="00322A2C" w14:paraId="61D7AC03" w14:textId="77777777" w:rsidTr="00CC54D6">
        <w:tc>
          <w:tcPr>
            <w:tcW w:w="898" w:type="dxa"/>
          </w:tcPr>
          <w:p w14:paraId="2CFCE7DE" w14:textId="77777777" w:rsidR="00742107" w:rsidRPr="00322A2C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  <w:r w:rsidRPr="00322A2C">
              <w:rPr>
                <w:rFonts w:asciiTheme="minorHAnsi" w:hAnsiTheme="minorHAnsi" w:cstheme="minorHAnsi"/>
                <w:sz w:val="22"/>
              </w:rPr>
              <w:t>E-mail:</w:t>
            </w:r>
          </w:p>
        </w:tc>
        <w:tc>
          <w:tcPr>
            <w:tcW w:w="352" w:type="dxa"/>
          </w:tcPr>
          <w:p w14:paraId="7D58061D" w14:textId="77777777" w:rsidR="00742107" w:rsidRPr="00322A2C" w:rsidRDefault="00742107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7282" w:type="dxa"/>
          </w:tcPr>
          <w:p w14:paraId="34EF77E7" w14:textId="0969AB5C" w:rsidR="00742107" w:rsidRPr="00322A2C" w:rsidRDefault="00322A2C" w:rsidP="0074210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20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Kimberly_VanPelt@kindermorgan.com</w:t>
            </w:r>
          </w:p>
        </w:tc>
      </w:tr>
    </w:tbl>
    <w:p w14:paraId="29EED9CA" w14:textId="77777777" w:rsidR="00D360B8" w:rsidRPr="00322A2C" w:rsidRDefault="00D360B8" w:rsidP="00250B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25E709" w14:textId="77777777" w:rsidR="00D360B8" w:rsidRPr="00322A2C" w:rsidRDefault="004D2CC4" w:rsidP="00250BE5">
      <w:pPr>
        <w:numPr>
          <w:ilvl w:val="0"/>
          <w:numId w:val="1"/>
        </w:numPr>
        <w:tabs>
          <w:tab w:val="clear" w:pos="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22A2C">
        <w:rPr>
          <w:rFonts w:asciiTheme="minorHAnsi" w:hAnsiTheme="minorHAnsi" w:cstheme="minorHAnsi"/>
          <w:b/>
          <w:sz w:val="22"/>
          <w:szCs w:val="22"/>
        </w:rPr>
        <w:t xml:space="preserve">Title and </w:t>
      </w:r>
      <w:r w:rsidR="00D360B8" w:rsidRPr="00322A2C">
        <w:rPr>
          <w:rFonts w:asciiTheme="minorHAnsi" w:hAnsiTheme="minorHAnsi" w:cstheme="minorHAnsi"/>
          <w:b/>
          <w:sz w:val="22"/>
          <w:szCs w:val="22"/>
        </w:rPr>
        <w:t>Description of Proposed Standard or Enhancement:</w:t>
      </w:r>
    </w:p>
    <w:p w14:paraId="081D1725" w14:textId="77777777" w:rsidR="0053143D" w:rsidRPr="00322A2C" w:rsidRDefault="0053143D" w:rsidP="00250B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AC5FA" w14:textId="77777777" w:rsidR="00322A2C" w:rsidRDefault="0053143D" w:rsidP="00322A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22A2C">
        <w:rPr>
          <w:rFonts w:asciiTheme="minorHAnsi" w:hAnsiTheme="minorHAnsi" w:cstheme="minorHAnsi"/>
          <w:sz w:val="22"/>
          <w:szCs w:val="22"/>
          <w:u w:val="single"/>
        </w:rPr>
        <w:t>Title</w:t>
      </w:r>
      <w:r w:rsidRPr="00322A2C">
        <w:rPr>
          <w:rFonts w:asciiTheme="minorHAnsi" w:hAnsiTheme="minorHAnsi" w:cstheme="minorHAnsi"/>
          <w:sz w:val="22"/>
          <w:szCs w:val="22"/>
        </w:rPr>
        <w:t>:</w:t>
      </w:r>
    </w:p>
    <w:p w14:paraId="00F5B1AB" w14:textId="77777777" w:rsidR="00947257" w:rsidRDefault="00614C0B" w:rsidP="00322A2C">
      <w:pPr>
        <w:spacing w:after="120"/>
        <w:jc w:val="both"/>
        <w:rPr>
          <w:rFonts w:asciiTheme="minorHAnsi" w:hAnsiTheme="minorHAnsi" w:cstheme="minorHAnsi"/>
          <w:sz w:val="22"/>
        </w:rPr>
      </w:pPr>
      <w:r w:rsidRPr="00322A2C">
        <w:rPr>
          <w:rFonts w:asciiTheme="minorHAnsi" w:hAnsiTheme="minorHAnsi" w:cstheme="minorHAnsi"/>
          <w:sz w:val="22"/>
          <w:szCs w:val="22"/>
        </w:rPr>
        <w:t xml:space="preserve">Add </w:t>
      </w:r>
      <w:r w:rsidR="00286D9B" w:rsidRPr="00322A2C">
        <w:rPr>
          <w:rFonts w:asciiTheme="minorHAnsi" w:hAnsiTheme="minorHAnsi" w:cstheme="minorHAnsi"/>
          <w:sz w:val="22"/>
          <w:szCs w:val="22"/>
        </w:rPr>
        <w:t xml:space="preserve">four </w:t>
      </w:r>
      <w:r w:rsidRPr="00322A2C">
        <w:rPr>
          <w:rFonts w:asciiTheme="minorHAnsi" w:hAnsiTheme="minorHAnsi" w:cstheme="minorHAnsi"/>
          <w:sz w:val="22"/>
          <w:szCs w:val="22"/>
        </w:rPr>
        <w:t>new</w:t>
      </w:r>
      <w:r w:rsidR="00947257">
        <w:rPr>
          <w:rFonts w:asciiTheme="minorHAnsi" w:hAnsiTheme="minorHAnsi" w:cstheme="minorHAnsi"/>
          <w:sz w:val="22"/>
          <w:szCs w:val="22"/>
        </w:rPr>
        <w:t xml:space="preserve"> data elements to </w:t>
      </w:r>
      <w:r w:rsidR="00947257">
        <w:rPr>
          <w:rFonts w:asciiTheme="minorHAnsi" w:hAnsiTheme="minorHAnsi" w:cstheme="minorHAnsi"/>
          <w:b/>
          <w:bCs/>
          <w:sz w:val="22"/>
          <w:szCs w:val="22"/>
        </w:rPr>
        <w:t>NAESB WGQ Standard No.</w:t>
      </w:r>
      <w:r w:rsidR="00D457B2" w:rsidRPr="00322A2C">
        <w:rPr>
          <w:rFonts w:asciiTheme="minorHAnsi" w:hAnsiTheme="minorHAnsi" w:cstheme="minorHAnsi"/>
          <w:sz w:val="22"/>
          <w:szCs w:val="22"/>
        </w:rPr>
        <w:t xml:space="preserve"> </w:t>
      </w:r>
      <w:r w:rsidR="0082305F" w:rsidRPr="00322A2C">
        <w:rPr>
          <w:rFonts w:asciiTheme="minorHAnsi" w:hAnsiTheme="minorHAnsi" w:cstheme="minorHAnsi"/>
          <w:b/>
          <w:bCs/>
          <w:sz w:val="22"/>
        </w:rPr>
        <w:t>2.4.</w:t>
      </w:r>
      <w:r w:rsidR="00A800B8" w:rsidRPr="00322A2C">
        <w:rPr>
          <w:rFonts w:asciiTheme="minorHAnsi" w:hAnsiTheme="minorHAnsi" w:cstheme="minorHAnsi"/>
          <w:b/>
          <w:bCs/>
          <w:sz w:val="22"/>
        </w:rPr>
        <w:t>1 Pre-determined Allocation</w:t>
      </w:r>
      <w:r w:rsidR="00947257">
        <w:rPr>
          <w:rFonts w:asciiTheme="minorHAnsi" w:hAnsiTheme="minorHAnsi" w:cstheme="minorHAnsi"/>
          <w:sz w:val="22"/>
        </w:rPr>
        <w:t>:</w:t>
      </w:r>
    </w:p>
    <w:p w14:paraId="5F0D95DF" w14:textId="62E1869A" w:rsidR="00D360B8" w:rsidRPr="00322A2C" w:rsidRDefault="00286D9B" w:rsidP="00947257">
      <w:pPr>
        <w:spacing w:after="120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322A2C">
        <w:rPr>
          <w:rFonts w:asciiTheme="minorHAnsi" w:hAnsiTheme="minorHAnsi" w:cstheme="minorHAnsi"/>
          <w:sz w:val="22"/>
        </w:rPr>
        <w:t xml:space="preserve">Swing Contract, Swing Location, </w:t>
      </w:r>
      <w:r w:rsidR="004B46AE" w:rsidRPr="00322A2C">
        <w:rPr>
          <w:rFonts w:asciiTheme="minorHAnsi" w:hAnsiTheme="minorHAnsi" w:cstheme="minorHAnsi"/>
          <w:sz w:val="22"/>
          <w:szCs w:val="22"/>
        </w:rPr>
        <w:t>Swing</w:t>
      </w:r>
      <w:r w:rsidR="00322A2C">
        <w:rPr>
          <w:rFonts w:asciiTheme="minorHAnsi" w:hAnsiTheme="minorHAnsi" w:cstheme="minorHAnsi"/>
          <w:sz w:val="22"/>
          <w:szCs w:val="22"/>
        </w:rPr>
        <w:t xml:space="preserve"> </w:t>
      </w:r>
      <w:r w:rsidR="004B46AE" w:rsidRPr="00322A2C">
        <w:rPr>
          <w:rFonts w:asciiTheme="minorHAnsi" w:hAnsiTheme="minorHAnsi" w:cstheme="minorHAnsi"/>
          <w:sz w:val="22"/>
          <w:szCs w:val="22"/>
        </w:rPr>
        <w:t>Limit</w:t>
      </w:r>
      <w:r w:rsidRPr="00322A2C">
        <w:rPr>
          <w:rFonts w:asciiTheme="minorHAnsi" w:hAnsiTheme="minorHAnsi" w:cstheme="minorHAnsi"/>
          <w:sz w:val="22"/>
          <w:szCs w:val="22"/>
        </w:rPr>
        <w:t>, and Swing Percentage</w:t>
      </w:r>
    </w:p>
    <w:p w14:paraId="7396ECC2" w14:textId="77777777" w:rsidR="00322A2C" w:rsidRDefault="0053143D" w:rsidP="00322A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2A2C">
        <w:rPr>
          <w:rFonts w:asciiTheme="minorHAnsi" w:hAnsiTheme="minorHAnsi" w:cstheme="minorHAnsi"/>
          <w:sz w:val="22"/>
          <w:szCs w:val="22"/>
          <w:u w:val="single"/>
        </w:rPr>
        <w:t>Description</w:t>
      </w:r>
      <w:r w:rsidRPr="00322A2C">
        <w:rPr>
          <w:rFonts w:asciiTheme="minorHAnsi" w:hAnsiTheme="minorHAnsi" w:cstheme="minorHAnsi"/>
          <w:sz w:val="22"/>
          <w:szCs w:val="22"/>
        </w:rPr>
        <w:t>:</w:t>
      </w:r>
      <w:r w:rsidR="00747E92" w:rsidRPr="00322A2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3B6507" w14:textId="62A1C888" w:rsidR="00250BE5" w:rsidRPr="00322A2C" w:rsidRDefault="00A84351" w:rsidP="00322A2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2A2C">
        <w:rPr>
          <w:rFonts w:asciiTheme="minorHAnsi" w:hAnsiTheme="minorHAnsi" w:cstheme="minorHAnsi"/>
          <w:b/>
          <w:bCs/>
          <w:sz w:val="22"/>
        </w:rPr>
        <w:t>2.4.1 Pre-determined Allocation</w:t>
      </w:r>
      <w:r w:rsidR="00747E92" w:rsidRPr="00322A2C">
        <w:rPr>
          <w:rFonts w:asciiTheme="minorHAnsi" w:hAnsiTheme="minorHAnsi" w:cstheme="minorHAnsi"/>
          <w:sz w:val="22"/>
          <w:szCs w:val="22"/>
        </w:rPr>
        <w:t xml:space="preserve"> Need the ability </w:t>
      </w:r>
      <w:r w:rsidR="00286D9B" w:rsidRPr="00322A2C">
        <w:rPr>
          <w:rFonts w:asciiTheme="minorHAnsi" w:hAnsiTheme="minorHAnsi" w:cstheme="minorHAnsi"/>
          <w:sz w:val="22"/>
          <w:szCs w:val="22"/>
        </w:rPr>
        <w:t>to identify additional Swing information.</w:t>
      </w:r>
    </w:p>
    <w:p w14:paraId="11BC6D58" w14:textId="68DF62E0" w:rsidR="00BE5B18" w:rsidRPr="00322A2C" w:rsidRDefault="00BE5B18" w:rsidP="00BE5B18">
      <w:pPr>
        <w:autoSpaceDE w:val="0"/>
        <w:autoSpaceDN w:val="0"/>
        <w:adjustRightInd w:val="0"/>
        <w:spacing w:after="240"/>
        <w:ind w:left="1080"/>
        <w:jc w:val="both"/>
        <w:rPr>
          <w:rFonts w:asciiTheme="minorHAnsi" w:hAnsiTheme="minorHAnsi" w:cstheme="minorHAnsi"/>
          <w:sz w:val="22"/>
        </w:rPr>
      </w:pPr>
    </w:p>
    <w:p w14:paraId="1D600A93" w14:textId="77777777" w:rsidR="00322A2C" w:rsidRDefault="00322A2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915F721" w14:textId="1030C5E9" w:rsidR="00C17CCE" w:rsidRPr="00322A2C" w:rsidRDefault="00D360B8" w:rsidP="00322A2C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2A2C">
        <w:rPr>
          <w:rFonts w:asciiTheme="minorHAnsi" w:hAnsiTheme="minorHAnsi" w:cstheme="minorHAnsi"/>
          <w:b/>
          <w:sz w:val="22"/>
          <w:szCs w:val="22"/>
        </w:rPr>
        <w:lastRenderedPageBreak/>
        <w:t xml:space="preserve">Use of Proposed Standard or Enhancement (include how the standard will be used, documentation on the description of the proposed standard, any existing documentation of the proposed </w:t>
      </w:r>
      <w:r w:rsidR="00B36C56" w:rsidRPr="00322A2C">
        <w:rPr>
          <w:rFonts w:asciiTheme="minorHAnsi" w:hAnsiTheme="minorHAnsi" w:cstheme="minorHAnsi"/>
          <w:b/>
          <w:sz w:val="22"/>
          <w:szCs w:val="22"/>
        </w:rPr>
        <w:t>standard</w:t>
      </w:r>
      <w:r w:rsidRPr="00322A2C">
        <w:rPr>
          <w:rFonts w:asciiTheme="minorHAnsi" w:hAnsiTheme="minorHAnsi" w:cstheme="minorHAnsi"/>
          <w:b/>
          <w:sz w:val="22"/>
          <w:szCs w:val="22"/>
        </w:rPr>
        <w:t xml:space="preserve"> and required communication protocols):</w:t>
      </w:r>
    </w:p>
    <w:tbl>
      <w:tblPr>
        <w:tblW w:w="5340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2880"/>
        <w:gridCol w:w="901"/>
        <w:gridCol w:w="1078"/>
        <w:gridCol w:w="2516"/>
      </w:tblGrid>
      <w:tr w:rsidR="00747E92" w:rsidRPr="00322A2C" w14:paraId="71AF66EF" w14:textId="77777777" w:rsidTr="0063547B">
        <w:tc>
          <w:tcPr>
            <w:tcW w:w="1307" w:type="pct"/>
          </w:tcPr>
          <w:p w14:paraId="50BAB923" w14:textId="77777777" w:rsidR="00747E92" w:rsidRPr="00322A2C" w:rsidRDefault="00747E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2A2C">
              <w:rPr>
                <w:rFonts w:asciiTheme="minorHAnsi" w:hAnsiTheme="minorHAnsi" w:cstheme="minorHAnsi"/>
                <w:b/>
              </w:rPr>
              <w:t>Business Name</w:t>
            </w:r>
          </w:p>
          <w:p w14:paraId="265D42C4" w14:textId="77777777" w:rsidR="00747E92" w:rsidRPr="00322A2C" w:rsidRDefault="00747E92">
            <w:pPr>
              <w:ind w:left="-18"/>
              <w:jc w:val="center"/>
              <w:rPr>
                <w:rFonts w:asciiTheme="minorHAnsi" w:hAnsiTheme="minorHAnsi" w:cstheme="minorHAnsi"/>
                <w:b/>
              </w:rPr>
            </w:pPr>
            <w:r w:rsidRPr="00322A2C">
              <w:rPr>
                <w:rFonts w:asciiTheme="minorHAnsi" w:hAnsiTheme="minorHAnsi" w:cstheme="minorHAnsi"/>
                <w:b/>
              </w:rPr>
              <w:t>(Abbreviation)</w:t>
            </w:r>
          </w:p>
        </w:tc>
        <w:tc>
          <w:tcPr>
            <w:tcW w:w="1442" w:type="pct"/>
          </w:tcPr>
          <w:p w14:paraId="62D724E1" w14:textId="77777777" w:rsidR="00747E92" w:rsidRPr="00322A2C" w:rsidRDefault="00747E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2A2C">
              <w:rPr>
                <w:rFonts w:asciiTheme="minorHAnsi" w:hAnsiTheme="minorHAnsi" w:cstheme="minorHAnsi"/>
                <w:b/>
              </w:rPr>
              <w:t>Definition</w:t>
            </w:r>
          </w:p>
        </w:tc>
        <w:tc>
          <w:tcPr>
            <w:tcW w:w="451" w:type="pct"/>
          </w:tcPr>
          <w:p w14:paraId="72AEB71C" w14:textId="5F8081BF" w:rsidR="00747E92" w:rsidRPr="00322A2C" w:rsidRDefault="004B46AE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</w:rPr>
            </w:pPr>
            <w:r w:rsidRPr="00322A2C">
              <w:rPr>
                <w:rFonts w:asciiTheme="minorHAnsi" w:hAnsiTheme="minorHAnsi" w:cstheme="minorHAnsi"/>
                <w:b/>
                <w:bCs/>
              </w:rPr>
              <w:t>EBB Usage</w:t>
            </w:r>
          </w:p>
        </w:tc>
        <w:tc>
          <w:tcPr>
            <w:tcW w:w="540" w:type="pct"/>
          </w:tcPr>
          <w:p w14:paraId="33B3922D" w14:textId="7A6B3480" w:rsidR="00747E92" w:rsidRPr="00322A2C" w:rsidRDefault="00747E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2A2C">
              <w:rPr>
                <w:rFonts w:asciiTheme="minorHAnsi" w:hAnsiTheme="minorHAnsi" w:cstheme="minorHAnsi"/>
                <w:b/>
                <w:bCs/>
              </w:rPr>
              <w:t xml:space="preserve">EDI/FF Usage </w:t>
            </w:r>
          </w:p>
        </w:tc>
        <w:tc>
          <w:tcPr>
            <w:tcW w:w="1260" w:type="pct"/>
          </w:tcPr>
          <w:p w14:paraId="0AFB9C7F" w14:textId="77777777" w:rsidR="00747E92" w:rsidRPr="00322A2C" w:rsidRDefault="00747E9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22A2C">
              <w:rPr>
                <w:rFonts w:asciiTheme="minorHAnsi" w:hAnsiTheme="minorHAnsi" w:cstheme="minorHAnsi"/>
                <w:b/>
              </w:rPr>
              <w:t>Condition</w:t>
            </w:r>
          </w:p>
        </w:tc>
      </w:tr>
      <w:tr w:rsidR="0063547B" w:rsidRPr="00322A2C" w14:paraId="7C3DAA68" w14:textId="77777777" w:rsidTr="00322A2C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50EA" w14:textId="267E76BE" w:rsidR="00F922D8" w:rsidRPr="00322A2C" w:rsidRDefault="0086487A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 xml:space="preserve">Swing </w:t>
            </w:r>
            <w:r w:rsidR="00F922D8" w:rsidRPr="00322A2C">
              <w:rPr>
                <w:rFonts w:asciiTheme="minorHAnsi" w:hAnsiTheme="minorHAnsi" w:cstheme="minorHAnsi"/>
              </w:rPr>
              <w:t>Contract</w:t>
            </w:r>
            <w:r w:rsidR="00456BE2" w:rsidRPr="00322A2C">
              <w:rPr>
                <w:rFonts w:asciiTheme="minorHAnsi" w:hAnsiTheme="minorHAnsi" w:cstheme="minorHAnsi"/>
              </w:rPr>
              <w:t xml:space="preserve"> </w:t>
            </w:r>
          </w:p>
          <w:p w14:paraId="48FD2372" w14:textId="53892D0B" w:rsidR="00456BE2" w:rsidRPr="00322A2C" w:rsidRDefault="00456BE2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(</w:t>
            </w:r>
            <w:r w:rsidR="0086487A" w:rsidRPr="00322A2C">
              <w:rPr>
                <w:rFonts w:asciiTheme="minorHAnsi" w:hAnsiTheme="minorHAnsi" w:cstheme="minorHAnsi"/>
              </w:rPr>
              <w:t>SG</w:t>
            </w:r>
            <w:r w:rsidRPr="00322A2C">
              <w:rPr>
                <w:rFonts w:asciiTheme="minorHAnsi" w:hAnsiTheme="minorHAnsi" w:cstheme="minorHAnsi"/>
              </w:rPr>
              <w:t xml:space="preserve"> K)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A14F" w14:textId="3415E841" w:rsidR="00F922D8" w:rsidRPr="00322A2C" w:rsidRDefault="00322A2C" w:rsidP="00322A2C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noProof w:val="0"/>
              </w:rPr>
            </w:pPr>
            <w:r>
              <w:rPr>
                <w:rFonts w:asciiTheme="minorHAnsi" w:hAnsiTheme="minorHAnsi" w:cstheme="minorHAnsi"/>
                <w:noProof w:val="0"/>
              </w:rPr>
              <w:t>T</w:t>
            </w:r>
            <w:r w:rsidR="00F922D8" w:rsidRPr="00322A2C">
              <w:rPr>
                <w:rFonts w:asciiTheme="minorHAnsi" w:hAnsiTheme="minorHAnsi" w:cstheme="minorHAnsi"/>
                <w:noProof w:val="0"/>
              </w:rPr>
              <w:t xml:space="preserve">he </w:t>
            </w:r>
            <w:r>
              <w:rPr>
                <w:rFonts w:asciiTheme="minorHAnsi" w:hAnsiTheme="minorHAnsi" w:cstheme="minorHAnsi"/>
                <w:noProof w:val="0"/>
              </w:rPr>
              <w:t xml:space="preserve">Service Requester </w:t>
            </w:r>
            <w:r w:rsidR="00F922D8" w:rsidRPr="00322A2C">
              <w:rPr>
                <w:rFonts w:asciiTheme="minorHAnsi" w:hAnsiTheme="minorHAnsi" w:cstheme="minorHAnsi"/>
                <w:noProof w:val="0"/>
              </w:rPr>
              <w:t>contract to swing quantity.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25D2" w14:textId="44FF1EAD" w:rsidR="00F922D8" w:rsidRPr="00322A2C" w:rsidRDefault="00F922D8" w:rsidP="00322A2C">
            <w:pPr>
              <w:jc w:val="center"/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BC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C621" w14:textId="05242808" w:rsidR="00F922D8" w:rsidRPr="00322A2C" w:rsidRDefault="00F922D8" w:rsidP="00322A2C">
            <w:pPr>
              <w:jc w:val="center"/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BC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57C" w14:textId="72BDEE69" w:rsidR="00F922D8" w:rsidRPr="00322A2C" w:rsidRDefault="00F922D8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 xml:space="preserve">May be used where the </w:t>
            </w:r>
            <w:r w:rsidR="00322A2C">
              <w:rPr>
                <w:rFonts w:asciiTheme="minorHAnsi" w:hAnsiTheme="minorHAnsi" w:cstheme="minorHAnsi"/>
              </w:rPr>
              <w:t>t</w:t>
            </w:r>
            <w:r w:rsidRPr="00322A2C">
              <w:rPr>
                <w:rFonts w:asciiTheme="minorHAnsi" w:hAnsiTheme="minorHAnsi" w:cstheme="minorHAnsi"/>
              </w:rPr>
              <w:t xml:space="preserve">ransportation </w:t>
            </w:r>
            <w:r w:rsidR="00322A2C">
              <w:rPr>
                <w:rFonts w:asciiTheme="minorHAnsi" w:hAnsiTheme="minorHAnsi" w:cstheme="minorHAnsi"/>
              </w:rPr>
              <w:t>s</w:t>
            </w:r>
            <w:r w:rsidRPr="00322A2C">
              <w:rPr>
                <w:rFonts w:asciiTheme="minorHAnsi" w:hAnsiTheme="minorHAnsi" w:cstheme="minorHAnsi"/>
              </w:rPr>
              <w:t xml:space="preserve">ervice </w:t>
            </w:r>
            <w:r w:rsidR="00322A2C">
              <w:rPr>
                <w:rFonts w:asciiTheme="minorHAnsi" w:hAnsiTheme="minorHAnsi" w:cstheme="minorHAnsi"/>
              </w:rPr>
              <w:t>p</w:t>
            </w:r>
            <w:r w:rsidRPr="00322A2C">
              <w:rPr>
                <w:rFonts w:asciiTheme="minorHAnsi" w:hAnsiTheme="minorHAnsi" w:cstheme="minorHAnsi"/>
              </w:rPr>
              <w:t xml:space="preserve">rovider allows the option for allocating quantity to </w:t>
            </w:r>
            <w:r w:rsidR="007B0247" w:rsidRPr="00322A2C">
              <w:rPr>
                <w:rFonts w:asciiTheme="minorHAnsi" w:hAnsiTheme="minorHAnsi" w:cstheme="minorHAnsi"/>
              </w:rPr>
              <w:t xml:space="preserve">a different </w:t>
            </w:r>
            <w:r w:rsidR="00322A2C">
              <w:rPr>
                <w:rFonts w:asciiTheme="minorHAnsi" w:hAnsiTheme="minorHAnsi" w:cstheme="minorHAnsi"/>
              </w:rPr>
              <w:t>c</w:t>
            </w:r>
            <w:r w:rsidR="007B0247" w:rsidRPr="00322A2C">
              <w:rPr>
                <w:rFonts w:asciiTheme="minorHAnsi" w:hAnsiTheme="minorHAnsi" w:cstheme="minorHAnsi"/>
              </w:rPr>
              <w:t>ontract</w:t>
            </w:r>
            <w:r w:rsidR="00322A2C">
              <w:rPr>
                <w:rFonts w:asciiTheme="minorHAnsi" w:hAnsiTheme="minorHAnsi" w:cstheme="minorHAnsi"/>
              </w:rPr>
              <w:t>.</w:t>
            </w:r>
          </w:p>
        </w:tc>
      </w:tr>
      <w:tr w:rsidR="00F922D8" w:rsidRPr="00322A2C" w14:paraId="20677440" w14:textId="77777777" w:rsidTr="00322A2C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D83" w14:textId="0B134AF2" w:rsidR="00F922D8" w:rsidRPr="00322A2C" w:rsidRDefault="0086487A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 xml:space="preserve">Swing </w:t>
            </w:r>
            <w:r w:rsidR="00F922D8" w:rsidRPr="00322A2C">
              <w:rPr>
                <w:rFonts w:asciiTheme="minorHAnsi" w:hAnsiTheme="minorHAnsi" w:cstheme="minorHAnsi"/>
              </w:rPr>
              <w:t xml:space="preserve">Location 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9F60" w14:textId="0614A9B5" w:rsidR="00F922D8" w:rsidRPr="00322A2C" w:rsidRDefault="00F922D8" w:rsidP="00322A2C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noProof w:val="0"/>
              </w:rPr>
            </w:pPr>
            <w:r w:rsidRPr="00322A2C">
              <w:rPr>
                <w:rFonts w:asciiTheme="minorHAnsi" w:hAnsiTheme="minorHAnsi" w:cstheme="minorHAnsi"/>
                <w:noProof w:val="0"/>
              </w:rPr>
              <w:t xml:space="preserve">The location on </w:t>
            </w:r>
            <w:r w:rsidR="007B0247" w:rsidRPr="00322A2C">
              <w:rPr>
                <w:rFonts w:asciiTheme="minorHAnsi" w:hAnsiTheme="minorHAnsi" w:cstheme="minorHAnsi"/>
                <w:noProof w:val="0"/>
              </w:rPr>
              <w:t>the Swing</w:t>
            </w:r>
            <w:r w:rsidRPr="00322A2C">
              <w:rPr>
                <w:rFonts w:asciiTheme="minorHAnsi" w:hAnsiTheme="minorHAnsi" w:cstheme="minorHAnsi"/>
                <w:noProof w:val="0"/>
              </w:rPr>
              <w:t xml:space="preserve"> Contract </w:t>
            </w:r>
            <w:r w:rsidR="007B0247" w:rsidRPr="00322A2C">
              <w:rPr>
                <w:rFonts w:asciiTheme="minorHAnsi" w:hAnsiTheme="minorHAnsi" w:cstheme="minorHAnsi"/>
                <w:noProof w:val="0"/>
              </w:rPr>
              <w:t>to</w:t>
            </w:r>
            <w:r w:rsidRPr="00322A2C">
              <w:rPr>
                <w:rFonts w:asciiTheme="minorHAnsi" w:hAnsiTheme="minorHAnsi" w:cstheme="minorHAnsi"/>
                <w:noProof w:val="0"/>
              </w:rPr>
              <w:t xml:space="preserve"> swing quantity.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F5FA" w14:textId="0B9FDC96" w:rsidR="00F922D8" w:rsidRPr="00322A2C" w:rsidRDefault="00F922D8" w:rsidP="00322A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48F8" w14:textId="7FEB9429" w:rsidR="00F922D8" w:rsidRPr="00322A2C" w:rsidRDefault="00F922D8" w:rsidP="00322A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2111" w14:textId="0474624B" w:rsidR="00F922D8" w:rsidRPr="00322A2C" w:rsidRDefault="00F922D8" w:rsidP="00322A2C">
            <w:pPr>
              <w:rPr>
                <w:rFonts w:asciiTheme="minorHAnsi" w:hAnsiTheme="minorHAnsi" w:cstheme="minorHAnsi"/>
              </w:rPr>
            </w:pPr>
          </w:p>
        </w:tc>
      </w:tr>
      <w:tr w:rsidR="0063547B" w:rsidRPr="00322A2C" w14:paraId="7117DF30" w14:textId="77777777" w:rsidTr="00322A2C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47A2" w14:textId="66BFD23F" w:rsidR="0063547B" w:rsidRPr="00322A2C" w:rsidRDefault="0086487A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 xml:space="preserve">                    Swing</w:t>
            </w:r>
            <w:r w:rsidR="0063547B" w:rsidRPr="00322A2C">
              <w:rPr>
                <w:rFonts w:asciiTheme="minorHAnsi" w:hAnsiTheme="minorHAnsi" w:cstheme="minorHAnsi"/>
              </w:rPr>
              <w:t xml:space="preserve"> Location </w:t>
            </w:r>
          </w:p>
          <w:p w14:paraId="21B20C26" w14:textId="31088ED9" w:rsidR="00456BE2" w:rsidRPr="00322A2C" w:rsidRDefault="00456BE2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 xml:space="preserve">                           (</w:t>
            </w:r>
            <w:r w:rsidR="0086487A" w:rsidRPr="00322A2C">
              <w:rPr>
                <w:rFonts w:asciiTheme="minorHAnsi" w:hAnsiTheme="minorHAnsi" w:cstheme="minorHAnsi"/>
              </w:rPr>
              <w:t xml:space="preserve">SG </w:t>
            </w:r>
            <w:r w:rsidRPr="00322A2C">
              <w:rPr>
                <w:rFonts w:asciiTheme="minorHAnsi" w:hAnsiTheme="minorHAnsi" w:cstheme="minorHAnsi"/>
              </w:rPr>
              <w:t>Loc)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D3B" w14:textId="77777777" w:rsidR="0063547B" w:rsidRPr="00322A2C" w:rsidRDefault="0063547B" w:rsidP="00322A2C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noProof w:val="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898" w14:textId="1970DD66" w:rsidR="0063547B" w:rsidRPr="00322A2C" w:rsidRDefault="0063547B" w:rsidP="00322A2C">
            <w:pPr>
              <w:jc w:val="center"/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BC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BF9F" w14:textId="19EA5139" w:rsidR="0063547B" w:rsidRPr="00322A2C" w:rsidRDefault="0063547B" w:rsidP="00322A2C">
            <w:pPr>
              <w:jc w:val="center"/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BC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DA4" w14:textId="1F0CF807" w:rsidR="0063547B" w:rsidRPr="00322A2C" w:rsidRDefault="0063547B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 xml:space="preserve">May be used where the </w:t>
            </w:r>
            <w:r w:rsidR="00322A2C">
              <w:rPr>
                <w:rFonts w:asciiTheme="minorHAnsi" w:hAnsiTheme="minorHAnsi" w:cstheme="minorHAnsi"/>
              </w:rPr>
              <w:t>t</w:t>
            </w:r>
            <w:r w:rsidRPr="00322A2C">
              <w:rPr>
                <w:rFonts w:asciiTheme="minorHAnsi" w:hAnsiTheme="minorHAnsi" w:cstheme="minorHAnsi"/>
              </w:rPr>
              <w:t xml:space="preserve">ransportation </w:t>
            </w:r>
            <w:r w:rsidR="00322A2C">
              <w:rPr>
                <w:rFonts w:asciiTheme="minorHAnsi" w:hAnsiTheme="minorHAnsi" w:cstheme="minorHAnsi"/>
              </w:rPr>
              <w:t>s</w:t>
            </w:r>
            <w:r w:rsidRPr="00322A2C">
              <w:rPr>
                <w:rFonts w:asciiTheme="minorHAnsi" w:hAnsiTheme="minorHAnsi" w:cstheme="minorHAnsi"/>
              </w:rPr>
              <w:t xml:space="preserve">ervice </w:t>
            </w:r>
            <w:r w:rsidR="00322A2C">
              <w:rPr>
                <w:rFonts w:asciiTheme="minorHAnsi" w:hAnsiTheme="minorHAnsi" w:cstheme="minorHAnsi"/>
              </w:rPr>
              <w:t>p</w:t>
            </w:r>
            <w:r w:rsidRPr="00322A2C">
              <w:rPr>
                <w:rFonts w:asciiTheme="minorHAnsi" w:hAnsiTheme="minorHAnsi" w:cstheme="minorHAnsi"/>
              </w:rPr>
              <w:t xml:space="preserve">rovider allows the option for allocating quantity to the Service Requester’s </w:t>
            </w:r>
            <w:r w:rsidR="007B0247" w:rsidRPr="00322A2C">
              <w:rPr>
                <w:rFonts w:asciiTheme="minorHAnsi" w:hAnsiTheme="minorHAnsi" w:cstheme="minorHAnsi"/>
              </w:rPr>
              <w:t xml:space="preserve">Swing </w:t>
            </w:r>
            <w:r w:rsidRPr="00322A2C">
              <w:rPr>
                <w:rFonts w:asciiTheme="minorHAnsi" w:hAnsiTheme="minorHAnsi" w:cstheme="minorHAnsi"/>
              </w:rPr>
              <w:t>Contract</w:t>
            </w:r>
            <w:r w:rsidR="00322A2C">
              <w:rPr>
                <w:rFonts w:asciiTheme="minorHAnsi" w:hAnsiTheme="minorHAnsi" w:cstheme="minorHAnsi"/>
              </w:rPr>
              <w:t>.</w:t>
            </w:r>
          </w:p>
        </w:tc>
      </w:tr>
      <w:tr w:rsidR="0063547B" w:rsidRPr="00322A2C" w14:paraId="18CBC3E9" w14:textId="77777777" w:rsidTr="00322A2C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484" w14:textId="12639133" w:rsidR="0063547B" w:rsidRPr="00322A2C" w:rsidRDefault="00456BE2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 xml:space="preserve">          </w:t>
            </w:r>
            <w:r w:rsidR="0086487A" w:rsidRPr="00322A2C">
              <w:rPr>
                <w:rFonts w:asciiTheme="minorHAnsi" w:hAnsiTheme="minorHAnsi" w:cstheme="minorHAnsi"/>
              </w:rPr>
              <w:t xml:space="preserve">Swing </w:t>
            </w:r>
            <w:r w:rsidR="0063547B" w:rsidRPr="00322A2C">
              <w:rPr>
                <w:rFonts w:asciiTheme="minorHAnsi" w:hAnsiTheme="minorHAnsi" w:cstheme="minorHAnsi"/>
              </w:rPr>
              <w:t>Location Name</w:t>
            </w:r>
          </w:p>
          <w:p w14:paraId="6DD758D0" w14:textId="50EA589A" w:rsidR="00456BE2" w:rsidRPr="00322A2C" w:rsidRDefault="00456BE2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 xml:space="preserve">                    (</w:t>
            </w:r>
            <w:r w:rsidR="0086487A" w:rsidRPr="00322A2C">
              <w:rPr>
                <w:rFonts w:asciiTheme="minorHAnsi" w:hAnsiTheme="minorHAnsi" w:cstheme="minorHAnsi"/>
              </w:rPr>
              <w:t>SG</w:t>
            </w:r>
            <w:r w:rsidRPr="00322A2C">
              <w:rPr>
                <w:rFonts w:asciiTheme="minorHAnsi" w:hAnsiTheme="minorHAnsi" w:cstheme="minorHAnsi"/>
              </w:rPr>
              <w:t xml:space="preserve"> Loc Name)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305" w14:textId="77777777" w:rsidR="0063547B" w:rsidRPr="00322A2C" w:rsidRDefault="0063547B" w:rsidP="00322A2C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noProof w:val="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C08A" w14:textId="41C42493" w:rsidR="0063547B" w:rsidRPr="00322A2C" w:rsidRDefault="0063547B" w:rsidP="00322A2C">
            <w:pPr>
              <w:jc w:val="center"/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BC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35C" w14:textId="545C77C2" w:rsidR="0063547B" w:rsidRPr="00322A2C" w:rsidRDefault="0063547B" w:rsidP="00322A2C">
            <w:pPr>
              <w:jc w:val="center"/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nu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D979" w14:textId="4443B388" w:rsidR="0063547B" w:rsidRPr="00322A2C" w:rsidRDefault="0063547B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 xml:space="preserve">May be used where the </w:t>
            </w:r>
            <w:r w:rsidR="00322A2C">
              <w:rPr>
                <w:rFonts w:asciiTheme="minorHAnsi" w:hAnsiTheme="minorHAnsi" w:cstheme="minorHAnsi"/>
              </w:rPr>
              <w:t>t</w:t>
            </w:r>
            <w:r w:rsidRPr="00322A2C">
              <w:rPr>
                <w:rFonts w:asciiTheme="minorHAnsi" w:hAnsiTheme="minorHAnsi" w:cstheme="minorHAnsi"/>
              </w:rPr>
              <w:t xml:space="preserve">ransportation </w:t>
            </w:r>
            <w:r w:rsidR="00322A2C">
              <w:rPr>
                <w:rFonts w:asciiTheme="minorHAnsi" w:hAnsiTheme="minorHAnsi" w:cstheme="minorHAnsi"/>
              </w:rPr>
              <w:t>s</w:t>
            </w:r>
            <w:r w:rsidRPr="00322A2C">
              <w:rPr>
                <w:rFonts w:asciiTheme="minorHAnsi" w:hAnsiTheme="minorHAnsi" w:cstheme="minorHAnsi"/>
              </w:rPr>
              <w:t xml:space="preserve">ervice </w:t>
            </w:r>
            <w:r w:rsidR="00322A2C">
              <w:rPr>
                <w:rFonts w:asciiTheme="minorHAnsi" w:hAnsiTheme="minorHAnsi" w:cstheme="minorHAnsi"/>
              </w:rPr>
              <w:t>p</w:t>
            </w:r>
            <w:r w:rsidRPr="00322A2C">
              <w:rPr>
                <w:rFonts w:asciiTheme="minorHAnsi" w:hAnsiTheme="minorHAnsi" w:cstheme="minorHAnsi"/>
              </w:rPr>
              <w:t xml:space="preserve">rovider allows the option for allocating quantity to the </w:t>
            </w:r>
            <w:r w:rsidR="007B0247" w:rsidRPr="00322A2C">
              <w:rPr>
                <w:rFonts w:asciiTheme="minorHAnsi" w:hAnsiTheme="minorHAnsi" w:cstheme="minorHAnsi"/>
              </w:rPr>
              <w:t>Service Requester’s Swing Contract</w:t>
            </w:r>
            <w:r w:rsidR="00322A2C">
              <w:rPr>
                <w:rFonts w:asciiTheme="minorHAnsi" w:hAnsiTheme="minorHAnsi" w:cstheme="minorHAnsi"/>
              </w:rPr>
              <w:t>.</w:t>
            </w:r>
          </w:p>
        </w:tc>
      </w:tr>
      <w:tr w:rsidR="0063547B" w:rsidRPr="00322A2C" w14:paraId="6CAA4211" w14:textId="77777777" w:rsidTr="00322A2C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D7C" w14:textId="77777777" w:rsidR="0063547B" w:rsidRPr="00322A2C" w:rsidRDefault="0063547B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Swing Limit</w:t>
            </w:r>
          </w:p>
          <w:p w14:paraId="67B5F533" w14:textId="6FAA41A8" w:rsidR="00456BE2" w:rsidRPr="00322A2C" w:rsidRDefault="00456BE2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(SG Lim)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9399" w14:textId="049D4EFA" w:rsidR="0063547B" w:rsidRPr="00322A2C" w:rsidRDefault="0063547B" w:rsidP="00322A2C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noProof w:val="0"/>
              </w:rPr>
            </w:pPr>
            <w:r w:rsidRPr="00322A2C">
              <w:rPr>
                <w:rFonts w:asciiTheme="minorHAnsi" w:hAnsiTheme="minorHAnsi" w:cstheme="minorHAnsi"/>
                <w:noProof w:val="0"/>
              </w:rPr>
              <w:t xml:space="preserve">Indicates the maximum quantity that can swing to the Service Requester’s </w:t>
            </w:r>
            <w:r w:rsidR="00322A2C">
              <w:rPr>
                <w:rFonts w:asciiTheme="minorHAnsi" w:hAnsiTheme="minorHAnsi" w:cstheme="minorHAnsi"/>
                <w:noProof w:val="0"/>
              </w:rPr>
              <w:t>Swing Contract.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7E8" w14:textId="27A6AD4C" w:rsidR="0063547B" w:rsidRPr="00322A2C" w:rsidRDefault="0063547B" w:rsidP="00322A2C">
            <w:pPr>
              <w:jc w:val="center"/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BC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A228" w14:textId="40531327" w:rsidR="0063547B" w:rsidRPr="00322A2C" w:rsidRDefault="0063547B" w:rsidP="00322A2C">
            <w:pPr>
              <w:jc w:val="center"/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BC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BF2E" w14:textId="084FE482" w:rsidR="0063547B" w:rsidRPr="00322A2C" w:rsidRDefault="0063547B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 xml:space="preserve">May be used where the transportation service provider allows the option for allocating quantity to the </w:t>
            </w:r>
            <w:r w:rsidR="007B0247" w:rsidRPr="00322A2C">
              <w:rPr>
                <w:rFonts w:asciiTheme="minorHAnsi" w:hAnsiTheme="minorHAnsi" w:cstheme="minorHAnsi"/>
              </w:rPr>
              <w:t>Service Requester’s Swing Contract</w:t>
            </w:r>
            <w:r w:rsidR="00322A2C">
              <w:rPr>
                <w:rFonts w:asciiTheme="minorHAnsi" w:hAnsiTheme="minorHAnsi" w:cstheme="minorHAnsi"/>
              </w:rPr>
              <w:t>.</w:t>
            </w:r>
          </w:p>
        </w:tc>
      </w:tr>
      <w:tr w:rsidR="0063547B" w:rsidRPr="00322A2C" w14:paraId="72828761" w14:textId="77777777" w:rsidTr="00322A2C"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D645" w14:textId="77777777" w:rsidR="0063547B" w:rsidRPr="00322A2C" w:rsidRDefault="0063547B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Swing Percentage</w:t>
            </w:r>
          </w:p>
          <w:p w14:paraId="179436FB" w14:textId="6C642FD4" w:rsidR="00456BE2" w:rsidRPr="00322A2C" w:rsidRDefault="00456BE2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(SG %)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242" w14:textId="297094D2" w:rsidR="0063547B" w:rsidRPr="00322A2C" w:rsidRDefault="0063547B" w:rsidP="00322A2C">
            <w:pPr>
              <w:pStyle w:val="BodyText2"/>
              <w:spacing w:after="0" w:line="240" w:lineRule="auto"/>
              <w:rPr>
                <w:rFonts w:asciiTheme="minorHAnsi" w:hAnsiTheme="minorHAnsi" w:cstheme="minorHAnsi"/>
                <w:noProof w:val="0"/>
              </w:rPr>
            </w:pPr>
            <w:r w:rsidRPr="00322A2C">
              <w:rPr>
                <w:rFonts w:asciiTheme="minorHAnsi" w:hAnsiTheme="minorHAnsi" w:cstheme="minorHAnsi"/>
                <w:noProof w:val="0"/>
              </w:rPr>
              <w:t xml:space="preserve">Indicates the percentage of quantity that can swing to the Service Requester’s </w:t>
            </w:r>
            <w:r w:rsidR="00322A2C">
              <w:rPr>
                <w:rFonts w:asciiTheme="minorHAnsi" w:hAnsiTheme="minorHAnsi" w:cstheme="minorHAnsi"/>
                <w:noProof w:val="0"/>
              </w:rPr>
              <w:t>Swing Contract.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94DC" w14:textId="49D27EB0" w:rsidR="0063547B" w:rsidRPr="00322A2C" w:rsidRDefault="0063547B" w:rsidP="00322A2C">
            <w:pPr>
              <w:jc w:val="center"/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BC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F51" w14:textId="2B530D31" w:rsidR="0063547B" w:rsidRPr="00322A2C" w:rsidRDefault="0063547B" w:rsidP="00322A2C">
            <w:pPr>
              <w:jc w:val="center"/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>BC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F6A2" w14:textId="7EED25A6" w:rsidR="0063547B" w:rsidRPr="00322A2C" w:rsidRDefault="0063547B" w:rsidP="00322A2C">
            <w:pPr>
              <w:rPr>
                <w:rFonts w:asciiTheme="minorHAnsi" w:hAnsiTheme="minorHAnsi" w:cstheme="minorHAnsi"/>
              </w:rPr>
            </w:pPr>
            <w:r w:rsidRPr="00322A2C">
              <w:rPr>
                <w:rFonts w:asciiTheme="minorHAnsi" w:hAnsiTheme="minorHAnsi" w:cstheme="minorHAnsi"/>
              </w:rPr>
              <w:t xml:space="preserve">May be used where the transportation service provider allows the option for allocating quantity to the </w:t>
            </w:r>
            <w:r w:rsidR="007B0247" w:rsidRPr="00322A2C">
              <w:rPr>
                <w:rFonts w:asciiTheme="minorHAnsi" w:hAnsiTheme="minorHAnsi" w:cstheme="minorHAnsi"/>
              </w:rPr>
              <w:t>Service Requester’s Swing Contract</w:t>
            </w:r>
            <w:r w:rsidR="00322A2C">
              <w:rPr>
                <w:rFonts w:asciiTheme="minorHAnsi" w:hAnsiTheme="minorHAnsi" w:cstheme="minorHAnsi"/>
              </w:rPr>
              <w:t>.</w:t>
            </w:r>
          </w:p>
        </w:tc>
      </w:tr>
    </w:tbl>
    <w:p w14:paraId="53EAA196" w14:textId="77777777" w:rsidR="00CC54D6" w:rsidRDefault="00CC54D6" w:rsidP="00322A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B5E53D3" w14:textId="6B3463EE" w:rsidR="007E7B0F" w:rsidRPr="00322A2C" w:rsidRDefault="007E7B0F" w:rsidP="00322A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22A2C">
        <w:rPr>
          <w:rFonts w:asciiTheme="minorHAnsi" w:hAnsiTheme="minorHAnsi" w:cstheme="minorHAnsi"/>
          <w:sz w:val="22"/>
          <w:szCs w:val="22"/>
        </w:rPr>
        <w:t xml:space="preserve">Add the new data element to each PDA Transaction Type containing Service Requester Contract. </w:t>
      </w:r>
      <w:r w:rsidRPr="00322A2C">
        <w:rPr>
          <w:rFonts w:asciiTheme="minorHAnsi" w:hAnsiTheme="minorHAnsi" w:cstheme="minorHAnsi"/>
          <w:sz w:val="22"/>
          <w:szCs w:val="22"/>
        </w:rPr>
        <w:tab/>
      </w:r>
    </w:p>
    <w:p w14:paraId="3CC27FA6" w14:textId="724F2447" w:rsidR="007E7B0F" w:rsidRPr="00322A2C" w:rsidRDefault="007E7B0F" w:rsidP="00322A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22A2C">
        <w:rPr>
          <w:rFonts w:asciiTheme="minorHAnsi" w:hAnsiTheme="minorHAnsi" w:cstheme="minorHAnsi"/>
          <w:sz w:val="22"/>
          <w:szCs w:val="22"/>
        </w:rPr>
        <w:t>PDA TT – 1, 2, 7,</w:t>
      </w:r>
      <w:r w:rsidR="00322A2C">
        <w:rPr>
          <w:rFonts w:asciiTheme="minorHAnsi" w:hAnsiTheme="minorHAnsi" w:cstheme="minorHAnsi"/>
          <w:sz w:val="22"/>
          <w:szCs w:val="22"/>
        </w:rPr>
        <w:t xml:space="preserve"> </w:t>
      </w:r>
      <w:r w:rsidRPr="00322A2C">
        <w:rPr>
          <w:rFonts w:asciiTheme="minorHAnsi" w:hAnsiTheme="minorHAnsi" w:cstheme="minorHAnsi"/>
          <w:sz w:val="22"/>
          <w:szCs w:val="22"/>
        </w:rPr>
        <w:t>8,</w:t>
      </w:r>
      <w:r w:rsidR="00322A2C">
        <w:rPr>
          <w:rFonts w:asciiTheme="minorHAnsi" w:hAnsiTheme="minorHAnsi" w:cstheme="minorHAnsi"/>
          <w:sz w:val="22"/>
          <w:szCs w:val="22"/>
        </w:rPr>
        <w:t xml:space="preserve"> </w:t>
      </w:r>
      <w:r w:rsidRPr="00322A2C">
        <w:rPr>
          <w:rFonts w:asciiTheme="minorHAnsi" w:hAnsiTheme="minorHAnsi" w:cstheme="minorHAnsi"/>
          <w:sz w:val="22"/>
          <w:szCs w:val="22"/>
        </w:rPr>
        <w:t>9,</w:t>
      </w:r>
      <w:r w:rsidR="00322A2C">
        <w:rPr>
          <w:rFonts w:asciiTheme="minorHAnsi" w:hAnsiTheme="minorHAnsi" w:cstheme="minorHAnsi"/>
          <w:sz w:val="22"/>
          <w:szCs w:val="22"/>
        </w:rPr>
        <w:t xml:space="preserve"> </w:t>
      </w:r>
      <w:r w:rsidRPr="00322A2C">
        <w:rPr>
          <w:rFonts w:asciiTheme="minorHAnsi" w:hAnsiTheme="minorHAnsi" w:cstheme="minorHAnsi"/>
          <w:sz w:val="22"/>
          <w:szCs w:val="22"/>
        </w:rPr>
        <w:t>10,</w:t>
      </w:r>
      <w:r w:rsidR="00322A2C">
        <w:rPr>
          <w:rFonts w:asciiTheme="minorHAnsi" w:hAnsiTheme="minorHAnsi" w:cstheme="minorHAnsi"/>
          <w:sz w:val="22"/>
          <w:szCs w:val="22"/>
        </w:rPr>
        <w:t xml:space="preserve"> </w:t>
      </w:r>
      <w:r w:rsidRPr="00322A2C">
        <w:rPr>
          <w:rFonts w:asciiTheme="minorHAnsi" w:hAnsiTheme="minorHAnsi" w:cstheme="minorHAnsi"/>
          <w:sz w:val="22"/>
          <w:szCs w:val="22"/>
        </w:rPr>
        <w:t>11,</w:t>
      </w:r>
      <w:r w:rsidR="00322A2C">
        <w:rPr>
          <w:rFonts w:asciiTheme="minorHAnsi" w:hAnsiTheme="minorHAnsi" w:cstheme="minorHAnsi"/>
          <w:sz w:val="22"/>
          <w:szCs w:val="22"/>
        </w:rPr>
        <w:t xml:space="preserve"> </w:t>
      </w:r>
      <w:r w:rsidRPr="00322A2C">
        <w:rPr>
          <w:rFonts w:asciiTheme="minorHAnsi" w:hAnsiTheme="minorHAnsi" w:cstheme="minorHAnsi"/>
          <w:sz w:val="22"/>
          <w:szCs w:val="22"/>
        </w:rPr>
        <w:t>12,</w:t>
      </w:r>
      <w:r w:rsidR="00322A2C">
        <w:rPr>
          <w:rFonts w:asciiTheme="minorHAnsi" w:hAnsiTheme="minorHAnsi" w:cstheme="minorHAnsi"/>
          <w:sz w:val="22"/>
          <w:szCs w:val="22"/>
        </w:rPr>
        <w:t xml:space="preserve"> </w:t>
      </w:r>
      <w:r w:rsidRPr="00322A2C">
        <w:rPr>
          <w:rFonts w:asciiTheme="minorHAnsi" w:hAnsiTheme="minorHAnsi" w:cstheme="minorHAnsi"/>
          <w:sz w:val="22"/>
          <w:szCs w:val="22"/>
        </w:rPr>
        <w:t>13,</w:t>
      </w:r>
      <w:r w:rsidR="00322A2C">
        <w:rPr>
          <w:rFonts w:asciiTheme="minorHAnsi" w:hAnsiTheme="minorHAnsi" w:cstheme="minorHAnsi"/>
          <w:sz w:val="22"/>
          <w:szCs w:val="22"/>
        </w:rPr>
        <w:t xml:space="preserve"> </w:t>
      </w:r>
      <w:r w:rsidRPr="00322A2C">
        <w:rPr>
          <w:rFonts w:asciiTheme="minorHAnsi" w:hAnsiTheme="minorHAnsi" w:cstheme="minorHAnsi"/>
          <w:sz w:val="22"/>
          <w:szCs w:val="22"/>
        </w:rPr>
        <w:t>14,</w:t>
      </w:r>
      <w:r w:rsidR="00322A2C">
        <w:rPr>
          <w:rFonts w:asciiTheme="minorHAnsi" w:hAnsiTheme="minorHAnsi" w:cstheme="minorHAnsi"/>
          <w:sz w:val="22"/>
          <w:szCs w:val="22"/>
        </w:rPr>
        <w:t xml:space="preserve"> </w:t>
      </w:r>
      <w:r w:rsidRPr="00322A2C">
        <w:rPr>
          <w:rFonts w:asciiTheme="minorHAnsi" w:hAnsiTheme="minorHAnsi" w:cstheme="minorHAnsi"/>
          <w:sz w:val="22"/>
          <w:szCs w:val="22"/>
        </w:rPr>
        <w:t>15,</w:t>
      </w:r>
      <w:r w:rsidR="00322A2C">
        <w:rPr>
          <w:rFonts w:asciiTheme="minorHAnsi" w:hAnsiTheme="minorHAnsi" w:cstheme="minorHAnsi"/>
          <w:sz w:val="22"/>
          <w:szCs w:val="22"/>
        </w:rPr>
        <w:t xml:space="preserve"> </w:t>
      </w:r>
      <w:r w:rsidRPr="00322A2C">
        <w:rPr>
          <w:rFonts w:asciiTheme="minorHAnsi" w:hAnsiTheme="minorHAnsi" w:cstheme="minorHAnsi"/>
          <w:sz w:val="22"/>
          <w:szCs w:val="22"/>
        </w:rPr>
        <w:t>16,</w:t>
      </w:r>
      <w:r w:rsidR="00322A2C">
        <w:rPr>
          <w:rFonts w:asciiTheme="minorHAnsi" w:hAnsiTheme="minorHAnsi" w:cstheme="minorHAnsi"/>
          <w:sz w:val="22"/>
          <w:szCs w:val="22"/>
        </w:rPr>
        <w:t xml:space="preserve"> </w:t>
      </w:r>
      <w:r w:rsidRPr="00322A2C">
        <w:rPr>
          <w:rFonts w:asciiTheme="minorHAnsi" w:hAnsiTheme="minorHAnsi" w:cstheme="minorHAnsi"/>
          <w:sz w:val="22"/>
          <w:szCs w:val="22"/>
        </w:rPr>
        <w:t>17</w:t>
      </w:r>
    </w:p>
    <w:p w14:paraId="28FDBDDA" w14:textId="612FB273" w:rsidR="00C17CCE" w:rsidRPr="00322A2C" w:rsidRDefault="007E7B0F" w:rsidP="00322A2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22A2C">
        <w:rPr>
          <w:rFonts w:asciiTheme="minorHAnsi" w:hAnsiTheme="minorHAnsi" w:cstheme="minorHAnsi"/>
          <w:sz w:val="22"/>
          <w:szCs w:val="22"/>
        </w:rPr>
        <w:t xml:space="preserve">Condition – C12 </w:t>
      </w:r>
      <w:r w:rsidR="004B46AE" w:rsidRPr="00322A2C">
        <w:rPr>
          <w:rFonts w:asciiTheme="minorHAnsi" w:hAnsiTheme="minorHAnsi" w:cstheme="minorHAnsi"/>
          <w:sz w:val="22"/>
          <w:szCs w:val="22"/>
        </w:rPr>
        <w:t>Used when the Transportation Service Provider offers the ability for service requesters to identify a swing contract with a quantity limit imposed</w:t>
      </w:r>
      <w:r w:rsidR="00322A2C">
        <w:rPr>
          <w:rFonts w:asciiTheme="minorHAnsi" w:hAnsiTheme="minorHAnsi" w:cstheme="minorHAnsi"/>
          <w:sz w:val="22"/>
          <w:szCs w:val="22"/>
        </w:rPr>
        <w:t>.</w:t>
      </w:r>
    </w:p>
    <w:p w14:paraId="758E1D21" w14:textId="77777777" w:rsidR="00391E35" w:rsidRPr="00322A2C" w:rsidRDefault="00391E35" w:rsidP="00250BE5">
      <w:pPr>
        <w:rPr>
          <w:rFonts w:asciiTheme="minorHAnsi" w:hAnsiTheme="minorHAnsi" w:cstheme="minorHAnsi"/>
          <w:sz w:val="22"/>
          <w:szCs w:val="22"/>
        </w:rPr>
      </w:pPr>
    </w:p>
    <w:p w14:paraId="68007B90" w14:textId="77777777" w:rsidR="00D360B8" w:rsidRPr="00322A2C" w:rsidRDefault="00D360B8" w:rsidP="00250BE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2A2C">
        <w:rPr>
          <w:rFonts w:asciiTheme="minorHAnsi" w:hAnsiTheme="minorHAnsi" w:cstheme="minorHAnsi"/>
          <w:b/>
          <w:sz w:val="22"/>
          <w:szCs w:val="22"/>
        </w:rPr>
        <w:t>Description of Any Tangible or Intangible Benefits to the Use of the Proposed Standard or Enhancement:</w:t>
      </w:r>
    </w:p>
    <w:p w14:paraId="759137D3" w14:textId="3F55739E" w:rsidR="00CF3A32" w:rsidRPr="00322A2C" w:rsidRDefault="00751184" w:rsidP="00A44E5F">
      <w:pPr>
        <w:spacing w:after="24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22A2C">
        <w:rPr>
          <w:rFonts w:asciiTheme="minorHAnsi" w:hAnsiTheme="minorHAnsi" w:cstheme="minorHAnsi"/>
          <w:sz w:val="22"/>
          <w:szCs w:val="22"/>
        </w:rPr>
        <w:t>Tennessee Gas Pipeline</w:t>
      </w:r>
      <w:r w:rsidR="007B0247" w:rsidRPr="00322A2C">
        <w:rPr>
          <w:rFonts w:asciiTheme="minorHAnsi" w:hAnsiTheme="minorHAnsi" w:cstheme="minorHAnsi"/>
          <w:sz w:val="22"/>
          <w:szCs w:val="22"/>
        </w:rPr>
        <w:t xml:space="preserve"> allows</w:t>
      </w:r>
      <w:r w:rsidRPr="00322A2C">
        <w:rPr>
          <w:rFonts w:asciiTheme="minorHAnsi" w:hAnsiTheme="minorHAnsi" w:cstheme="minorHAnsi"/>
          <w:sz w:val="22"/>
          <w:szCs w:val="22"/>
        </w:rPr>
        <w:t xml:space="preserve"> customers the ability to resolve daily </w:t>
      </w:r>
      <w:r w:rsidR="007B0247" w:rsidRPr="00322A2C">
        <w:rPr>
          <w:rFonts w:asciiTheme="minorHAnsi" w:hAnsiTheme="minorHAnsi" w:cstheme="minorHAnsi"/>
          <w:sz w:val="22"/>
          <w:szCs w:val="22"/>
        </w:rPr>
        <w:t>imbalances</w:t>
      </w:r>
      <w:r w:rsidRPr="00322A2C">
        <w:rPr>
          <w:rFonts w:asciiTheme="minorHAnsi" w:hAnsiTheme="minorHAnsi" w:cstheme="minorHAnsi"/>
          <w:sz w:val="22"/>
          <w:szCs w:val="22"/>
        </w:rPr>
        <w:t xml:space="preserve"> under their balancing agreements. Additional data elements are required to p</w:t>
      </w:r>
      <w:r w:rsidR="00C448A4" w:rsidRPr="00322A2C">
        <w:rPr>
          <w:rFonts w:asciiTheme="minorHAnsi" w:hAnsiTheme="minorHAnsi" w:cstheme="minorHAnsi"/>
          <w:sz w:val="22"/>
          <w:szCs w:val="22"/>
        </w:rPr>
        <w:t xml:space="preserve">rovide </w:t>
      </w:r>
      <w:r w:rsidR="007B0247" w:rsidRPr="00322A2C">
        <w:rPr>
          <w:rFonts w:asciiTheme="minorHAnsi" w:hAnsiTheme="minorHAnsi" w:cstheme="minorHAnsi"/>
          <w:sz w:val="22"/>
          <w:szCs w:val="22"/>
        </w:rPr>
        <w:t>customers with the relevant data</w:t>
      </w:r>
      <w:r w:rsidR="00C448A4" w:rsidRPr="00322A2C">
        <w:rPr>
          <w:rFonts w:asciiTheme="minorHAnsi" w:hAnsiTheme="minorHAnsi" w:cstheme="minorHAnsi"/>
          <w:sz w:val="22"/>
          <w:szCs w:val="22"/>
        </w:rPr>
        <w:t xml:space="preserve">. </w:t>
      </w:r>
      <w:r w:rsidRPr="00322A2C">
        <w:rPr>
          <w:rFonts w:asciiTheme="minorHAnsi" w:hAnsiTheme="minorHAnsi" w:cstheme="minorHAnsi"/>
          <w:sz w:val="22"/>
          <w:szCs w:val="22"/>
        </w:rPr>
        <w:t xml:space="preserve">Customers may utilize their storage contracts to </w:t>
      </w:r>
      <w:r w:rsidR="007B0247" w:rsidRPr="00322A2C">
        <w:rPr>
          <w:rFonts w:asciiTheme="minorHAnsi" w:hAnsiTheme="minorHAnsi" w:cstheme="minorHAnsi"/>
          <w:sz w:val="22"/>
          <w:szCs w:val="22"/>
        </w:rPr>
        <w:t>resolve</w:t>
      </w:r>
      <w:r w:rsidRPr="00322A2C">
        <w:rPr>
          <w:rFonts w:asciiTheme="minorHAnsi" w:hAnsiTheme="minorHAnsi" w:cstheme="minorHAnsi"/>
          <w:sz w:val="22"/>
          <w:szCs w:val="22"/>
        </w:rPr>
        <w:t xml:space="preserve"> daily imbalances at delivery points covered by the </w:t>
      </w:r>
      <w:r w:rsidR="00322A2C">
        <w:rPr>
          <w:rFonts w:asciiTheme="minorHAnsi" w:hAnsiTheme="minorHAnsi" w:cstheme="minorHAnsi"/>
          <w:sz w:val="22"/>
          <w:szCs w:val="22"/>
        </w:rPr>
        <w:t>b</w:t>
      </w:r>
      <w:r w:rsidRPr="00322A2C">
        <w:rPr>
          <w:rFonts w:asciiTheme="minorHAnsi" w:hAnsiTheme="minorHAnsi" w:cstheme="minorHAnsi"/>
          <w:sz w:val="22"/>
          <w:szCs w:val="22"/>
        </w:rPr>
        <w:t xml:space="preserve">alancing </w:t>
      </w:r>
      <w:r w:rsidR="00322A2C">
        <w:rPr>
          <w:rFonts w:asciiTheme="minorHAnsi" w:hAnsiTheme="minorHAnsi" w:cstheme="minorHAnsi"/>
          <w:sz w:val="22"/>
          <w:szCs w:val="22"/>
        </w:rPr>
        <w:t>p</w:t>
      </w:r>
      <w:r w:rsidRPr="00322A2C">
        <w:rPr>
          <w:rFonts w:asciiTheme="minorHAnsi" w:hAnsiTheme="minorHAnsi" w:cstheme="minorHAnsi"/>
          <w:sz w:val="22"/>
          <w:szCs w:val="22"/>
        </w:rPr>
        <w:t>arty’s OBA.</w:t>
      </w:r>
    </w:p>
    <w:p w14:paraId="5F1784CC" w14:textId="7DDDCCF3" w:rsidR="00D360B8" w:rsidRPr="00322A2C" w:rsidRDefault="00D360B8" w:rsidP="00250BE5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2A2C">
        <w:rPr>
          <w:rFonts w:asciiTheme="minorHAnsi" w:hAnsiTheme="minorHAnsi" w:cstheme="minorHAnsi"/>
          <w:b/>
          <w:sz w:val="22"/>
          <w:szCs w:val="22"/>
        </w:rPr>
        <w:lastRenderedPageBreak/>
        <w:t>Estimate of Incremental Specific Costs to Implement Proposed Standard or Enhancement:</w:t>
      </w:r>
    </w:p>
    <w:p w14:paraId="244E7CB9" w14:textId="6928E3C0" w:rsidR="00900FF4" w:rsidRPr="00322A2C" w:rsidRDefault="00B6471C" w:rsidP="00A44E5F">
      <w:pPr>
        <w:spacing w:after="240"/>
        <w:ind w:left="720"/>
        <w:jc w:val="both"/>
        <w:rPr>
          <w:rFonts w:asciiTheme="minorHAnsi" w:hAnsiTheme="minorHAnsi" w:cstheme="minorHAnsi"/>
          <w:sz w:val="22"/>
        </w:rPr>
      </w:pPr>
      <w:r w:rsidRPr="00322A2C">
        <w:rPr>
          <w:rFonts w:asciiTheme="minorHAnsi" w:hAnsiTheme="minorHAnsi" w:cstheme="minorHAnsi"/>
          <w:sz w:val="22"/>
        </w:rPr>
        <w:t xml:space="preserve">TSPs </w:t>
      </w:r>
      <w:r w:rsidR="007B0247" w:rsidRPr="00322A2C">
        <w:rPr>
          <w:rFonts w:asciiTheme="minorHAnsi" w:hAnsiTheme="minorHAnsi" w:cstheme="minorHAnsi"/>
          <w:sz w:val="22"/>
        </w:rPr>
        <w:t xml:space="preserve">that offer the ability for a Service Requester to </w:t>
      </w:r>
      <w:r w:rsidR="00322A2C">
        <w:rPr>
          <w:rFonts w:asciiTheme="minorHAnsi" w:hAnsiTheme="minorHAnsi" w:cstheme="minorHAnsi"/>
          <w:sz w:val="22"/>
        </w:rPr>
        <w:t>s</w:t>
      </w:r>
      <w:r w:rsidR="007B0247" w:rsidRPr="00322A2C">
        <w:rPr>
          <w:rFonts w:asciiTheme="minorHAnsi" w:hAnsiTheme="minorHAnsi" w:cstheme="minorHAnsi"/>
          <w:sz w:val="22"/>
        </w:rPr>
        <w:t xml:space="preserve">wing </w:t>
      </w:r>
      <w:r w:rsidR="00322A2C">
        <w:rPr>
          <w:rFonts w:asciiTheme="minorHAnsi" w:hAnsiTheme="minorHAnsi" w:cstheme="minorHAnsi"/>
          <w:sz w:val="22"/>
        </w:rPr>
        <w:t>q</w:t>
      </w:r>
      <w:r w:rsidR="007B0247" w:rsidRPr="00322A2C">
        <w:rPr>
          <w:rFonts w:asciiTheme="minorHAnsi" w:hAnsiTheme="minorHAnsi" w:cstheme="minorHAnsi"/>
          <w:sz w:val="22"/>
        </w:rPr>
        <w:t xml:space="preserve">uantity from one of their contracts to another </w:t>
      </w:r>
      <w:r w:rsidR="001F1621" w:rsidRPr="00322A2C">
        <w:rPr>
          <w:rFonts w:asciiTheme="minorHAnsi" w:hAnsiTheme="minorHAnsi" w:cstheme="minorHAnsi"/>
          <w:sz w:val="22"/>
        </w:rPr>
        <w:t>may add these data elements. EDI customers</w:t>
      </w:r>
      <w:r w:rsidR="00286D9B" w:rsidRPr="00322A2C">
        <w:rPr>
          <w:rFonts w:asciiTheme="minorHAnsi" w:hAnsiTheme="minorHAnsi" w:cstheme="minorHAnsi"/>
          <w:sz w:val="22"/>
        </w:rPr>
        <w:t>.</w:t>
      </w:r>
      <w:r w:rsidR="001F1621" w:rsidRPr="00322A2C">
        <w:rPr>
          <w:rFonts w:asciiTheme="minorHAnsi" w:hAnsiTheme="minorHAnsi" w:cstheme="minorHAnsi"/>
          <w:sz w:val="22"/>
        </w:rPr>
        <w:t xml:space="preserve"> </w:t>
      </w:r>
    </w:p>
    <w:p w14:paraId="72138D49" w14:textId="77777777" w:rsidR="00D360B8" w:rsidRPr="00322A2C" w:rsidRDefault="00D360B8" w:rsidP="00250BE5">
      <w:pPr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2A2C">
        <w:rPr>
          <w:rFonts w:asciiTheme="minorHAnsi" w:hAnsiTheme="minorHAnsi" w:cstheme="minorHAnsi"/>
          <w:b/>
          <w:sz w:val="22"/>
          <w:szCs w:val="22"/>
        </w:rPr>
        <w:t>7.</w:t>
      </w:r>
      <w:r w:rsidR="00900FF4" w:rsidRPr="00322A2C">
        <w:rPr>
          <w:rFonts w:asciiTheme="minorHAnsi" w:hAnsiTheme="minorHAnsi" w:cstheme="minorHAnsi"/>
          <w:b/>
          <w:sz w:val="22"/>
          <w:szCs w:val="22"/>
        </w:rPr>
        <w:tab/>
      </w:r>
      <w:r w:rsidRPr="00322A2C">
        <w:rPr>
          <w:rFonts w:asciiTheme="minorHAnsi" w:hAnsiTheme="minorHAnsi" w:cstheme="minorHAnsi"/>
          <w:b/>
          <w:sz w:val="22"/>
          <w:szCs w:val="22"/>
        </w:rPr>
        <w:t>Description of Any Specific Legal or Other Considerations:</w:t>
      </w:r>
    </w:p>
    <w:p w14:paraId="73201FAE" w14:textId="77777777" w:rsidR="008C4203" w:rsidRPr="00322A2C" w:rsidRDefault="00900FF4" w:rsidP="00A44E5F">
      <w:pPr>
        <w:spacing w:after="24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322A2C">
        <w:rPr>
          <w:rFonts w:asciiTheme="minorHAnsi" w:hAnsiTheme="minorHAnsi" w:cstheme="minorHAnsi"/>
          <w:sz w:val="22"/>
          <w:szCs w:val="22"/>
        </w:rPr>
        <w:t>None have been identified</w:t>
      </w:r>
    </w:p>
    <w:p w14:paraId="326C4149" w14:textId="77777777" w:rsidR="00D360B8" w:rsidRPr="00322A2C" w:rsidRDefault="00D360B8" w:rsidP="00250BE5">
      <w:pPr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2A2C">
        <w:rPr>
          <w:rFonts w:asciiTheme="minorHAnsi" w:hAnsiTheme="minorHAnsi" w:cstheme="minorHAnsi"/>
          <w:b/>
          <w:sz w:val="22"/>
          <w:szCs w:val="22"/>
        </w:rPr>
        <w:t>8.</w:t>
      </w:r>
      <w:r w:rsidR="00900FF4" w:rsidRPr="00322A2C">
        <w:rPr>
          <w:rFonts w:asciiTheme="minorHAnsi" w:hAnsiTheme="minorHAnsi" w:cstheme="minorHAnsi"/>
          <w:b/>
          <w:sz w:val="22"/>
          <w:szCs w:val="22"/>
        </w:rPr>
        <w:tab/>
      </w:r>
      <w:r w:rsidRPr="00322A2C">
        <w:rPr>
          <w:rFonts w:asciiTheme="minorHAnsi" w:hAnsiTheme="minorHAnsi" w:cstheme="minorHAnsi"/>
          <w:b/>
          <w:sz w:val="22"/>
          <w:szCs w:val="22"/>
        </w:rPr>
        <w:t>If This Proposed Standard or Enhancement Is Not Tested Yet, List Trading Partners Willing to Test Standard or Enhancement (Corporations and contacts):</w:t>
      </w:r>
    </w:p>
    <w:p w14:paraId="7E1156B9" w14:textId="006301BC" w:rsidR="00900FF4" w:rsidRPr="00322A2C" w:rsidRDefault="00751184" w:rsidP="00A44E5F">
      <w:pPr>
        <w:spacing w:after="240"/>
        <w:ind w:left="720"/>
        <w:jc w:val="both"/>
        <w:rPr>
          <w:rFonts w:asciiTheme="minorHAnsi" w:hAnsiTheme="minorHAnsi" w:cstheme="minorHAnsi"/>
          <w:sz w:val="22"/>
        </w:rPr>
      </w:pPr>
      <w:r w:rsidRPr="00322A2C">
        <w:rPr>
          <w:rFonts w:asciiTheme="minorHAnsi" w:hAnsiTheme="minorHAnsi" w:cstheme="minorHAnsi"/>
          <w:sz w:val="22"/>
        </w:rPr>
        <w:t>Trading Partners signed up for Pre-determined Allocations will test.</w:t>
      </w:r>
    </w:p>
    <w:p w14:paraId="7A38E2CD" w14:textId="77777777" w:rsidR="00D360B8" w:rsidRPr="00322A2C" w:rsidRDefault="00D360B8" w:rsidP="00250BE5">
      <w:pPr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22A2C">
        <w:rPr>
          <w:rFonts w:asciiTheme="minorHAnsi" w:hAnsiTheme="minorHAnsi" w:cstheme="minorHAnsi"/>
          <w:b/>
          <w:sz w:val="22"/>
          <w:szCs w:val="22"/>
        </w:rPr>
        <w:t>9.</w:t>
      </w:r>
      <w:r w:rsidR="00900FF4" w:rsidRPr="00322A2C">
        <w:rPr>
          <w:rFonts w:asciiTheme="minorHAnsi" w:hAnsiTheme="minorHAnsi" w:cstheme="minorHAnsi"/>
          <w:b/>
          <w:sz w:val="22"/>
          <w:szCs w:val="22"/>
        </w:rPr>
        <w:tab/>
      </w:r>
      <w:r w:rsidRPr="00322A2C">
        <w:rPr>
          <w:rFonts w:asciiTheme="minorHAnsi" w:hAnsiTheme="minorHAnsi" w:cstheme="minorHAnsi"/>
          <w:b/>
          <w:sz w:val="22"/>
          <w:szCs w:val="22"/>
        </w:rPr>
        <w:t>If This Proposed Standard or Enhancement Is In Use, Who are the Trading Partners:</w:t>
      </w:r>
    </w:p>
    <w:p w14:paraId="7361CC61" w14:textId="77777777" w:rsidR="00900FF4" w:rsidRPr="00322A2C" w:rsidRDefault="00D41D38" w:rsidP="00A44E5F">
      <w:pPr>
        <w:spacing w:after="240"/>
        <w:ind w:left="720"/>
        <w:jc w:val="both"/>
        <w:rPr>
          <w:rFonts w:asciiTheme="minorHAnsi" w:hAnsiTheme="minorHAnsi" w:cstheme="minorHAnsi"/>
          <w:sz w:val="22"/>
        </w:rPr>
      </w:pPr>
      <w:r w:rsidRPr="00322A2C">
        <w:rPr>
          <w:rFonts w:asciiTheme="minorHAnsi" w:hAnsiTheme="minorHAnsi" w:cstheme="minorHAnsi"/>
          <w:sz w:val="22"/>
        </w:rPr>
        <w:t>N/A</w:t>
      </w:r>
    </w:p>
    <w:p w14:paraId="09EA9376" w14:textId="77777777" w:rsidR="00D360B8" w:rsidRPr="00322A2C" w:rsidRDefault="00D360B8" w:rsidP="00250BE5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322A2C">
        <w:rPr>
          <w:rFonts w:asciiTheme="minorHAnsi" w:hAnsiTheme="minorHAnsi" w:cstheme="minorHAnsi"/>
          <w:b/>
          <w:sz w:val="22"/>
          <w:szCs w:val="22"/>
        </w:rPr>
        <w:t>10.</w:t>
      </w:r>
      <w:r w:rsidR="00250BE5" w:rsidRPr="00322A2C">
        <w:rPr>
          <w:rFonts w:asciiTheme="minorHAnsi" w:hAnsiTheme="minorHAnsi" w:cstheme="minorHAnsi"/>
          <w:b/>
          <w:sz w:val="22"/>
          <w:szCs w:val="22"/>
        </w:rPr>
        <w:tab/>
      </w:r>
      <w:r w:rsidRPr="00322A2C">
        <w:rPr>
          <w:rFonts w:asciiTheme="minorHAnsi" w:hAnsiTheme="minorHAnsi" w:cstheme="minorHAnsi"/>
          <w:b/>
          <w:sz w:val="22"/>
          <w:szCs w:val="22"/>
        </w:rPr>
        <w:t>Attachments (such as : further detailed proposals, transaction data descriptions, information flows, implementation guides, business process descriptions, examples of ASC ANSI X12 mapped transactions):</w:t>
      </w:r>
    </w:p>
    <w:p w14:paraId="0727D0D7" w14:textId="77777777" w:rsidR="00D360B8" w:rsidRPr="00322A2C" w:rsidRDefault="00D07AA8" w:rsidP="00A95D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322A2C">
        <w:rPr>
          <w:rFonts w:asciiTheme="minorHAnsi" w:hAnsiTheme="minorHAnsi" w:cstheme="minorHAnsi"/>
          <w:sz w:val="22"/>
          <w:szCs w:val="22"/>
        </w:rPr>
        <w:t>N/A</w:t>
      </w:r>
    </w:p>
    <w:sectPr w:rsidR="00D360B8" w:rsidRPr="00322A2C" w:rsidSect="00EA6668">
      <w:headerReference w:type="default" r:id="rId8"/>
      <w:footerReference w:type="default" r:id="rId9"/>
      <w:endnotePr>
        <w:numFmt w:val="decimal"/>
      </w:endnotePr>
      <w:pgSz w:w="12240" w:h="15840" w:code="1"/>
      <w:pgMar w:top="1080" w:right="1440" w:bottom="1440" w:left="1440" w:header="648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A7FD" w14:textId="77777777" w:rsidR="007F059A" w:rsidRDefault="007F059A">
      <w:r>
        <w:separator/>
      </w:r>
    </w:p>
  </w:endnote>
  <w:endnote w:type="continuationSeparator" w:id="0">
    <w:p w14:paraId="68AE10FC" w14:textId="77777777" w:rsidR="007F059A" w:rsidRDefault="007F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C239" w14:textId="77777777" w:rsidR="00D07AA8" w:rsidRDefault="00D07AA8">
    <w:pPr>
      <w:pStyle w:val="Footer"/>
      <w:jc w:val="center"/>
    </w:pPr>
  </w:p>
  <w:p w14:paraId="4B90D9E6" w14:textId="77777777" w:rsidR="00D07AA8" w:rsidRDefault="00D0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CB03" w14:textId="77777777" w:rsidR="007F059A" w:rsidRDefault="007F059A">
      <w:r>
        <w:separator/>
      </w:r>
    </w:p>
  </w:footnote>
  <w:footnote w:type="continuationSeparator" w:id="0">
    <w:p w14:paraId="713F4C59" w14:textId="77777777" w:rsidR="007F059A" w:rsidRDefault="007F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CA706" w14:textId="2A59C80E" w:rsidR="00D07AA8" w:rsidRPr="00A2487D" w:rsidRDefault="00D07AA8" w:rsidP="00507485">
    <w:pPr>
      <w:pStyle w:val="Header"/>
      <w:jc w:val="center"/>
      <w:rPr>
        <w:sz w:val="36"/>
        <w:szCs w:val="36"/>
      </w:rPr>
    </w:pPr>
    <w:r w:rsidRPr="00A2487D">
      <w:rPr>
        <w:sz w:val="36"/>
        <w:szCs w:val="36"/>
      </w:rPr>
      <w:t>R</w:t>
    </w:r>
    <w:r w:rsidR="00D41D38">
      <w:rPr>
        <w:sz w:val="36"/>
        <w:szCs w:val="36"/>
      </w:rPr>
      <w:t>2</w:t>
    </w:r>
    <w:r w:rsidR="007E7B0F">
      <w:rPr>
        <w:sz w:val="36"/>
        <w:szCs w:val="36"/>
      </w:rPr>
      <w:t>6</w:t>
    </w:r>
    <w:r w:rsidR="00D41D38">
      <w:rPr>
        <w:sz w:val="36"/>
        <w:szCs w:val="36"/>
      </w:rPr>
      <w:t>0</w:t>
    </w:r>
    <w:r w:rsidR="00903D40">
      <w:rPr>
        <w:sz w:val="36"/>
        <w:szCs w:val="36"/>
      </w:rPr>
      <w:t>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41436"/>
    <w:multiLevelType w:val="hybridMultilevel"/>
    <w:tmpl w:val="F12470B2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986FE7"/>
    <w:multiLevelType w:val="hybridMultilevel"/>
    <w:tmpl w:val="78A6F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2D5723"/>
    <w:multiLevelType w:val="hybridMultilevel"/>
    <w:tmpl w:val="212294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3AD408C"/>
    <w:multiLevelType w:val="hybridMultilevel"/>
    <w:tmpl w:val="1BAE4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7127081">
    <w:abstractNumId w:val="0"/>
  </w:num>
  <w:num w:numId="2" w16cid:durableId="446511177">
    <w:abstractNumId w:val="1"/>
  </w:num>
  <w:num w:numId="3" w16cid:durableId="858355836">
    <w:abstractNumId w:val="2"/>
  </w:num>
  <w:num w:numId="4" w16cid:durableId="708651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7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A2"/>
    <w:rsid w:val="00003680"/>
    <w:rsid w:val="000305B9"/>
    <w:rsid w:val="000324F5"/>
    <w:rsid w:val="000528AC"/>
    <w:rsid w:val="000575D2"/>
    <w:rsid w:val="00093CB1"/>
    <w:rsid w:val="000F4EF9"/>
    <w:rsid w:val="00162AF9"/>
    <w:rsid w:val="00175689"/>
    <w:rsid w:val="001E1607"/>
    <w:rsid w:val="001E231F"/>
    <w:rsid w:val="001F1621"/>
    <w:rsid w:val="002366EB"/>
    <w:rsid w:val="00236B1A"/>
    <w:rsid w:val="00242740"/>
    <w:rsid w:val="00250BE5"/>
    <w:rsid w:val="00271830"/>
    <w:rsid w:val="0027329E"/>
    <w:rsid w:val="00286D9B"/>
    <w:rsid w:val="00291E70"/>
    <w:rsid w:val="002977FE"/>
    <w:rsid w:val="002C6A28"/>
    <w:rsid w:val="002D2F98"/>
    <w:rsid w:val="002F75BF"/>
    <w:rsid w:val="00302453"/>
    <w:rsid w:val="0030759C"/>
    <w:rsid w:val="00322A2C"/>
    <w:rsid w:val="00324660"/>
    <w:rsid w:val="00373A50"/>
    <w:rsid w:val="00384E8B"/>
    <w:rsid w:val="00391E35"/>
    <w:rsid w:val="004110D6"/>
    <w:rsid w:val="00411D87"/>
    <w:rsid w:val="004178E2"/>
    <w:rsid w:val="004447C1"/>
    <w:rsid w:val="0045324E"/>
    <w:rsid w:val="00456325"/>
    <w:rsid w:val="00456BE2"/>
    <w:rsid w:val="00483644"/>
    <w:rsid w:val="00490EF5"/>
    <w:rsid w:val="0049697D"/>
    <w:rsid w:val="004B46AE"/>
    <w:rsid w:val="004D2CC4"/>
    <w:rsid w:val="00507485"/>
    <w:rsid w:val="005163C9"/>
    <w:rsid w:val="0053143D"/>
    <w:rsid w:val="0054335A"/>
    <w:rsid w:val="00563DE3"/>
    <w:rsid w:val="00572147"/>
    <w:rsid w:val="005A3355"/>
    <w:rsid w:val="005A4E29"/>
    <w:rsid w:val="005B7119"/>
    <w:rsid w:val="005D32AD"/>
    <w:rsid w:val="005D3F77"/>
    <w:rsid w:val="006147D2"/>
    <w:rsid w:val="00614A5A"/>
    <w:rsid w:val="00614C0B"/>
    <w:rsid w:val="00616F8E"/>
    <w:rsid w:val="00617DF3"/>
    <w:rsid w:val="0063547B"/>
    <w:rsid w:val="00660074"/>
    <w:rsid w:val="00670A7C"/>
    <w:rsid w:val="00682CB4"/>
    <w:rsid w:val="0068587D"/>
    <w:rsid w:val="006A3692"/>
    <w:rsid w:val="006E4979"/>
    <w:rsid w:val="00731C0D"/>
    <w:rsid w:val="00742107"/>
    <w:rsid w:val="00747E92"/>
    <w:rsid w:val="00751184"/>
    <w:rsid w:val="00754946"/>
    <w:rsid w:val="0075656E"/>
    <w:rsid w:val="007674AE"/>
    <w:rsid w:val="00790958"/>
    <w:rsid w:val="00794C41"/>
    <w:rsid w:val="007B0247"/>
    <w:rsid w:val="007B055A"/>
    <w:rsid w:val="007B7972"/>
    <w:rsid w:val="007C1A49"/>
    <w:rsid w:val="007C2D01"/>
    <w:rsid w:val="007E6A89"/>
    <w:rsid w:val="007E7B0F"/>
    <w:rsid w:val="007F059A"/>
    <w:rsid w:val="007F3D86"/>
    <w:rsid w:val="0082305F"/>
    <w:rsid w:val="0082609D"/>
    <w:rsid w:val="008312E2"/>
    <w:rsid w:val="00831BC8"/>
    <w:rsid w:val="00840972"/>
    <w:rsid w:val="0086487A"/>
    <w:rsid w:val="00886FD3"/>
    <w:rsid w:val="008C2FF0"/>
    <w:rsid w:val="008C4203"/>
    <w:rsid w:val="008E4C8A"/>
    <w:rsid w:val="008F373E"/>
    <w:rsid w:val="008F5BC6"/>
    <w:rsid w:val="00900FF4"/>
    <w:rsid w:val="00903817"/>
    <w:rsid w:val="00903D40"/>
    <w:rsid w:val="0093398C"/>
    <w:rsid w:val="00934BD1"/>
    <w:rsid w:val="00937C04"/>
    <w:rsid w:val="00947257"/>
    <w:rsid w:val="00956351"/>
    <w:rsid w:val="00962C6B"/>
    <w:rsid w:val="009678AE"/>
    <w:rsid w:val="00967D7B"/>
    <w:rsid w:val="009D3643"/>
    <w:rsid w:val="00A2487D"/>
    <w:rsid w:val="00A25101"/>
    <w:rsid w:val="00A409C1"/>
    <w:rsid w:val="00A426D7"/>
    <w:rsid w:val="00A449C0"/>
    <w:rsid w:val="00A44E5F"/>
    <w:rsid w:val="00A800B8"/>
    <w:rsid w:val="00A84351"/>
    <w:rsid w:val="00A9067A"/>
    <w:rsid w:val="00A9067B"/>
    <w:rsid w:val="00A95D08"/>
    <w:rsid w:val="00AA612A"/>
    <w:rsid w:val="00AB3D2D"/>
    <w:rsid w:val="00AD20BA"/>
    <w:rsid w:val="00AE22C9"/>
    <w:rsid w:val="00AE35C9"/>
    <w:rsid w:val="00AE5027"/>
    <w:rsid w:val="00B04533"/>
    <w:rsid w:val="00B178F4"/>
    <w:rsid w:val="00B25E64"/>
    <w:rsid w:val="00B307D6"/>
    <w:rsid w:val="00B36C56"/>
    <w:rsid w:val="00B377A2"/>
    <w:rsid w:val="00B44532"/>
    <w:rsid w:val="00B46D6E"/>
    <w:rsid w:val="00B4799D"/>
    <w:rsid w:val="00B54BB5"/>
    <w:rsid w:val="00B5723F"/>
    <w:rsid w:val="00B6471C"/>
    <w:rsid w:val="00B87ACD"/>
    <w:rsid w:val="00BB3628"/>
    <w:rsid w:val="00BB607C"/>
    <w:rsid w:val="00BE5B18"/>
    <w:rsid w:val="00C15DF4"/>
    <w:rsid w:val="00C17CCE"/>
    <w:rsid w:val="00C448A4"/>
    <w:rsid w:val="00C51E08"/>
    <w:rsid w:val="00C61B1D"/>
    <w:rsid w:val="00C7528B"/>
    <w:rsid w:val="00CB3F49"/>
    <w:rsid w:val="00CC54D6"/>
    <w:rsid w:val="00CC7D33"/>
    <w:rsid w:val="00CD00B7"/>
    <w:rsid w:val="00CD3AF4"/>
    <w:rsid w:val="00CD5A80"/>
    <w:rsid w:val="00CF3A32"/>
    <w:rsid w:val="00CF4D63"/>
    <w:rsid w:val="00CF7060"/>
    <w:rsid w:val="00D069C8"/>
    <w:rsid w:val="00D06E0E"/>
    <w:rsid w:val="00D07AA8"/>
    <w:rsid w:val="00D20717"/>
    <w:rsid w:val="00D2715F"/>
    <w:rsid w:val="00D360B8"/>
    <w:rsid w:val="00D41D38"/>
    <w:rsid w:val="00D457B2"/>
    <w:rsid w:val="00D77249"/>
    <w:rsid w:val="00DD3914"/>
    <w:rsid w:val="00E139CE"/>
    <w:rsid w:val="00E31962"/>
    <w:rsid w:val="00E3245B"/>
    <w:rsid w:val="00E36E8A"/>
    <w:rsid w:val="00E41DCF"/>
    <w:rsid w:val="00E963C9"/>
    <w:rsid w:val="00EA2AAD"/>
    <w:rsid w:val="00EA6668"/>
    <w:rsid w:val="00EB7348"/>
    <w:rsid w:val="00EC4E6E"/>
    <w:rsid w:val="00EF6BA9"/>
    <w:rsid w:val="00F41F88"/>
    <w:rsid w:val="00F45471"/>
    <w:rsid w:val="00F60F8B"/>
    <w:rsid w:val="00F75C8D"/>
    <w:rsid w:val="00F77FE0"/>
    <w:rsid w:val="00F81428"/>
    <w:rsid w:val="00F87D45"/>
    <w:rsid w:val="00F922D8"/>
    <w:rsid w:val="00F9245C"/>
    <w:rsid w:val="00F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02A1E"/>
  <w15:docId w15:val="{468AD1BE-71DB-4A66-A3AF-44F9D128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29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1C0D"/>
    <w:rPr>
      <w:rFonts w:ascii="Tahoma" w:hAnsi="Tahoma" w:cs="Tahoma"/>
      <w:sz w:val="16"/>
      <w:szCs w:val="16"/>
    </w:rPr>
  </w:style>
  <w:style w:type="character" w:styleId="Hyperlink">
    <w:name w:val="Hyperlink"/>
    <w:rsid w:val="00373A5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B79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972"/>
  </w:style>
  <w:style w:type="paragraph" w:styleId="ListParagraph">
    <w:name w:val="List Paragraph"/>
    <w:basedOn w:val="Normal"/>
    <w:uiPriority w:val="34"/>
    <w:qFormat/>
    <w:rsid w:val="00EA666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11D87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747E92"/>
    <w:pPr>
      <w:spacing w:after="120" w:line="480" w:lineRule="auto"/>
    </w:pPr>
    <w:rPr>
      <w:noProof/>
    </w:rPr>
  </w:style>
  <w:style w:type="character" w:customStyle="1" w:styleId="BodyText2Char">
    <w:name w:val="Body Text 2 Char"/>
    <w:basedOn w:val="DefaultParagraphFont"/>
    <w:link w:val="BodyText2"/>
    <w:rsid w:val="00747E9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C92D-7FBC-476C-9C55-84F93362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American Energy Standards Board</vt:lpstr>
    </vt:vector>
  </TitlesOfParts>
  <Company>Tenneco Energy</Company>
  <LinksUpToDate>false</LinksUpToDate>
  <CharactersWithSpaces>4063</CharactersWithSpaces>
  <SharedDoc>false</SharedDoc>
  <HLinks>
    <vt:vector size="6" baseType="variant">
      <vt:variant>
        <vt:i4>6750236</vt:i4>
      </vt:variant>
      <vt:variant>
        <vt:i4>0</vt:i4>
      </vt:variant>
      <vt:variant>
        <vt:i4>0</vt:i4>
      </vt:variant>
      <vt:variant>
        <vt:i4>5</vt:i4>
      </vt:variant>
      <vt:variant>
        <vt:lpwstr>http://www.gisb.org/monthly_calendar.asp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American Energy Standards Board</dc:title>
  <dc:subject/>
  <dc:creator>JoAnn Garcia</dc:creator>
  <cp:keywords/>
  <dc:description/>
  <cp:lastModifiedBy>Veronica Thomason</cp:lastModifiedBy>
  <cp:revision>2</cp:revision>
  <cp:lastPrinted>2018-11-19T17:53:00Z</cp:lastPrinted>
  <dcterms:created xsi:type="dcterms:W3CDTF">2026-03-31T17:04:00Z</dcterms:created>
  <dcterms:modified xsi:type="dcterms:W3CDTF">2026-03-31T17:04:00Z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88407555-a689-49da-8330-2ad1bf06f157</vt:lpwstr>
  </property>
</Properties>
</file>