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5091"/>
        <w:gridCol w:w="1231"/>
        <w:gridCol w:w="2168"/>
      </w:tblGrid>
      <w:tr w:rsidR="001430E1" w:rsidTr="008D697C">
        <w:trPr>
          <w:tblHeader/>
        </w:trPr>
        <w:tc>
          <w:tcPr>
            <w:tcW w:w="9354" w:type="dxa"/>
            <w:gridSpan w:val="5"/>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bookmarkStart w:id="0" w:name="_GoBack"/>
            <w:bookmarkEnd w:id="0"/>
            <w:r>
              <w:br w:type="page"/>
            </w:r>
            <w:r>
              <w:rPr>
                <w:rFonts w:ascii="Times New Roman" w:hAnsi="Times New Roman"/>
                <w:b/>
                <w:sz w:val="18"/>
                <w:szCs w:val="18"/>
              </w:rPr>
              <w:t>NORTH AMERICAN ENERGY STANDARDS BOARD</w:t>
            </w:r>
            <w:r>
              <w:rPr>
                <w:rFonts w:ascii="Times New Roman" w:hAnsi="Times New Roman"/>
                <w:b/>
                <w:sz w:val="18"/>
                <w:szCs w:val="18"/>
              </w:rPr>
              <w:br/>
            </w:r>
            <w:r w:rsidR="00B6487A">
              <w:rPr>
                <w:rFonts w:ascii="Times New Roman" w:hAnsi="Times New Roman"/>
                <w:b/>
                <w:sz w:val="18"/>
                <w:szCs w:val="18"/>
              </w:rPr>
              <w:t>2016</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C3127C">
            <w:pPr>
              <w:pStyle w:val="TableText"/>
              <w:ind w:firstLine="346"/>
              <w:jc w:val="center"/>
              <w:rPr>
                <w:rFonts w:ascii="Times New Roman" w:hAnsi="Times New Roman"/>
                <w:b/>
                <w:sz w:val="18"/>
                <w:szCs w:val="18"/>
              </w:rPr>
            </w:pPr>
            <w:r>
              <w:rPr>
                <w:rFonts w:ascii="Times New Roman" w:hAnsi="Times New Roman"/>
                <w:b/>
                <w:sz w:val="18"/>
                <w:szCs w:val="18"/>
              </w:rPr>
              <w:t xml:space="preserve">Adopted by the </w:t>
            </w:r>
            <w:r w:rsidR="004E2138">
              <w:rPr>
                <w:rFonts w:ascii="Times New Roman" w:hAnsi="Times New Roman"/>
                <w:b/>
                <w:sz w:val="18"/>
                <w:szCs w:val="18"/>
              </w:rPr>
              <w:t>Annual Plan Subcommit</w:t>
            </w:r>
            <w:r w:rsidR="002878E0">
              <w:rPr>
                <w:rFonts w:ascii="Times New Roman" w:hAnsi="Times New Roman"/>
                <w:b/>
                <w:sz w:val="18"/>
                <w:szCs w:val="18"/>
              </w:rPr>
              <w:t>t</w:t>
            </w:r>
            <w:r w:rsidR="004E2138">
              <w:rPr>
                <w:rFonts w:ascii="Times New Roman" w:hAnsi="Times New Roman"/>
                <w:b/>
                <w:sz w:val="18"/>
                <w:szCs w:val="18"/>
              </w:rPr>
              <w:t>ee on October 16</w:t>
            </w:r>
            <w:r w:rsidR="003775BB">
              <w:rPr>
                <w:rFonts w:ascii="Times New Roman" w:hAnsi="Times New Roman"/>
                <w:b/>
                <w:sz w:val="18"/>
                <w:szCs w:val="18"/>
              </w:rPr>
              <w:t>,</w:t>
            </w:r>
            <w:r>
              <w:rPr>
                <w:rFonts w:ascii="Times New Roman" w:hAnsi="Times New Roman"/>
                <w:b/>
                <w:sz w:val="18"/>
                <w:szCs w:val="18"/>
              </w:rPr>
              <w:t xml:space="preserve"> 201</w:t>
            </w:r>
            <w:r w:rsidR="000A274F">
              <w:rPr>
                <w:rFonts w:ascii="Times New Roman" w:hAnsi="Times New Roman"/>
                <w:b/>
                <w:sz w:val="18"/>
                <w:szCs w:val="18"/>
              </w:rPr>
              <w:t>5</w:t>
            </w:r>
          </w:p>
        </w:tc>
      </w:tr>
      <w:tr w:rsidR="001430E1" w:rsidTr="00477CA2">
        <w:trPr>
          <w:tblHeader/>
        </w:trPr>
        <w:tc>
          <w:tcPr>
            <w:tcW w:w="5955" w:type="dxa"/>
            <w:gridSpan w:val="3"/>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231"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2168"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5"/>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477CA2">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91"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3.0</w:t>
            </w:r>
          </w:p>
          <w:p w:rsidR="001430E1" w:rsidRPr="00784BF3" w:rsidRDefault="004A4EC4" w:rsidP="005C5980">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B37013">
              <w:rPr>
                <w:rFonts w:ascii="Times New Roman" w:hAnsi="Times New Roman"/>
                <w:sz w:val="18"/>
                <w:szCs w:val="18"/>
              </w:rPr>
              <w:t>Not Started</w:t>
            </w:r>
            <w:r w:rsidR="00960F62">
              <w:rPr>
                <w:rFonts w:ascii="Times New Roman" w:hAnsi="Times New Roman"/>
                <w:sz w:val="18"/>
                <w:szCs w:val="18"/>
              </w:rPr>
              <w:t xml:space="preserve"> </w:t>
            </w:r>
          </w:p>
        </w:tc>
        <w:tc>
          <w:tcPr>
            <w:tcW w:w="1231" w:type="dxa"/>
          </w:tcPr>
          <w:p w:rsidR="001430E1" w:rsidRPr="00784BF3" w:rsidRDefault="005E18B4" w:rsidP="00E80DCF">
            <w:pPr>
              <w:pStyle w:val="TableText"/>
              <w:spacing w:before="40" w:after="40"/>
              <w:jc w:val="center"/>
              <w:rPr>
                <w:rFonts w:ascii="Times New Roman" w:hAnsi="Times New Roman"/>
                <w:sz w:val="18"/>
                <w:szCs w:val="18"/>
              </w:rPr>
            </w:pPr>
            <w:r>
              <w:rPr>
                <w:rFonts w:ascii="Times New Roman" w:hAnsi="Times New Roman"/>
                <w:sz w:val="18"/>
                <w:szCs w:val="18"/>
              </w:rPr>
              <w:t>1</w:t>
            </w:r>
            <w:r w:rsidRPr="00E354A7">
              <w:rPr>
                <w:rFonts w:ascii="Times New Roman" w:hAnsi="Times New Roman"/>
                <w:sz w:val="18"/>
                <w:szCs w:val="18"/>
                <w:vertAlign w:val="superscript"/>
              </w:rPr>
              <w:t>st</w:t>
            </w:r>
            <w:r>
              <w:rPr>
                <w:rFonts w:ascii="Times New Roman" w:hAnsi="Times New Roman"/>
                <w:sz w:val="18"/>
                <w:szCs w:val="18"/>
              </w:rPr>
              <w:t xml:space="preserve"> Q, </w:t>
            </w:r>
            <w:r w:rsidR="005C5980">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477CA2">
        <w:tc>
          <w:tcPr>
            <w:tcW w:w="9354" w:type="dxa"/>
            <w:gridSpan w:val="5"/>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477CA2">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91" w:type="dxa"/>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231" w:type="dxa"/>
          </w:tcPr>
          <w:p w:rsidR="001430E1" w:rsidRPr="00784BF3" w:rsidRDefault="005C5980"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0A274F" w:rsidTr="00B6487A">
        <w:tc>
          <w:tcPr>
            <w:tcW w:w="9354" w:type="dxa"/>
            <w:gridSpan w:val="5"/>
          </w:tcPr>
          <w:p w:rsidR="000A274F" w:rsidRPr="009F493F" w:rsidRDefault="000A274F">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p>
        </w:tc>
      </w:tr>
      <w:tr w:rsidR="009F493F" w:rsidTr="00477CA2">
        <w:tc>
          <w:tcPr>
            <w:tcW w:w="355" w:type="dxa"/>
          </w:tcPr>
          <w:p w:rsidR="009F493F" w:rsidRPr="003775BB" w:rsidRDefault="009F493F">
            <w:pPr>
              <w:pStyle w:val="Signature"/>
              <w:spacing w:before="40" w:after="40"/>
              <w:ind w:left="144"/>
              <w:rPr>
                <w:sz w:val="18"/>
                <w:szCs w:val="18"/>
                <w:highlight w:val="yellow"/>
              </w:rPr>
            </w:pPr>
          </w:p>
        </w:tc>
        <w:tc>
          <w:tcPr>
            <w:tcW w:w="509" w:type="dxa"/>
          </w:tcPr>
          <w:p w:rsidR="009F493F" w:rsidRPr="003775BB" w:rsidRDefault="005E18B4" w:rsidP="00922A76">
            <w:pPr>
              <w:pStyle w:val="Signature"/>
              <w:keepNext/>
              <w:spacing w:before="40" w:after="40"/>
              <w:ind w:left="72"/>
              <w:jc w:val="center"/>
              <w:rPr>
                <w:sz w:val="18"/>
                <w:szCs w:val="18"/>
              </w:rPr>
            </w:pPr>
            <w:r>
              <w:rPr>
                <w:sz w:val="18"/>
                <w:szCs w:val="18"/>
              </w:rPr>
              <w:t>a</w:t>
            </w:r>
            <w:r w:rsidR="009F493F" w:rsidRPr="003775BB">
              <w:rPr>
                <w:sz w:val="18"/>
                <w:szCs w:val="18"/>
              </w:rPr>
              <w:t>.</w:t>
            </w:r>
          </w:p>
        </w:tc>
        <w:tc>
          <w:tcPr>
            <w:tcW w:w="5091" w:type="dxa"/>
          </w:tcPr>
          <w:p w:rsidR="009F493F" w:rsidRPr="003775BB" w:rsidRDefault="009F493F" w:rsidP="009F493F">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Review FERC Order No. 809 ¶ 107 </w:t>
            </w:r>
            <w:r w:rsidR="00C220E5" w:rsidRPr="003775BB">
              <w:rPr>
                <w:rFonts w:ascii="Times New Roman" w:hAnsi="Times New Roman"/>
                <w:sz w:val="18"/>
                <w:szCs w:val="18"/>
              </w:rPr>
              <w:t>issued in Docket No. RM14-2-000</w:t>
            </w:r>
            <w:r w:rsidR="00C220E5" w:rsidRPr="003775BB">
              <w:rPr>
                <w:rStyle w:val="FootnoteReference"/>
                <w:rFonts w:ascii="Times New Roman" w:hAnsi="Times New Roman"/>
                <w:sz w:val="18"/>
                <w:szCs w:val="18"/>
              </w:rPr>
              <w:footnoteReference w:id="1"/>
            </w:r>
            <w:r w:rsidR="00C220E5" w:rsidRPr="003775BB">
              <w:rPr>
                <w:rFonts w:ascii="Times New Roman" w:hAnsi="Times New Roman"/>
                <w:sz w:val="18"/>
                <w:szCs w:val="18"/>
              </w:rPr>
              <w:t xml:space="preserve"> </w:t>
            </w:r>
            <w:r w:rsidRPr="003775BB">
              <w:rPr>
                <w:rFonts w:ascii="Times New Roman" w:hAnsi="Times New Roman"/>
                <w:sz w:val="18"/>
                <w:szCs w:val="18"/>
              </w:rPr>
              <w:t xml:space="preserve">regarding computerized scheduling and provide </w:t>
            </w:r>
            <w:r w:rsidR="00036EE3" w:rsidRPr="003775BB">
              <w:rPr>
                <w:rFonts w:ascii="Times New Roman" w:hAnsi="Times New Roman"/>
                <w:sz w:val="18"/>
                <w:szCs w:val="18"/>
              </w:rPr>
              <w:t xml:space="preserve">recommended </w:t>
            </w:r>
            <w:r w:rsidRPr="003775BB">
              <w:rPr>
                <w:rFonts w:ascii="Times New Roman" w:hAnsi="Times New Roman"/>
                <w:sz w:val="18"/>
                <w:szCs w:val="18"/>
              </w:rPr>
              <w:t>direction concerning the development of standards or modifications to existing standards as needed to support the request of the Commission</w:t>
            </w:r>
            <w:r w:rsidRPr="003775BB">
              <w:rPr>
                <w:rStyle w:val="FootnoteReference"/>
                <w:rFonts w:ascii="Times New Roman" w:hAnsi="Times New Roman"/>
                <w:sz w:val="18"/>
                <w:szCs w:val="18"/>
              </w:rPr>
              <w:footnoteReference w:id="2"/>
            </w:r>
            <w:r w:rsidRPr="003775BB">
              <w:rPr>
                <w:rFonts w:ascii="Times New Roman" w:hAnsi="Times New Roman"/>
                <w:sz w:val="18"/>
                <w:szCs w:val="18"/>
              </w:rPr>
              <w:t xml:space="preserve"> </w:t>
            </w:r>
            <w:r w:rsidR="00036EE3" w:rsidRPr="003775BB">
              <w:rPr>
                <w:rFonts w:ascii="Times New Roman" w:hAnsi="Times New Roman"/>
                <w:sz w:val="18"/>
                <w:szCs w:val="18"/>
              </w:rPr>
              <w:t xml:space="preserve">The recommended direction will require </w:t>
            </w:r>
            <w:r w:rsidR="00680AA1" w:rsidRPr="003775BB">
              <w:rPr>
                <w:rFonts w:ascii="Times New Roman" w:hAnsi="Times New Roman"/>
                <w:sz w:val="18"/>
                <w:szCs w:val="18"/>
              </w:rPr>
              <w:t xml:space="preserve">two-step </w:t>
            </w:r>
            <w:r w:rsidR="00036EE3" w:rsidRPr="003775BB">
              <w:rPr>
                <w:rFonts w:ascii="Times New Roman" w:hAnsi="Times New Roman"/>
                <w:sz w:val="18"/>
                <w:szCs w:val="18"/>
              </w:rPr>
              <w:t>board approval,</w:t>
            </w:r>
            <w:r w:rsidR="00680AA1" w:rsidRPr="003775BB">
              <w:rPr>
                <w:rFonts w:ascii="Times New Roman" w:hAnsi="Times New Roman"/>
                <w:sz w:val="18"/>
                <w:szCs w:val="18"/>
              </w:rPr>
              <w:t xml:space="preserve"> for both the timeline to be pursued and the framework for standards development</w:t>
            </w:r>
            <w:r w:rsidR="004609D2">
              <w:rPr>
                <w:rFonts w:ascii="Times New Roman" w:hAnsi="Times New Roman"/>
                <w:sz w:val="18"/>
                <w:szCs w:val="18"/>
              </w:rPr>
              <w:t>.</w:t>
            </w:r>
            <w:r w:rsidR="00043E5F">
              <w:rPr>
                <w:rStyle w:val="FootnoteReference"/>
                <w:rFonts w:ascii="Times New Roman" w:hAnsi="Times New Roman"/>
                <w:sz w:val="18"/>
                <w:szCs w:val="18"/>
              </w:rPr>
              <w:footnoteReference w:id="3"/>
            </w:r>
          </w:p>
          <w:p w:rsidR="009F493F" w:rsidRPr="003775BB" w:rsidRDefault="009F493F" w:rsidP="009F493F">
            <w:pPr>
              <w:keepNext/>
              <w:keepLines/>
              <w:spacing w:before="40" w:after="40"/>
              <w:ind w:left="144"/>
              <w:rPr>
                <w:sz w:val="18"/>
                <w:szCs w:val="18"/>
              </w:rPr>
            </w:pPr>
            <w:r w:rsidRPr="003775BB">
              <w:rPr>
                <w:sz w:val="18"/>
                <w:szCs w:val="18"/>
              </w:rPr>
              <w:t>Status: Not Started</w:t>
            </w:r>
            <w:r w:rsidR="003775BB">
              <w:rPr>
                <w:sz w:val="18"/>
                <w:szCs w:val="18"/>
              </w:rPr>
              <w:t xml:space="preserve">, and </w:t>
            </w:r>
            <w:r w:rsidR="003775BB" w:rsidRPr="003775BB">
              <w:rPr>
                <w:b/>
                <w:i/>
                <w:sz w:val="18"/>
                <w:szCs w:val="18"/>
              </w:rPr>
              <w:t>planning not to be started before 2016</w:t>
            </w:r>
          </w:p>
        </w:tc>
        <w:tc>
          <w:tcPr>
            <w:tcW w:w="1231" w:type="dxa"/>
          </w:tcPr>
          <w:p w:rsidR="009F493F" w:rsidRPr="003775BB" w:rsidRDefault="005E18B4"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9F493F" w:rsidRPr="003775BB" w:rsidRDefault="009F493F">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 xml:space="preserve">Gas-Electric Harmonization Forum, </w:t>
            </w:r>
            <w:r w:rsidR="00036EE3" w:rsidRPr="003775BB">
              <w:rPr>
                <w:rFonts w:ascii="Times New Roman" w:hAnsi="Times New Roman"/>
                <w:color w:val="auto"/>
                <w:sz w:val="18"/>
                <w:szCs w:val="18"/>
              </w:rPr>
              <w:t xml:space="preserve">NAESB Board of Directors, </w:t>
            </w:r>
            <w:r w:rsidRPr="003775BB">
              <w:rPr>
                <w:rFonts w:ascii="Times New Roman" w:hAnsi="Times New Roman"/>
                <w:color w:val="auto"/>
                <w:sz w:val="18"/>
                <w:szCs w:val="18"/>
              </w:rPr>
              <w:t>WEQ EC &amp; WGQ EC</w:t>
            </w:r>
          </w:p>
        </w:tc>
      </w:tr>
      <w:tr w:rsidR="00036EE3" w:rsidTr="00477CA2">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5E18B4">
            <w:pPr>
              <w:pStyle w:val="Signature"/>
              <w:keepNext/>
              <w:spacing w:before="40" w:after="40"/>
              <w:ind w:left="72"/>
              <w:jc w:val="center"/>
              <w:rPr>
                <w:sz w:val="18"/>
                <w:szCs w:val="18"/>
              </w:rPr>
            </w:pPr>
            <w:r>
              <w:rPr>
                <w:sz w:val="18"/>
                <w:szCs w:val="18"/>
              </w:rPr>
              <w:t>b</w:t>
            </w:r>
          </w:p>
        </w:tc>
        <w:tc>
          <w:tcPr>
            <w:tcW w:w="5091" w:type="dxa"/>
          </w:tcPr>
          <w:p w:rsidR="00036EE3" w:rsidRPr="003775BB" w:rsidRDefault="00036EE3" w:rsidP="00B6487A">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Resulting from the efforts of annual plan item </w:t>
            </w:r>
            <w:r w:rsidR="00203B05" w:rsidRPr="003775BB">
              <w:rPr>
                <w:rFonts w:ascii="Times New Roman" w:hAnsi="Times New Roman"/>
                <w:sz w:val="18"/>
                <w:szCs w:val="18"/>
              </w:rPr>
              <w:t>3</w:t>
            </w:r>
            <w:r w:rsidRPr="003775BB">
              <w:rPr>
                <w:rFonts w:ascii="Times New Roman" w:hAnsi="Times New Roman"/>
                <w:sz w:val="18"/>
                <w:szCs w:val="18"/>
              </w:rPr>
              <w:t>(</w:t>
            </w:r>
            <w:r w:rsidR="005E18B4">
              <w:rPr>
                <w:rFonts w:ascii="Times New Roman" w:hAnsi="Times New Roman"/>
                <w:sz w:val="18"/>
                <w:szCs w:val="18"/>
              </w:rPr>
              <w:t>a</w:t>
            </w:r>
            <w:r w:rsidRPr="003775BB">
              <w:rPr>
                <w:rFonts w:ascii="Times New Roman" w:hAnsi="Times New Roman"/>
                <w:sz w:val="18"/>
                <w:szCs w:val="18"/>
              </w:rPr>
              <w:t>), develop standards as needed and directed by the Board of Directors, which are specifically assigned to the WGQ.</w:t>
            </w:r>
          </w:p>
          <w:p w:rsidR="00036EE3" w:rsidRPr="003775BB" w:rsidRDefault="00036EE3" w:rsidP="003775B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Status: Not Started</w:t>
            </w:r>
            <w:r w:rsidR="003775BB">
              <w:rPr>
                <w:rFonts w:ascii="Times New Roman" w:hAnsi="Times New Roman"/>
                <w:sz w:val="18"/>
                <w:szCs w:val="18"/>
              </w:rPr>
              <w:t>, dependent on completion of item 3(</w:t>
            </w:r>
            <w:r w:rsidR="005E18B4">
              <w:rPr>
                <w:rFonts w:ascii="Times New Roman" w:hAnsi="Times New Roman"/>
                <w:sz w:val="18"/>
                <w:szCs w:val="18"/>
              </w:rPr>
              <w:t>a</w:t>
            </w:r>
            <w:r w:rsidR="003775BB">
              <w:rPr>
                <w:rFonts w:ascii="Times New Roman" w:hAnsi="Times New Roman"/>
                <w:sz w:val="18"/>
                <w:szCs w:val="18"/>
              </w:rPr>
              <w:t>).</w:t>
            </w:r>
          </w:p>
        </w:tc>
        <w:tc>
          <w:tcPr>
            <w:tcW w:w="1231" w:type="dxa"/>
          </w:tcPr>
          <w:p w:rsidR="00036EE3" w:rsidRPr="003775BB" w:rsidRDefault="00036EE3" w:rsidP="00E354A7">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TBD</w:t>
            </w:r>
          </w:p>
        </w:tc>
        <w:tc>
          <w:tcPr>
            <w:tcW w:w="2168" w:type="dxa"/>
          </w:tcPr>
          <w:p w:rsidR="00036EE3" w:rsidRPr="003775BB" w:rsidRDefault="00036EE3">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WGQ EC and relevant subcommittees</w:t>
            </w:r>
          </w:p>
        </w:tc>
      </w:tr>
      <w:tr w:rsidR="00036EE3" w:rsidTr="00B6487A">
        <w:tc>
          <w:tcPr>
            <w:tcW w:w="9354" w:type="dxa"/>
            <w:gridSpan w:val="5"/>
          </w:tcPr>
          <w:p w:rsidR="00036EE3" w:rsidRPr="003775BB" w:rsidRDefault="00036EE3" w:rsidP="00E80DCF">
            <w:pPr>
              <w:pStyle w:val="TableText"/>
              <w:keepNext/>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4"/>
            </w:r>
          </w:p>
        </w:tc>
      </w:tr>
      <w:tr w:rsidR="00036EE3" w:rsidTr="003775BB">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922A76">
            <w:pPr>
              <w:pStyle w:val="Signature"/>
              <w:keepNext/>
              <w:spacing w:before="40" w:after="40"/>
              <w:ind w:left="72"/>
              <w:jc w:val="center"/>
              <w:rPr>
                <w:sz w:val="18"/>
                <w:szCs w:val="18"/>
              </w:rPr>
            </w:pPr>
            <w:r w:rsidRPr="003775BB">
              <w:rPr>
                <w:sz w:val="18"/>
                <w:szCs w:val="18"/>
              </w:rPr>
              <w:t>a.</w:t>
            </w:r>
          </w:p>
        </w:tc>
        <w:tc>
          <w:tcPr>
            <w:tcW w:w="5091" w:type="dxa"/>
          </w:tcPr>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5C5980">
              <w:rPr>
                <w:rFonts w:ascii="Times New Roman" w:hAnsi="Times New Roman"/>
                <w:sz w:val="18"/>
                <w:szCs w:val="18"/>
              </w:rPr>
              <w:t>Underway</w:t>
            </w:r>
          </w:p>
        </w:tc>
        <w:tc>
          <w:tcPr>
            <w:tcW w:w="1231" w:type="dxa"/>
          </w:tcPr>
          <w:p w:rsidR="00036EE3" w:rsidRPr="003775BB" w:rsidRDefault="00680AA1" w:rsidP="00E354A7">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TBD</w:t>
            </w:r>
          </w:p>
        </w:tc>
        <w:tc>
          <w:tcPr>
            <w:tcW w:w="2168" w:type="dxa"/>
          </w:tcPr>
          <w:p w:rsidR="00036EE3" w:rsidRPr="003775BB" w:rsidRDefault="00036EE3">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B6487A" w:rsidTr="00B6487A">
        <w:tc>
          <w:tcPr>
            <w:tcW w:w="9354" w:type="dxa"/>
            <w:gridSpan w:val="5"/>
          </w:tcPr>
          <w:p w:rsidR="00B6487A" w:rsidRPr="003775BB" w:rsidRDefault="0072692E" w:rsidP="00D77CBB">
            <w:pPr>
              <w:pStyle w:val="TableText"/>
              <w:spacing w:before="40" w:after="40"/>
              <w:ind w:left="337" w:hanging="193"/>
              <w:rPr>
                <w:rFonts w:ascii="Times New Roman" w:hAnsi="Times New Roman"/>
                <w:color w:val="auto"/>
                <w:sz w:val="18"/>
                <w:szCs w:val="18"/>
              </w:rPr>
            </w:pPr>
            <w:r>
              <w:rPr>
                <w:rFonts w:ascii="Times New Roman" w:hAnsi="Times New Roman"/>
                <w:b/>
                <w:color w:val="auto"/>
                <w:sz w:val="18"/>
                <w:szCs w:val="18"/>
              </w:rPr>
              <w:t>5</w:t>
            </w:r>
            <w:r w:rsidR="00B6487A" w:rsidRPr="003775BB">
              <w:rPr>
                <w:rFonts w:ascii="Times New Roman" w:hAnsi="Times New Roman"/>
                <w:b/>
                <w:color w:val="auto"/>
                <w:sz w:val="18"/>
                <w:szCs w:val="18"/>
              </w:rPr>
              <w:t xml:space="preserve">. </w:t>
            </w:r>
            <w:r w:rsidR="00D77CBB">
              <w:rPr>
                <w:rFonts w:ascii="Times New Roman" w:hAnsi="Times New Roman"/>
                <w:b/>
                <w:color w:val="auto"/>
                <w:sz w:val="18"/>
                <w:szCs w:val="18"/>
              </w:rPr>
              <w:t xml:space="preserve">Develop possible revisions to Base Contract in response to </w:t>
            </w:r>
            <w:r w:rsidR="00B6487A">
              <w:rPr>
                <w:rFonts w:ascii="Times New Roman" w:hAnsi="Times New Roman"/>
                <w:b/>
                <w:color w:val="auto"/>
                <w:sz w:val="18"/>
                <w:szCs w:val="18"/>
              </w:rPr>
              <w:t xml:space="preserve">NAESB request </w:t>
            </w:r>
            <w:r w:rsidR="00D77CBB">
              <w:rPr>
                <w:rFonts w:ascii="Times New Roman" w:hAnsi="Times New Roman"/>
                <w:b/>
                <w:color w:val="auto"/>
                <w:sz w:val="18"/>
                <w:szCs w:val="18"/>
              </w:rPr>
              <w:t>R</w:t>
            </w:r>
            <w:r w:rsidR="00B6487A">
              <w:rPr>
                <w:rFonts w:ascii="Times New Roman" w:hAnsi="Times New Roman"/>
                <w:b/>
                <w:color w:val="auto"/>
                <w:sz w:val="18"/>
                <w:szCs w:val="18"/>
              </w:rPr>
              <w:t xml:space="preserve">15007 </w:t>
            </w:r>
            <w:r w:rsidR="00D77CBB">
              <w:rPr>
                <w:rFonts w:ascii="Times New Roman" w:hAnsi="Times New Roman"/>
                <w:b/>
                <w:color w:val="auto"/>
                <w:sz w:val="18"/>
                <w:szCs w:val="18"/>
              </w:rPr>
              <w:t xml:space="preserve">submitted </w:t>
            </w:r>
            <w:r w:rsidR="00B6487A">
              <w:rPr>
                <w:rFonts w:ascii="Times New Roman" w:hAnsi="Times New Roman"/>
                <w:b/>
                <w:color w:val="auto"/>
                <w:sz w:val="18"/>
                <w:szCs w:val="18"/>
              </w:rPr>
              <w:t xml:space="preserve">from TVA.  </w:t>
            </w:r>
            <w:r w:rsidR="00D77CBB">
              <w:rPr>
                <w:rFonts w:ascii="Times New Roman" w:hAnsi="Times New Roman"/>
                <w:b/>
                <w:color w:val="auto"/>
                <w:sz w:val="18"/>
                <w:szCs w:val="18"/>
              </w:rPr>
              <w:lastRenderedPageBreak/>
              <w:t>Concurrently review recent CFTC Final Rules issued on Forward Contracts and Trade Option and update NAESB CFTC Whitepaper and associated Forward Contract Matrix</w:t>
            </w:r>
          </w:p>
        </w:tc>
      </w:tr>
      <w:tr w:rsidR="00B6487A" w:rsidTr="00B6487A">
        <w:trPr>
          <w:trHeight w:val="792"/>
        </w:trPr>
        <w:tc>
          <w:tcPr>
            <w:tcW w:w="355" w:type="dxa"/>
          </w:tcPr>
          <w:p w:rsidR="00B6487A" w:rsidRPr="009F493F" w:rsidRDefault="00B6487A" w:rsidP="00B6487A">
            <w:pPr>
              <w:pStyle w:val="Signature"/>
              <w:spacing w:before="40" w:after="40"/>
              <w:ind w:left="144"/>
              <w:rPr>
                <w:sz w:val="18"/>
                <w:szCs w:val="18"/>
                <w:highlight w:val="yellow"/>
              </w:rPr>
            </w:pPr>
          </w:p>
        </w:tc>
        <w:tc>
          <w:tcPr>
            <w:tcW w:w="509" w:type="dxa"/>
          </w:tcPr>
          <w:p w:rsidR="00B6487A" w:rsidRPr="003775BB" w:rsidRDefault="00B6487A" w:rsidP="00B6487A">
            <w:pPr>
              <w:pStyle w:val="Signature"/>
              <w:keepNext/>
              <w:spacing w:before="40" w:after="40"/>
              <w:ind w:left="72"/>
              <w:jc w:val="center"/>
              <w:rPr>
                <w:sz w:val="18"/>
                <w:szCs w:val="18"/>
              </w:rPr>
            </w:pPr>
            <w:r w:rsidRPr="003775BB">
              <w:rPr>
                <w:sz w:val="18"/>
                <w:szCs w:val="18"/>
              </w:rPr>
              <w:t>a.</w:t>
            </w:r>
          </w:p>
        </w:tc>
        <w:tc>
          <w:tcPr>
            <w:tcW w:w="5091" w:type="dxa"/>
          </w:tcPr>
          <w:p w:rsidR="00B6487A" w:rsidRPr="003775BB" w:rsidRDefault="00B6487A" w:rsidP="00B6487A">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Develop </w:t>
            </w:r>
            <w:r w:rsidR="00D77CBB">
              <w:rPr>
                <w:rFonts w:ascii="Times New Roman" w:hAnsi="Times New Roman"/>
                <w:sz w:val="18"/>
                <w:szCs w:val="18"/>
              </w:rPr>
              <w:t>recommendation on revisions to Base Contract per NAESB Request R15007</w:t>
            </w:r>
          </w:p>
          <w:p w:rsidR="00B6487A" w:rsidRPr="003775BB" w:rsidRDefault="00B6487A" w:rsidP="00D77CB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D77CBB">
              <w:rPr>
                <w:rFonts w:ascii="Times New Roman" w:hAnsi="Times New Roman"/>
                <w:sz w:val="18"/>
                <w:szCs w:val="18"/>
              </w:rPr>
              <w:t>Underway</w:t>
            </w:r>
          </w:p>
        </w:tc>
        <w:tc>
          <w:tcPr>
            <w:tcW w:w="1231" w:type="dxa"/>
          </w:tcPr>
          <w:p w:rsidR="00B6487A" w:rsidRPr="003775BB" w:rsidRDefault="00D77CBB" w:rsidP="00D77CBB">
            <w:pPr>
              <w:pStyle w:val="TableText"/>
              <w:spacing w:before="40" w:after="40"/>
              <w:ind w:left="144"/>
              <w:rPr>
                <w:rFonts w:ascii="Times New Roman" w:hAnsi="Times New Roman"/>
                <w:sz w:val="18"/>
                <w:szCs w:val="18"/>
              </w:rPr>
            </w:pPr>
            <w:r>
              <w:rPr>
                <w:rFonts w:ascii="Times New Roman" w:hAnsi="Times New Roman"/>
                <w:sz w:val="18"/>
                <w:szCs w:val="18"/>
              </w:rPr>
              <w:t>1</w:t>
            </w:r>
            <w:r w:rsidRPr="00D77CBB">
              <w:rPr>
                <w:rFonts w:ascii="Times New Roman" w:hAnsi="Times New Roman"/>
                <w:sz w:val="18"/>
                <w:szCs w:val="18"/>
                <w:vertAlign w:val="superscript"/>
              </w:rPr>
              <w:t>st</w:t>
            </w:r>
            <w:r>
              <w:rPr>
                <w:rFonts w:ascii="Times New Roman" w:hAnsi="Times New Roman"/>
                <w:sz w:val="18"/>
                <w:szCs w:val="18"/>
              </w:rPr>
              <w:t xml:space="preserve"> Q, 2016</w:t>
            </w:r>
          </w:p>
        </w:tc>
        <w:tc>
          <w:tcPr>
            <w:tcW w:w="2168" w:type="dxa"/>
          </w:tcPr>
          <w:p w:rsidR="00B6487A" w:rsidRPr="003775BB" w:rsidRDefault="00D77CBB" w:rsidP="00D77CBB">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D77CBB" w:rsidTr="00563C37">
        <w:trPr>
          <w:trHeight w:val="792"/>
        </w:trPr>
        <w:tc>
          <w:tcPr>
            <w:tcW w:w="355" w:type="dxa"/>
          </w:tcPr>
          <w:p w:rsidR="00D77CBB" w:rsidRPr="009F493F" w:rsidRDefault="00D77CBB" w:rsidP="00563C37">
            <w:pPr>
              <w:pStyle w:val="Signature"/>
              <w:spacing w:before="40" w:after="40"/>
              <w:ind w:left="144"/>
              <w:rPr>
                <w:sz w:val="18"/>
                <w:szCs w:val="18"/>
                <w:highlight w:val="yellow"/>
              </w:rPr>
            </w:pPr>
          </w:p>
        </w:tc>
        <w:tc>
          <w:tcPr>
            <w:tcW w:w="509" w:type="dxa"/>
          </w:tcPr>
          <w:p w:rsidR="00D77CBB" w:rsidRPr="003775BB" w:rsidRDefault="00D77CBB" w:rsidP="00563C37">
            <w:pPr>
              <w:pStyle w:val="Signature"/>
              <w:keepNext/>
              <w:spacing w:before="40" w:after="40"/>
              <w:ind w:left="72"/>
              <w:jc w:val="center"/>
              <w:rPr>
                <w:sz w:val="18"/>
                <w:szCs w:val="18"/>
              </w:rPr>
            </w:pPr>
            <w:r>
              <w:rPr>
                <w:sz w:val="18"/>
                <w:szCs w:val="18"/>
              </w:rPr>
              <w:t>b.</w:t>
            </w:r>
          </w:p>
        </w:tc>
        <w:tc>
          <w:tcPr>
            <w:tcW w:w="5091" w:type="dxa"/>
          </w:tcPr>
          <w:p w:rsidR="00D77CBB" w:rsidRPr="003775BB" w:rsidRDefault="00D77CBB" w:rsidP="00563C3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Concurrently with item 4.a. work, review and update prior NAESB </w:t>
            </w:r>
            <w:r w:rsidRPr="00D77CBB">
              <w:rPr>
                <w:rFonts w:ascii="Times New Roman" w:hAnsi="Times New Roman"/>
                <w:i/>
                <w:sz w:val="18"/>
                <w:szCs w:val="18"/>
              </w:rPr>
              <w:t>White Paper on CFTC Final Rule Impact on NAESB Contracts</w:t>
            </w:r>
            <w:r>
              <w:rPr>
                <w:rFonts w:ascii="Times New Roman" w:hAnsi="Times New Roman"/>
                <w:sz w:val="18"/>
                <w:szCs w:val="18"/>
              </w:rPr>
              <w:t xml:space="preserve"> and associated </w:t>
            </w:r>
            <w:r w:rsidRPr="00D77CBB">
              <w:rPr>
                <w:rFonts w:ascii="Times New Roman" w:hAnsi="Times New Roman"/>
                <w:i/>
                <w:sz w:val="18"/>
                <w:szCs w:val="18"/>
              </w:rPr>
              <w:t>Exhibit “C” SWAP Decision Tree Tool</w:t>
            </w:r>
            <w:r>
              <w:rPr>
                <w:rFonts w:ascii="Times New Roman" w:hAnsi="Times New Roman"/>
                <w:sz w:val="18"/>
                <w:szCs w:val="18"/>
              </w:rPr>
              <w:t xml:space="preserve"> matrix issued in August 2014.</w:t>
            </w:r>
          </w:p>
          <w:p w:rsidR="00D77CBB" w:rsidRPr="003775BB" w:rsidRDefault="00D77CBB" w:rsidP="00563C37">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Pr>
                <w:rFonts w:ascii="Times New Roman" w:hAnsi="Times New Roman"/>
                <w:sz w:val="18"/>
                <w:szCs w:val="18"/>
              </w:rPr>
              <w:t>Underway</w:t>
            </w:r>
          </w:p>
        </w:tc>
        <w:tc>
          <w:tcPr>
            <w:tcW w:w="1231" w:type="dxa"/>
          </w:tcPr>
          <w:p w:rsidR="00D77CBB" w:rsidRPr="003775BB" w:rsidRDefault="00D77CBB" w:rsidP="00563C37">
            <w:pPr>
              <w:pStyle w:val="TableText"/>
              <w:spacing w:before="40" w:after="40"/>
              <w:ind w:left="144"/>
              <w:rPr>
                <w:rFonts w:ascii="Times New Roman" w:hAnsi="Times New Roman"/>
                <w:sz w:val="18"/>
                <w:szCs w:val="18"/>
              </w:rPr>
            </w:pPr>
            <w:r>
              <w:rPr>
                <w:rFonts w:ascii="Times New Roman" w:hAnsi="Times New Roman"/>
                <w:sz w:val="18"/>
                <w:szCs w:val="18"/>
              </w:rPr>
              <w:t>1</w:t>
            </w:r>
            <w:r w:rsidRPr="00D77CBB">
              <w:rPr>
                <w:rFonts w:ascii="Times New Roman" w:hAnsi="Times New Roman"/>
                <w:sz w:val="18"/>
                <w:szCs w:val="18"/>
                <w:vertAlign w:val="superscript"/>
              </w:rPr>
              <w:t>st</w:t>
            </w:r>
            <w:r>
              <w:rPr>
                <w:rFonts w:ascii="Times New Roman" w:hAnsi="Times New Roman"/>
                <w:sz w:val="18"/>
                <w:szCs w:val="18"/>
              </w:rPr>
              <w:t xml:space="preserve"> Q, 2016</w:t>
            </w:r>
          </w:p>
        </w:tc>
        <w:tc>
          <w:tcPr>
            <w:tcW w:w="2168" w:type="dxa"/>
          </w:tcPr>
          <w:p w:rsidR="00D77CBB" w:rsidRPr="003775BB" w:rsidRDefault="00D77CBB" w:rsidP="00563C37">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72692E" w:rsidTr="00E354A7">
        <w:trPr>
          <w:trHeight w:val="333"/>
        </w:trPr>
        <w:tc>
          <w:tcPr>
            <w:tcW w:w="9354" w:type="dxa"/>
            <w:gridSpan w:val="5"/>
          </w:tcPr>
          <w:p w:rsidR="0072692E" w:rsidRPr="00E354A7" w:rsidRDefault="0072692E" w:rsidP="00563C37">
            <w:pPr>
              <w:pStyle w:val="TableText"/>
              <w:spacing w:before="40" w:after="40"/>
              <w:ind w:left="144"/>
              <w:rPr>
                <w:rFonts w:ascii="Times New Roman" w:hAnsi="Times New Roman"/>
                <w:b/>
                <w:color w:val="auto"/>
                <w:sz w:val="18"/>
                <w:szCs w:val="18"/>
              </w:rPr>
            </w:pPr>
            <w:r w:rsidRPr="00E354A7">
              <w:rPr>
                <w:rFonts w:ascii="Times New Roman" w:hAnsi="Times New Roman"/>
                <w:b/>
                <w:color w:val="auto"/>
                <w:sz w:val="18"/>
                <w:szCs w:val="18"/>
              </w:rPr>
              <w:t>6. Liquefied Natural Gas Master Agreement</w:t>
            </w:r>
          </w:p>
        </w:tc>
      </w:tr>
      <w:tr w:rsidR="0072692E" w:rsidTr="00E354A7">
        <w:trPr>
          <w:trHeight w:val="540"/>
        </w:trPr>
        <w:tc>
          <w:tcPr>
            <w:tcW w:w="355" w:type="dxa"/>
          </w:tcPr>
          <w:p w:rsidR="0072692E" w:rsidRPr="009F493F" w:rsidRDefault="0072692E" w:rsidP="00563C37">
            <w:pPr>
              <w:pStyle w:val="Signature"/>
              <w:spacing w:before="40" w:after="40"/>
              <w:ind w:left="144"/>
              <w:rPr>
                <w:sz w:val="18"/>
                <w:szCs w:val="18"/>
                <w:highlight w:val="yellow"/>
              </w:rPr>
            </w:pPr>
          </w:p>
        </w:tc>
        <w:tc>
          <w:tcPr>
            <w:tcW w:w="509" w:type="dxa"/>
          </w:tcPr>
          <w:p w:rsidR="0072692E" w:rsidRDefault="0072692E" w:rsidP="00563C37">
            <w:pPr>
              <w:pStyle w:val="Signature"/>
              <w:keepNext/>
              <w:spacing w:before="40" w:after="40"/>
              <w:ind w:left="72"/>
              <w:jc w:val="center"/>
              <w:rPr>
                <w:sz w:val="18"/>
                <w:szCs w:val="18"/>
              </w:rPr>
            </w:pPr>
            <w:r>
              <w:rPr>
                <w:sz w:val="18"/>
                <w:szCs w:val="18"/>
              </w:rPr>
              <w:t>a.</w:t>
            </w:r>
          </w:p>
        </w:tc>
        <w:tc>
          <w:tcPr>
            <w:tcW w:w="5091" w:type="dxa"/>
          </w:tcPr>
          <w:p w:rsidR="0072692E" w:rsidRDefault="0072692E" w:rsidP="00563C3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Consider and determine if a NAESB Liquefied Natural Gas (LNG) Master Agreement is needed</w:t>
            </w:r>
          </w:p>
          <w:p w:rsidR="0072692E" w:rsidRDefault="0072692E" w:rsidP="00563C3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231" w:type="dxa"/>
          </w:tcPr>
          <w:p w:rsidR="0072692E" w:rsidRDefault="005E18B4"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72692E" w:rsidRDefault="0072692E" w:rsidP="00563C37">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72692E" w:rsidTr="00563C37">
        <w:trPr>
          <w:trHeight w:val="792"/>
        </w:trPr>
        <w:tc>
          <w:tcPr>
            <w:tcW w:w="355" w:type="dxa"/>
          </w:tcPr>
          <w:p w:rsidR="0072692E" w:rsidRPr="009F493F" w:rsidRDefault="0072692E" w:rsidP="00563C37">
            <w:pPr>
              <w:pStyle w:val="Signature"/>
              <w:spacing w:before="40" w:after="40"/>
              <w:ind w:left="144"/>
              <w:rPr>
                <w:sz w:val="18"/>
                <w:szCs w:val="18"/>
                <w:highlight w:val="yellow"/>
              </w:rPr>
            </w:pPr>
          </w:p>
        </w:tc>
        <w:tc>
          <w:tcPr>
            <w:tcW w:w="509" w:type="dxa"/>
          </w:tcPr>
          <w:p w:rsidR="0072692E" w:rsidRDefault="0072692E" w:rsidP="00563C37">
            <w:pPr>
              <w:pStyle w:val="Signature"/>
              <w:keepNext/>
              <w:spacing w:before="40" w:after="40"/>
              <w:ind w:left="72"/>
              <w:jc w:val="center"/>
              <w:rPr>
                <w:sz w:val="18"/>
                <w:szCs w:val="18"/>
              </w:rPr>
            </w:pPr>
            <w:r>
              <w:rPr>
                <w:sz w:val="18"/>
                <w:szCs w:val="18"/>
              </w:rPr>
              <w:t>b.</w:t>
            </w:r>
          </w:p>
        </w:tc>
        <w:tc>
          <w:tcPr>
            <w:tcW w:w="5091" w:type="dxa"/>
          </w:tcPr>
          <w:p w:rsidR="0072692E" w:rsidRDefault="0072692E" w:rsidP="00563C3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Develop the LNG Master Agreement according to the analysis completed in item 6.a.</w:t>
            </w:r>
          </w:p>
          <w:p w:rsidR="0072692E" w:rsidRDefault="0072692E" w:rsidP="00E354A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5E18B4">
              <w:rPr>
                <w:rFonts w:ascii="Times New Roman" w:hAnsi="Times New Roman"/>
                <w:sz w:val="18"/>
                <w:szCs w:val="18"/>
              </w:rPr>
              <w:t>, dependent on completion 6(a)</w:t>
            </w:r>
          </w:p>
        </w:tc>
        <w:tc>
          <w:tcPr>
            <w:tcW w:w="1231" w:type="dxa"/>
          </w:tcPr>
          <w:p w:rsidR="0072692E" w:rsidRDefault="0072692E"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TBD</w:t>
            </w:r>
          </w:p>
        </w:tc>
        <w:tc>
          <w:tcPr>
            <w:tcW w:w="2168" w:type="dxa"/>
          </w:tcPr>
          <w:p w:rsidR="0072692E" w:rsidRDefault="0072692E" w:rsidP="00563C37">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036EE3" w:rsidTr="00477CA2">
        <w:tc>
          <w:tcPr>
            <w:tcW w:w="9354" w:type="dxa"/>
            <w:gridSpan w:val="5"/>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4"/>
            </w:r>
          </w:p>
        </w:tc>
      </w:tr>
      <w:tr w:rsidR="00036EE3" w:rsidTr="00477CA2">
        <w:tc>
          <w:tcPr>
            <w:tcW w:w="355" w:type="dxa"/>
          </w:tcPr>
          <w:p w:rsidR="00036EE3" w:rsidRDefault="00036EE3">
            <w:pPr>
              <w:pStyle w:val="TableText"/>
              <w:keepN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ANSI X12 Subcommittee</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477CA2">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600" w:type="dxa"/>
            <w:gridSpan w:val="2"/>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eTariff Standards</w:t>
            </w:r>
          </w:p>
        </w:tc>
        <w:tc>
          <w:tcPr>
            <w:tcW w:w="1231" w:type="dxa"/>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2168" w:type="dxa"/>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477CA2">
        <w:trPr>
          <w:trHeight w:val="296"/>
        </w:trPr>
        <w:tc>
          <w:tcPr>
            <w:tcW w:w="9354" w:type="dxa"/>
            <w:gridSpan w:val="5"/>
            <w:tcBorders>
              <w:top w:val="single" w:sz="4" w:space="0" w:color="auto"/>
              <w:bottom w:val="single" w:sz="4" w:space="0" w:color="auto"/>
            </w:tcBorders>
          </w:tcPr>
          <w:p w:rsidR="00036EE3" w:rsidRDefault="00036EE3" w:rsidP="008168BD">
            <w:pPr>
              <w:pStyle w:val="TableT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036EE3" w:rsidTr="00477CA2">
        <w:trPr>
          <w:cantSplit/>
        </w:trPr>
        <w:tc>
          <w:tcPr>
            <w:tcW w:w="355" w:type="dxa"/>
          </w:tcPr>
          <w:p w:rsidR="00036EE3" w:rsidRDefault="00036EE3"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4"/>
          </w:tcPr>
          <w:p w:rsidR="00036EE3" w:rsidRDefault="00036EE3" w:rsidP="008168BD">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9"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0" w:history="1">
              <w:r>
                <w:rPr>
                  <w:rStyle w:val="Hyperlink"/>
                  <w:rFonts w:ascii="Times New Roman" w:hAnsi="Times New Roman"/>
                  <w:sz w:val="18"/>
                  <w:szCs w:val="18"/>
                </w:rPr>
                <w:t>FERC NOPR RM10-11-000</w:t>
              </w:r>
            </w:hyperlink>
            <w:r w:rsidRPr="005B4201">
              <w:rPr>
                <w:rStyle w:val="Hyperlink"/>
                <w:rFonts w:ascii="Times New Roman" w:hAnsi="Times New Roman"/>
                <w:color w:val="auto"/>
                <w:sz w:val="18"/>
                <w:szCs w:val="18"/>
                <w:u w:val="none"/>
              </w:rPr>
              <w:t xml:space="preserve">, </w:t>
            </w:r>
            <w:hyperlink r:id="rId11" w:history="1">
              <w:r w:rsidRPr="005B4201">
                <w:rPr>
                  <w:rStyle w:val="Hyperlink"/>
                  <w:rFonts w:ascii="Times New Roman" w:hAnsi="Times New Roman"/>
                  <w:sz w:val="18"/>
                  <w:szCs w:val="18"/>
                </w:rPr>
                <w:t>FERC Final Order RM10-11-000</w:t>
              </w:r>
            </w:hyperlink>
            <w:r>
              <w:rPr>
                <w:rStyle w:val="FootnoteReference"/>
                <w:rFonts w:ascii="Times New Roman" w:hAnsi="Times New Roman"/>
                <w:color w:val="0000FF"/>
                <w:sz w:val="18"/>
                <w:szCs w:val="18"/>
                <w:u w:val="single"/>
              </w:rPr>
              <w:footnoteReference w:id="5"/>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r w:rsidR="00036EE3" w:rsidTr="00477CA2">
        <w:trPr>
          <w:cantSplit/>
        </w:trPr>
        <w:tc>
          <w:tcPr>
            <w:tcW w:w="355" w:type="dxa"/>
          </w:tcPr>
          <w:p w:rsidR="00036EE3" w:rsidRDefault="00036EE3" w:rsidP="00161A67">
            <w:pPr>
              <w:pStyle w:val="TableText"/>
              <w:spacing w:before="40" w:after="40"/>
              <w:ind w:left="144"/>
              <w:rPr>
                <w:rFonts w:ascii="Times New Roman" w:hAnsi="Times New Roman"/>
                <w:sz w:val="18"/>
                <w:szCs w:val="18"/>
              </w:rPr>
            </w:pPr>
            <w:r>
              <w:rPr>
                <w:rFonts w:ascii="Times New Roman" w:hAnsi="Times New Roman"/>
                <w:sz w:val="18"/>
                <w:szCs w:val="18"/>
              </w:rPr>
              <w:t>2.</w:t>
            </w:r>
          </w:p>
        </w:tc>
        <w:tc>
          <w:tcPr>
            <w:tcW w:w="8999" w:type="dxa"/>
            <w:gridSpan w:val="4"/>
          </w:tcPr>
          <w:p w:rsidR="00036EE3" w:rsidRDefault="00036EE3" w:rsidP="008168BD">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 wholesale contract for short term sale, purchase or exchange of Liquefied Natural Gas (LNG).</w:t>
            </w:r>
          </w:p>
          <w:p w:rsidR="00036EE3" w:rsidRDefault="00036EE3" w:rsidP="008168BD">
            <w:pPr>
              <w:pStyle w:val="TableText"/>
              <w:tabs>
                <w:tab w:val="left" w:pos="6720"/>
              </w:tabs>
              <w:spacing w:before="40" w:after="40"/>
              <w:ind w:left="144"/>
              <w:rPr>
                <w:rFonts w:ascii="Times New Roman" w:hAnsi="Times New Roman"/>
                <w:sz w:val="18"/>
                <w:szCs w:val="18"/>
              </w:rPr>
            </w:pPr>
          </w:p>
        </w:tc>
      </w:tr>
    </w:tbl>
    <w:p w:rsidR="001430E1" w:rsidRDefault="00752488">
      <w:pPr>
        <w:rPr>
          <w:sz w:val="18"/>
          <w:szCs w:val="18"/>
        </w:rPr>
      </w:pPr>
      <w:r>
        <w:rPr>
          <w:noProof/>
          <w:sz w:val="18"/>
          <w:szCs w:val="18"/>
        </w:rPr>
        <w:lastRenderedPageBreak/>
        <mc:AlternateContent>
          <mc:Choice Requires="wpc">
            <w:drawing>
              <wp:inline distT="0" distB="0" distL="0" distR="0" wp14:anchorId="6BBF19AD" wp14:editId="1D48F17E">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87A" w:rsidRPr="006E55EE" w:rsidRDefault="00B6487A"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B6487A" w:rsidRPr="006E55EE" w:rsidRDefault="00B6487A" w:rsidP="00AF164D">
                              <w:pPr>
                                <w:autoSpaceDE w:val="0"/>
                                <w:autoSpaceDN w:val="0"/>
                                <w:adjustRightInd w:val="0"/>
                                <w:jc w:val="center"/>
                                <w:rPr>
                                  <w:b/>
                                  <w:color w:val="000000"/>
                                  <w:sz w:val="16"/>
                                  <w:szCs w:val="18"/>
                                </w:rPr>
                              </w:pPr>
                              <w:r w:rsidRPr="006E55EE">
                                <w:rPr>
                                  <w:b/>
                                  <w:color w:val="000000"/>
                                  <w:sz w:val="16"/>
                                  <w:szCs w:val="18"/>
                                </w:rPr>
                                <w:t>Wholesale Gas Quadrant</w:t>
                              </w:r>
                            </w:p>
                            <w:p w:rsidR="00B6487A" w:rsidRPr="006E55EE" w:rsidRDefault="00B6487A"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B6487A" w:rsidRPr="006E55EE" w:rsidRDefault="00B6487A"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rsidR="00B6487A" w:rsidRPr="006E55EE" w:rsidRDefault="00B6487A"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B6487A" w:rsidRPr="006E55EE" w:rsidRDefault="00B6487A"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87A" w:rsidRPr="00FC3FD7" w:rsidRDefault="00B6487A" w:rsidP="00AF164D">
                              <w:pPr>
                                <w:autoSpaceDE w:val="0"/>
                                <w:autoSpaceDN w:val="0"/>
                                <w:adjustRightInd w:val="0"/>
                                <w:rPr>
                                  <w:b/>
                                  <w:bCs/>
                                  <w:color w:val="008080"/>
                                  <w:sz w:val="22"/>
                                  <w:szCs w:val="24"/>
                                </w:rPr>
                              </w:pPr>
                              <w:r w:rsidRPr="00FC3FD7">
                                <w:rPr>
                                  <w:b/>
                                  <w:bCs/>
                                  <w:color w:val="008080"/>
                                  <w:sz w:val="22"/>
                                  <w:szCs w:val="24"/>
                                </w:rPr>
                                <w:t>Technical</w:t>
                              </w:r>
                            </w:p>
                            <w:p w:rsidR="00B6487A" w:rsidRPr="00FC3FD7" w:rsidRDefault="00B6487A"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rsidR="00B6487A" w:rsidRPr="006E55EE" w:rsidRDefault="00B6487A"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87A" w:rsidRPr="00FC3FD7" w:rsidRDefault="00B6487A" w:rsidP="00AF164D">
                              <w:pPr>
                                <w:autoSpaceDE w:val="0"/>
                                <w:autoSpaceDN w:val="0"/>
                                <w:adjustRightInd w:val="0"/>
                                <w:rPr>
                                  <w:b/>
                                  <w:color w:val="99CC00"/>
                                  <w:sz w:val="22"/>
                                  <w:szCs w:val="24"/>
                                </w:rPr>
                              </w:pPr>
                              <w:r w:rsidRPr="00FC3FD7">
                                <w:rPr>
                                  <w:b/>
                                  <w:bCs/>
                                  <w:color w:val="99CC00"/>
                                  <w:sz w:val="22"/>
                                  <w:szCs w:val="24"/>
                                </w:rPr>
                                <w:t>Practices</w:t>
                              </w:r>
                            </w:p>
                            <w:p w:rsidR="00B6487A" w:rsidRPr="00FC3FD7" w:rsidRDefault="00B6487A"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87A" w:rsidRPr="006E55EE" w:rsidRDefault="00B6487A"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rsidR="002878E0" w:rsidRDefault="002878E0"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B6487A" w:rsidRPr="006E55EE" w:rsidRDefault="00B6487A"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B6487A" w:rsidRPr="006E55EE" w:rsidRDefault="00B6487A" w:rsidP="00AF164D">
                        <w:pPr>
                          <w:autoSpaceDE w:val="0"/>
                          <w:autoSpaceDN w:val="0"/>
                          <w:adjustRightInd w:val="0"/>
                          <w:jc w:val="center"/>
                          <w:rPr>
                            <w:b/>
                            <w:color w:val="000000"/>
                            <w:sz w:val="16"/>
                            <w:szCs w:val="18"/>
                          </w:rPr>
                        </w:pPr>
                        <w:r w:rsidRPr="006E55EE">
                          <w:rPr>
                            <w:b/>
                            <w:color w:val="000000"/>
                            <w:sz w:val="16"/>
                            <w:szCs w:val="18"/>
                          </w:rPr>
                          <w:t>Wholesale Gas Quadrant</w:t>
                        </w:r>
                      </w:p>
                      <w:p w:rsidR="00B6487A" w:rsidRPr="006E55EE" w:rsidRDefault="00B6487A"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B6487A" w:rsidRPr="006E55EE" w:rsidRDefault="00B6487A"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B6487A" w:rsidRPr="006E55EE" w:rsidRDefault="00B6487A"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B6487A" w:rsidRPr="006E55EE" w:rsidRDefault="00B6487A"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B6487A" w:rsidRPr="00FC3FD7" w:rsidRDefault="00B6487A" w:rsidP="00AF164D">
                        <w:pPr>
                          <w:autoSpaceDE w:val="0"/>
                          <w:autoSpaceDN w:val="0"/>
                          <w:adjustRightInd w:val="0"/>
                          <w:rPr>
                            <w:b/>
                            <w:bCs/>
                            <w:color w:val="008080"/>
                            <w:sz w:val="22"/>
                            <w:szCs w:val="24"/>
                          </w:rPr>
                        </w:pPr>
                        <w:r w:rsidRPr="00FC3FD7">
                          <w:rPr>
                            <w:b/>
                            <w:bCs/>
                            <w:color w:val="008080"/>
                            <w:sz w:val="22"/>
                            <w:szCs w:val="24"/>
                          </w:rPr>
                          <w:t>Technical</w:t>
                        </w:r>
                      </w:p>
                      <w:p w:rsidR="00B6487A" w:rsidRPr="00FC3FD7" w:rsidRDefault="00B6487A"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B6487A" w:rsidRPr="006E55EE" w:rsidRDefault="00B6487A"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B6487A" w:rsidRPr="00FC3FD7" w:rsidRDefault="00B6487A" w:rsidP="00AF164D">
                        <w:pPr>
                          <w:autoSpaceDE w:val="0"/>
                          <w:autoSpaceDN w:val="0"/>
                          <w:adjustRightInd w:val="0"/>
                          <w:rPr>
                            <w:b/>
                            <w:color w:val="99CC00"/>
                            <w:sz w:val="22"/>
                            <w:szCs w:val="24"/>
                          </w:rPr>
                        </w:pPr>
                        <w:r w:rsidRPr="00FC3FD7">
                          <w:rPr>
                            <w:b/>
                            <w:bCs/>
                            <w:color w:val="99CC00"/>
                            <w:sz w:val="22"/>
                            <w:szCs w:val="24"/>
                          </w:rPr>
                          <w:t>Practices</w:t>
                        </w:r>
                      </w:p>
                      <w:p w:rsidR="00B6487A" w:rsidRPr="00FC3FD7" w:rsidRDefault="00B6487A"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B6487A" w:rsidRPr="006E55EE" w:rsidRDefault="00B6487A"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B6487A" w:rsidRPr="006E55EE" w:rsidRDefault="00B6487A"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1492;top:20753;width:34448;height:28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v:roundrect id="AutoShape 53" o:spid="_x0000_s1052" style="position:absolute;left:17129;top:42471;width:17933;height:3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8IcEA&#10;AADbAAAADwAAAGRycy9kb3ducmV2LnhtbERPy2rCQBTdC/2H4Ra6M5NaEImOUiIFodkkSru9ZK5J&#10;aOZOyEwe9uudheDycN67w2xaMVLvGssK3qMYBHFpdcOVgsv5a7kB4TyyxtYyKbiRg8P+ZbHDRNuJ&#10;cxoLX4kQwi5BBbX3XSKlK2sy6CLbEQfuanuDPsC+krrHKYSbVq7ieC0NNhwaauworan8Kwaj4P+Y&#10;Zuf8h7s0G6bfzVGXN/zOlHp7nT+3IDzN/il+uE9awUcYG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vCHBAAAA2wAAAA8AAAAAAAAAAAAAAAAAmAIAAGRycy9kb3du&#10;cmV2LnhtbFBLBQYAAAAABAAEAPUAAACGAwAAAAA=&#10;" fillcolor="#bbe0e3" strokeweight="1.25pt">
                  <v:textbox inset="0,0,0,0">
                    <w:txbxContent>
                      <w:p w:rsidR="002878E0" w:rsidRDefault="002878E0"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tZsYAAADbAAAADwAAAGRycy9kb3ducmV2LnhtbESPQWvCQBSE7wX/w/IK3urGCqGJriKC&#10;UKiIjdJ6fGRfs2mzb9PsqtFf3y0Uehxm5htmtuhtI87U+dqxgvEoAUFcOl1zpeCwXz88gfABWWPj&#10;mBRcycNiPribYa7dhV/pXIRKRAj7HBWYENpcSl8asuhHriWO3ofrLIYou0rqDi8Rbhv5mCSptFhz&#10;XDDY0spQ+VWcrIJbmm3MeNd8bt/Sl+O6WIZv/Z4pNbzvl1MQgfrwH/5rP2sFkwx+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CLWbGAAAA2wAAAA8AAAAAAAAA&#10;AAAAAAAAoQIAAGRycy9kb3ducmV2LnhtbFBLBQYAAAAABAAEAPkAAACUAw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1A72DA">
        <w:rPr>
          <w:b/>
          <w:sz w:val="18"/>
          <w:szCs w:val="18"/>
        </w:rPr>
        <w:t>5</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FB7464">
        <w:rPr>
          <w:sz w:val="18"/>
          <w:szCs w:val="18"/>
        </w:rPr>
        <w:t>Paul Jones</w:t>
      </w:r>
      <w:r w:rsidR="003775BB">
        <w:rPr>
          <w:sz w:val="18"/>
          <w:szCs w:val="18"/>
        </w:rPr>
        <w:t>, Sylvia Munson</w:t>
      </w:r>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886F1C" w:rsidP="00E80DCF">
      <w:pPr>
        <w:pStyle w:val="BodyText"/>
        <w:spacing w:before="40" w:after="40"/>
        <w:rPr>
          <w:sz w:val="18"/>
          <w:szCs w:val="18"/>
        </w:rPr>
      </w:pPr>
      <w:r>
        <w:rPr>
          <w:sz w:val="18"/>
          <w:szCs w:val="18"/>
        </w:rPr>
        <w:t>FERC Forms Subcommittee: Leigh Spangler, Dick Brooks</w:t>
      </w:r>
    </w:p>
    <w:sectPr w:rsidR="0093255D" w:rsidSect="0093255D">
      <w:headerReference w:type="default" r:id="rId1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F6" w:rsidRDefault="00A52CF6">
      <w:r>
        <w:separator/>
      </w:r>
    </w:p>
  </w:endnote>
  <w:endnote w:type="continuationSeparator" w:id="0">
    <w:p w:rsidR="00A52CF6" w:rsidRDefault="00A52CF6">
      <w:r>
        <w:continuationSeparator/>
      </w:r>
    </w:p>
  </w:endnote>
  <w:endnote w:id="1">
    <w:p w:rsidR="00B6487A" w:rsidRDefault="00B6487A">
      <w:pPr>
        <w:pStyle w:val="EndnoteText"/>
        <w:spacing w:before="40" w:after="40"/>
        <w:jc w:val="left"/>
        <w:rPr>
          <w:b/>
          <w:sz w:val="18"/>
          <w:szCs w:val="18"/>
        </w:rPr>
      </w:pPr>
      <w:r>
        <w:rPr>
          <w:b/>
          <w:sz w:val="18"/>
          <w:szCs w:val="18"/>
        </w:rPr>
        <w:t xml:space="preserve">End Notes, WGQ </w:t>
      </w:r>
      <w:r w:rsidR="00D77CBB">
        <w:rPr>
          <w:b/>
          <w:sz w:val="18"/>
          <w:szCs w:val="18"/>
        </w:rPr>
        <w:t xml:space="preserve">2016 </w:t>
      </w:r>
      <w:r>
        <w:rPr>
          <w:b/>
          <w:sz w:val="18"/>
          <w:szCs w:val="18"/>
        </w:rPr>
        <w:t>Annual Plan:</w:t>
      </w:r>
    </w:p>
    <w:p w:rsidR="00B6487A" w:rsidRDefault="00B6487A">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B6487A" w:rsidRDefault="00B6487A">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B6487A" w:rsidRDefault="00B6487A">
      <w:pPr>
        <w:pStyle w:val="EndnoteText"/>
        <w:spacing w:before="40" w:after="40"/>
        <w:jc w:val="left"/>
        <w:rPr>
          <w:sz w:val="18"/>
          <w:szCs w:val="18"/>
        </w:rPr>
      </w:pPr>
      <w:r>
        <w:rPr>
          <w:rStyle w:val="EndnoteReference"/>
          <w:sz w:val="18"/>
          <w:szCs w:val="18"/>
        </w:rPr>
        <w:endnoteRef/>
      </w:r>
      <w:r>
        <w:rPr>
          <w:sz w:val="18"/>
          <w:szCs w:val="18"/>
        </w:rPr>
        <w:t xml:space="preserve"> As business issues are presented to the Information Requirements Subcommittee and Technical Subcommittee, those business issues will be given precedence over WGQ 2016 Annual Plan Item No. 1.</w:t>
      </w:r>
    </w:p>
  </w:endnote>
  <w:endnote w:id="4">
    <w:p w:rsidR="00B6487A" w:rsidRDefault="00B6487A">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B6487A" w:rsidRDefault="00B6487A">
      <w:pPr>
        <w:pStyle w:val="EndnoteText"/>
        <w:spacing w:before="40" w:after="40"/>
        <w:jc w:val="left"/>
        <w:rPr>
          <w:sz w:val="18"/>
          <w:szCs w:val="18"/>
        </w:rPr>
      </w:pPr>
    </w:p>
    <w:p w:rsidR="00B6487A" w:rsidRDefault="00B6487A">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F6" w:rsidRDefault="00A52CF6">
      <w:r>
        <w:separator/>
      </w:r>
    </w:p>
  </w:footnote>
  <w:footnote w:type="continuationSeparator" w:id="0">
    <w:p w:rsidR="00A52CF6" w:rsidRDefault="00A52CF6">
      <w:r>
        <w:continuationSeparator/>
      </w:r>
    </w:p>
  </w:footnote>
  <w:footnote w:id="1">
    <w:p w:rsidR="00B6487A" w:rsidRPr="003775BB" w:rsidRDefault="00B6487A">
      <w:pPr>
        <w:pStyle w:val="FootnoteText"/>
      </w:pPr>
      <w:r w:rsidRPr="003775BB">
        <w:rPr>
          <w:rStyle w:val="FootnoteReference"/>
          <w:sz w:val="16"/>
          <w:szCs w:val="16"/>
        </w:rPr>
        <w:footnoteRef/>
      </w:r>
      <w:r w:rsidRPr="003775BB">
        <w:rPr>
          <w:sz w:val="16"/>
          <w:szCs w:val="16"/>
        </w:rPr>
        <w:t xml:space="preserve">FERC Order No. 809 can be found through the following hyperlink: </w:t>
      </w:r>
      <w:hyperlink r:id="rId1" w:history="1">
        <w:r w:rsidRPr="003775BB">
          <w:rPr>
            <w:rStyle w:val="Hyperlink"/>
            <w:sz w:val="16"/>
            <w:szCs w:val="16"/>
          </w:rPr>
          <w:t>https://www.ferc.gov/whats-new/comm-meet/2015/041615/M-1.pdf</w:t>
        </w:r>
      </w:hyperlink>
      <w:r w:rsidRPr="003775BB">
        <w:rPr>
          <w:sz w:val="16"/>
          <w:szCs w:val="16"/>
        </w:rPr>
        <w:t xml:space="preserve"> </w:t>
      </w:r>
      <w:r w:rsidRPr="003775BB">
        <w:t xml:space="preserve"> </w:t>
      </w:r>
    </w:p>
  </w:footnote>
  <w:footnote w:id="2">
    <w:p w:rsidR="00B6487A" w:rsidRPr="003775BB" w:rsidRDefault="00B6487A" w:rsidP="009F493F">
      <w:pPr>
        <w:pStyle w:val="FootnoteText"/>
      </w:pPr>
      <w:r w:rsidRPr="003775BB">
        <w:rPr>
          <w:rStyle w:val="FootnoteReference"/>
          <w:sz w:val="16"/>
          <w:szCs w:val="16"/>
        </w:rPr>
        <w:footnoteRef/>
      </w:r>
      <w:r w:rsidRPr="003775BB">
        <w:rPr>
          <w:rStyle w:val="FootnoteReference"/>
          <w:sz w:val="16"/>
          <w:szCs w:val="16"/>
        </w:rPr>
        <w:t xml:space="preserve"> </w:t>
      </w:r>
      <w:r w:rsidRPr="003775BB">
        <w:rPr>
          <w:sz w:val="16"/>
          <w:szCs w:val="16"/>
        </w:rPr>
        <w:t>FERC Order No. 809 ¶107.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3">
    <w:p w:rsidR="00043E5F" w:rsidRDefault="00043E5F">
      <w:pPr>
        <w:pStyle w:val="FootnoteText"/>
      </w:pPr>
      <w:r>
        <w:rPr>
          <w:rStyle w:val="FootnoteReference"/>
        </w:rPr>
        <w:footnoteRef/>
      </w:r>
      <w:r>
        <w:t xml:space="preserve"> </w:t>
      </w:r>
      <w:r w:rsidRPr="00E354A7">
        <w:rPr>
          <w:sz w:val="16"/>
          <w:szCs w:val="16"/>
        </w:rPr>
        <w:t>FERC Order on Rehearing ¶1</w:t>
      </w:r>
      <w:r>
        <w:rPr>
          <w:sz w:val="16"/>
          <w:szCs w:val="16"/>
        </w:rPr>
        <w:t xml:space="preserve"> – September 17, 2015 [Docket No. RM14-2-001] </w:t>
      </w:r>
      <w:r w:rsidRPr="00043E5F">
        <w:rPr>
          <w:sz w:val="16"/>
          <w:szCs w:val="16"/>
        </w:rPr>
        <w:t>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043E5F">
        <w:rPr>
          <w:b/>
          <w:sz w:val="16"/>
          <w:szCs w:val="16"/>
          <w:vertAlign w:val="superscript"/>
        </w:rPr>
        <w:footnoteRef/>
      </w:r>
      <w:r w:rsidRPr="00043E5F">
        <w:rPr>
          <w:sz w:val="16"/>
          <w:szCs w:val="16"/>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043E5F">
        <w:rPr>
          <w:b/>
          <w:sz w:val="16"/>
          <w:szCs w:val="16"/>
          <w:vertAlign w:val="superscript"/>
        </w:rPr>
        <w:footnoteRef/>
      </w:r>
      <w:r w:rsidRPr="00043E5F">
        <w:rPr>
          <w:sz w:val="16"/>
          <w:szCs w:val="16"/>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Transwestern Pipeline Company, LLC (Transwestern),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footnote>
  <w:footnote w:id="4">
    <w:p w:rsidR="00B6487A" w:rsidRDefault="00B6487A" w:rsidP="009F493F">
      <w:pPr>
        <w:pStyle w:val="FootnoteText"/>
      </w:pPr>
      <w:r w:rsidRPr="003775BB">
        <w:rPr>
          <w:rStyle w:val="FootnoteReference"/>
          <w:sz w:val="16"/>
          <w:szCs w:val="16"/>
        </w:rPr>
        <w:footnoteRef/>
      </w:r>
      <w:r w:rsidRPr="003775BB">
        <w:rPr>
          <w:rStyle w:val="FootnoteReference"/>
          <w:sz w:val="16"/>
          <w:szCs w:val="16"/>
        </w:rPr>
        <w:t xml:space="preserve"> </w:t>
      </w:r>
      <w:r w:rsidRPr="003775BB">
        <w:rPr>
          <w:sz w:val="16"/>
          <w:szCs w:val="16"/>
        </w:rPr>
        <w:t xml:space="preserve">The FERC Order Instituting Proceeding to Develop Electronic Filing Protocols for Commission Forms, issued on April 16, 2015, can be found through the following hyperlink: </w:t>
      </w:r>
      <w:hyperlink r:id="rId2" w:history="1">
        <w:r w:rsidRPr="003775BB">
          <w:rPr>
            <w:rStyle w:val="Hyperlink"/>
            <w:sz w:val="16"/>
            <w:szCs w:val="16"/>
          </w:rPr>
          <w:t>https://www.naesb.org/pdf4/ferc041615_electronic_filing_protocols_forms.pdf</w:t>
        </w:r>
      </w:hyperlink>
      <w:r>
        <w:rPr>
          <w:sz w:val="16"/>
          <w:szCs w:val="16"/>
        </w:rPr>
        <w:t xml:space="preserve">  </w:t>
      </w:r>
    </w:p>
  </w:footnote>
  <w:footnote w:id="5">
    <w:p w:rsidR="00B6487A" w:rsidRDefault="00B6487A" w:rsidP="00161A67">
      <w:pPr>
        <w:pStyle w:val="FootnoteText"/>
        <w:spacing w:before="40" w:after="40"/>
        <w:rPr>
          <w:sz w:val="18"/>
          <w:szCs w:val="18"/>
        </w:rPr>
      </w:pPr>
      <w:r>
        <w:rPr>
          <w:rStyle w:val="FootnoteReference"/>
          <w:sz w:val="18"/>
          <w:szCs w:val="18"/>
        </w:rPr>
        <w:footnoteRef/>
      </w:r>
      <w:r>
        <w:rPr>
          <w:sz w:val="18"/>
          <w:szCs w:val="18"/>
        </w:rPr>
        <w:t xml:space="preserve"> For FERC Final Order, Docket No. RM10-11-000, specifically paragraph nos. 146 and 182 should be reviewed:</w:t>
      </w:r>
    </w:p>
    <w:p w:rsidR="00B6487A" w:rsidRDefault="00B6487A" w:rsidP="00161A67">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B6487A" w:rsidRDefault="00B6487A" w:rsidP="00161A67">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7A" w:rsidRDefault="00B6487A"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87A" w:rsidRDefault="00B6487A"/>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C39451" id="Group 35" o:spid="_x0000_s1058"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9lHRgQAAIk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c/5ct8AAAAKAQAADwAAAGRycy9kb3ducmV2Lnht&#10;bEyPzWrDMBCE74W+g9hCb40UW4TgWA6h0FJKL3V/yFGxNraptTKWkrhv3+2pPe0OO8x+U25nP4gz&#10;TrEPZGC5UCCQmuB6ag28vz3crUHEZMnZIRAa+MYI2+r6qrSFCxd6xXOdWsEhFAtroEtpLKSMTYfe&#10;xkUYkfh2DJO3ieXUSjfZC4f7QWZKraS3PfGHzo5432HzVZ+8gY9dr1F/7p9fVIP45OT+se61Mbc3&#10;824DIuGc/szwi8/oUDHTIZzIRTGw1pq7JAP5iicb8nXGy8FAli8VyKqU/ytUP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">
              <v:rect id="Rectangle 36"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B6487A" w:rsidRDefault="00B6487A"/>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B6487A" w:rsidRDefault="00B6487A">
    <w:pPr>
      <w:pStyle w:val="Header"/>
      <w:tabs>
        <w:tab w:val="left" w:pos="680"/>
        <w:tab w:val="right" w:pos="9810"/>
      </w:tabs>
      <w:spacing w:before="60"/>
      <w:ind w:left="1800"/>
      <w:jc w:val="right"/>
    </w:pPr>
    <w:r>
      <w:t>801 Travis, Suite 1675, Houston, Texas 77002</w:t>
    </w:r>
  </w:p>
  <w:p w:rsidR="00B6487A" w:rsidRDefault="00B6487A">
    <w:pPr>
      <w:pStyle w:val="Header"/>
      <w:ind w:left="1800"/>
      <w:jc w:val="right"/>
      <w:rPr>
        <w:lang w:val="fr-FR"/>
      </w:rPr>
    </w:pPr>
    <w:r>
      <w:rPr>
        <w:lang w:val="fr-FR"/>
      </w:rPr>
      <w:t>Phone:  (713) 356-0060, Fax:  (713) 356-0067, E-mail: naesb@naesb.org</w:t>
    </w:r>
  </w:p>
  <w:p w:rsidR="00B6487A" w:rsidRDefault="00B6487A">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M. Sappenfield, II">
    <w15:presenceInfo w15:providerId="AD" w15:userId="S-1-5-21-1170810536-130683932-926709054-13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2447F"/>
    <w:rsid w:val="00031C65"/>
    <w:rsid w:val="000341AB"/>
    <w:rsid w:val="00036EE3"/>
    <w:rsid w:val="00043E5F"/>
    <w:rsid w:val="00053436"/>
    <w:rsid w:val="000660D7"/>
    <w:rsid w:val="00067B33"/>
    <w:rsid w:val="000A274F"/>
    <w:rsid w:val="001049F4"/>
    <w:rsid w:val="001165E4"/>
    <w:rsid w:val="00120606"/>
    <w:rsid w:val="00121CC9"/>
    <w:rsid w:val="001430E1"/>
    <w:rsid w:val="001529A1"/>
    <w:rsid w:val="0015719E"/>
    <w:rsid w:val="00161A67"/>
    <w:rsid w:val="001659F8"/>
    <w:rsid w:val="00170FE9"/>
    <w:rsid w:val="00191151"/>
    <w:rsid w:val="00195965"/>
    <w:rsid w:val="001A72DA"/>
    <w:rsid w:val="001E33ED"/>
    <w:rsid w:val="001E5C5C"/>
    <w:rsid w:val="002037E9"/>
    <w:rsid w:val="00203B05"/>
    <w:rsid w:val="0021248C"/>
    <w:rsid w:val="00217017"/>
    <w:rsid w:val="00230489"/>
    <w:rsid w:val="00265963"/>
    <w:rsid w:val="00266072"/>
    <w:rsid w:val="00270AB7"/>
    <w:rsid w:val="00274C0E"/>
    <w:rsid w:val="002878E0"/>
    <w:rsid w:val="002E378A"/>
    <w:rsid w:val="002E6DB9"/>
    <w:rsid w:val="00300A24"/>
    <w:rsid w:val="003275CA"/>
    <w:rsid w:val="0033584D"/>
    <w:rsid w:val="00350C20"/>
    <w:rsid w:val="003775BB"/>
    <w:rsid w:val="00380DF7"/>
    <w:rsid w:val="00383858"/>
    <w:rsid w:val="003A615C"/>
    <w:rsid w:val="003B01AA"/>
    <w:rsid w:val="003C23BD"/>
    <w:rsid w:val="00400041"/>
    <w:rsid w:val="004458F3"/>
    <w:rsid w:val="00454C53"/>
    <w:rsid w:val="004609D2"/>
    <w:rsid w:val="00462AA1"/>
    <w:rsid w:val="004749FF"/>
    <w:rsid w:val="00477CA2"/>
    <w:rsid w:val="0048344A"/>
    <w:rsid w:val="004A4EC4"/>
    <w:rsid w:val="004B4E11"/>
    <w:rsid w:val="004B687F"/>
    <w:rsid w:val="004E2138"/>
    <w:rsid w:val="005018CE"/>
    <w:rsid w:val="0051427C"/>
    <w:rsid w:val="00521F91"/>
    <w:rsid w:val="00523073"/>
    <w:rsid w:val="00532C4E"/>
    <w:rsid w:val="005515AF"/>
    <w:rsid w:val="00555160"/>
    <w:rsid w:val="005714CB"/>
    <w:rsid w:val="00584CBD"/>
    <w:rsid w:val="005B0087"/>
    <w:rsid w:val="005B1055"/>
    <w:rsid w:val="005B2804"/>
    <w:rsid w:val="005B4201"/>
    <w:rsid w:val="005C5980"/>
    <w:rsid w:val="005D3702"/>
    <w:rsid w:val="005E18B4"/>
    <w:rsid w:val="00611B5B"/>
    <w:rsid w:val="00622C4B"/>
    <w:rsid w:val="0062332F"/>
    <w:rsid w:val="0062767C"/>
    <w:rsid w:val="006365AE"/>
    <w:rsid w:val="00661823"/>
    <w:rsid w:val="00662A16"/>
    <w:rsid w:val="00680AA1"/>
    <w:rsid w:val="0068394A"/>
    <w:rsid w:val="00690886"/>
    <w:rsid w:val="006C1B5D"/>
    <w:rsid w:val="006D2096"/>
    <w:rsid w:val="006D383D"/>
    <w:rsid w:val="006F4439"/>
    <w:rsid w:val="006F54F7"/>
    <w:rsid w:val="006F7648"/>
    <w:rsid w:val="0072692E"/>
    <w:rsid w:val="00750220"/>
    <w:rsid w:val="00752488"/>
    <w:rsid w:val="00755EAA"/>
    <w:rsid w:val="00775DC9"/>
    <w:rsid w:val="007819C6"/>
    <w:rsid w:val="00781E19"/>
    <w:rsid w:val="00784BF3"/>
    <w:rsid w:val="007864CD"/>
    <w:rsid w:val="00786947"/>
    <w:rsid w:val="007D3729"/>
    <w:rsid w:val="007E0BFA"/>
    <w:rsid w:val="007E0D14"/>
    <w:rsid w:val="00813D10"/>
    <w:rsid w:val="008168BD"/>
    <w:rsid w:val="00835EE4"/>
    <w:rsid w:val="00836B67"/>
    <w:rsid w:val="008376AC"/>
    <w:rsid w:val="00853E3D"/>
    <w:rsid w:val="0087136E"/>
    <w:rsid w:val="00871C80"/>
    <w:rsid w:val="00875AAE"/>
    <w:rsid w:val="00886F1C"/>
    <w:rsid w:val="00896D66"/>
    <w:rsid w:val="008B70BB"/>
    <w:rsid w:val="008D697C"/>
    <w:rsid w:val="009034F0"/>
    <w:rsid w:val="00903E89"/>
    <w:rsid w:val="00915331"/>
    <w:rsid w:val="00920421"/>
    <w:rsid w:val="00922A76"/>
    <w:rsid w:val="0093255D"/>
    <w:rsid w:val="00942881"/>
    <w:rsid w:val="009521BD"/>
    <w:rsid w:val="00960F62"/>
    <w:rsid w:val="00966584"/>
    <w:rsid w:val="0098738A"/>
    <w:rsid w:val="00992C60"/>
    <w:rsid w:val="00992F6B"/>
    <w:rsid w:val="009A646E"/>
    <w:rsid w:val="009C35BC"/>
    <w:rsid w:val="009F493F"/>
    <w:rsid w:val="00A00568"/>
    <w:rsid w:val="00A27093"/>
    <w:rsid w:val="00A36CC0"/>
    <w:rsid w:val="00A432AD"/>
    <w:rsid w:val="00A52CF6"/>
    <w:rsid w:val="00A66CDD"/>
    <w:rsid w:val="00A74FB5"/>
    <w:rsid w:val="00A9472E"/>
    <w:rsid w:val="00AC5910"/>
    <w:rsid w:val="00AD6CC4"/>
    <w:rsid w:val="00AE26E8"/>
    <w:rsid w:val="00AE642E"/>
    <w:rsid w:val="00AE7CC9"/>
    <w:rsid w:val="00AF164D"/>
    <w:rsid w:val="00B32CCC"/>
    <w:rsid w:val="00B37013"/>
    <w:rsid w:val="00B44F46"/>
    <w:rsid w:val="00B62C87"/>
    <w:rsid w:val="00B6487A"/>
    <w:rsid w:val="00B75076"/>
    <w:rsid w:val="00B82DD2"/>
    <w:rsid w:val="00B92FF8"/>
    <w:rsid w:val="00BC48C9"/>
    <w:rsid w:val="00BC5589"/>
    <w:rsid w:val="00BE3C9C"/>
    <w:rsid w:val="00BF617F"/>
    <w:rsid w:val="00C02950"/>
    <w:rsid w:val="00C220E5"/>
    <w:rsid w:val="00C3127C"/>
    <w:rsid w:val="00C37B83"/>
    <w:rsid w:val="00C44125"/>
    <w:rsid w:val="00C7568D"/>
    <w:rsid w:val="00C75964"/>
    <w:rsid w:val="00C801DD"/>
    <w:rsid w:val="00C809A1"/>
    <w:rsid w:val="00C85AAB"/>
    <w:rsid w:val="00CC510B"/>
    <w:rsid w:val="00CD156B"/>
    <w:rsid w:val="00D56B4F"/>
    <w:rsid w:val="00D77CBB"/>
    <w:rsid w:val="00DA5B26"/>
    <w:rsid w:val="00DB7A12"/>
    <w:rsid w:val="00E0655A"/>
    <w:rsid w:val="00E354A7"/>
    <w:rsid w:val="00E80DCF"/>
    <w:rsid w:val="00EB2AD4"/>
    <w:rsid w:val="00ED285F"/>
    <w:rsid w:val="00EE584E"/>
    <w:rsid w:val="00EF0E11"/>
    <w:rsid w:val="00F1789B"/>
    <w:rsid w:val="00F56C88"/>
    <w:rsid w:val="00F667C3"/>
    <w:rsid w:val="00F7706E"/>
    <w:rsid w:val="00F87695"/>
    <w:rsid w:val="00FA6CF4"/>
    <w:rsid w:val="00FB630E"/>
    <w:rsid w:val="00FB7464"/>
    <w:rsid w:val="00FE2C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ferc_062212_integration_variable_energy_resources_order764.pdf" TargetMode="External"/><Relationship Id="rId5" Type="http://schemas.openxmlformats.org/officeDocument/2006/relationships/settings" Target="settings.xml"/><Relationship Id="rId10" Type="http://schemas.openxmlformats.org/officeDocument/2006/relationships/hyperlink" Target="http://www.naesb.org/pdf4/ferc_111810_vers_nopr.doc"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naesb.org/pdf4/naesb_comments_ver_integration_nopr_030211.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aesb.org/pdf4/ferc041615_electronic_filing_protocols_forms.pdf" TargetMode="External"/><Relationship Id="rId1" Type="http://schemas.openxmlformats.org/officeDocument/2006/relationships/hyperlink" Target="https://www.ferc.gov/whats-new/comm-meet/2015/041615/M-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5AF9-A882-4528-A3C3-0EAEEF94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4599</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5</cp:revision>
  <cp:lastPrinted>2014-09-04T15:29:00Z</cp:lastPrinted>
  <dcterms:created xsi:type="dcterms:W3CDTF">2015-10-16T14:38:00Z</dcterms:created>
  <dcterms:modified xsi:type="dcterms:W3CDTF">2015-10-16T19:11:00Z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