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A942" w14:textId="0EB7AFD3" w:rsidR="00774F9B" w:rsidRPr="00774F9B" w:rsidRDefault="00774F9B" w:rsidP="00774F9B">
      <w:pPr>
        <w:spacing w:after="0"/>
      </w:pPr>
      <w:r w:rsidRPr="00774F9B">
        <w:rPr>
          <w:b/>
          <w:bCs/>
        </w:rPr>
        <w:t>From:</w:t>
      </w:r>
      <w:r w:rsidRPr="00774F9B">
        <w:t xml:space="preserve"> Julie Clements</w:t>
      </w:r>
      <w:r w:rsidRPr="00774F9B">
        <w:t xml:space="preserve"> </w:t>
      </w:r>
      <w:r w:rsidRPr="00774F9B">
        <w:br/>
      </w:r>
      <w:r w:rsidRPr="00774F9B">
        <w:rPr>
          <w:b/>
          <w:bCs/>
        </w:rPr>
        <w:t>Sent:</w:t>
      </w:r>
      <w:r w:rsidRPr="00774F9B">
        <w:t xml:space="preserve"> Wednesday, October 8, 2025 5:28 PM</w:t>
      </w:r>
      <w:r w:rsidRPr="00774F9B">
        <w:br/>
      </w:r>
      <w:r w:rsidRPr="00774F9B">
        <w:rPr>
          <w:b/>
          <w:bCs/>
        </w:rPr>
        <w:t>Subject:</w:t>
      </w:r>
      <w:r w:rsidRPr="00774F9B">
        <w:t xml:space="preserve"> Vessel Group 2026 annual plan request - Support</w:t>
      </w:r>
    </w:p>
    <w:p w14:paraId="6010A7B0" w14:textId="77777777" w:rsidR="00774F9B" w:rsidRDefault="00774F9B" w:rsidP="00774F9B">
      <w:pPr>
        <w:spacing w:after="0"/>
      </w:pPr>
    </w:p>
    <w:p w14:paraId="49613E51" w14:textId="3BE1CA0A" w:rsidR="00774F9B" w:rsidRPr="00774F9B" w:rsidRDefault="00774F9B" w:rsidP="00774F9B">
      <w:pPr>
        <w:spacing w:after="0"/>
      </w:pPr>
      <w:r w:rsidRPr="00774F9B">
        <w:t>Good Afternoon</w:t>
      </w:r>
    </w:p>
    <w:p w14:paraId="32A089A3" w14:textId="77777777" w:rsidR="00774F9B" w:rsidRPr="00774F9B" w:rsidRDefault="00774F9B" w:rsidP="00774F9B">
      <w:pPr>
        <w:spacing w:after="0"/>
      </w:pPr>
      <w:r w:rsidRPr="00774F9B">
        <w:t> </w:t>
      </w:r>
    </w:p>
    <w:p w14:paraId="53CCEE62" w14:textId="77777777" w:rsidR="00774F9B" w:rsidRPr="00774F9B" w:rsidRDefault="00774F9B" w:rsidP="00774F9B">
      <w:pPr>
        <w:spacing w:after="0"/>
      </w:pPr>
      <w:r w:rsidRPr="00774F9B">
        <w:t>ESG Global and its representatives have reviewed the request submitted by the Vessel Group for the 2026 annual plan, and believe that this is a valuable request that aligns neatly with the ongoing efforts to streamline and standardize the wholesale natural gas nomination, confirmation, and scheduling process and the associated data records.</w:t>
      </w:r>
    </w:p>
    <w:p w14:paraId="77E1F9F8" w14:textId="77777777" w:rsidR="00774F9B" w:rsidRPr="00774F9B" w:rsidRDefault="00774F9B" w:rsidP="00774F9B">
      <w:pPr>
        <w:spacing w:after="0"/>
      </w:pPr>
      <w:r w:rsidRPr="00774F9B">
        <w:t> </w:t>
      </w:r>
    </w:p>
    <w:p w14:paraId="333F8D2A" w14:textId="77777777" w:rsidR="00774F9B" w:rsidRPr="00774F9B" w:rsidRDefault="00774F9B" w:rsidP="00774F9B">
      <w:pPr>
        <w:spacing w:after="0"/>
      </w:pPr>
      <w:r w:rsidRPr="00774F9B">
        <w:t>We firmly believe it will aid in providing greater fairness and transparency in the overall process for transporters and their shippers, while continuing to move forward with the market as needs in the industry as it continues to change and modernize; additionally we feel that this effort will provide other long term benefits such as reducing the number of potential points of failure in increasingly automated workflows, which will indirectly result in helping to manage ongoing maintenance costs and change timelines for commercially provided software systems through reduced touch points in necessary code changes as regulatory and security policies are updated over time.</w:t>
      </w:r>
    </w:p>
    <w:p w14:paraId="281757A8" w14:textId="77777777" w:rsidR="00774F9B" w:rsidRPr="00774F9B" w:rsidRDefault="00774F9B" w:rsidP="00774F9B">
      <w:pPr>
        <w:spacing w:after="0"/>
      </w:pPr>
      <w:r w:rsidRPr="00774F9B">
        <w:t> </w:t>
      </w:r>
    </w:p>
    <w:p w14:paraId="228A81E1" w14:textId="77777777" w:rsidR="00774F9B" w:rsidRPr="00774F9B" w:rsidRDefault="00774F9B" w:rsidP="00774F9B">
      <w:pPr>
        <w:spacing w:after="0"/>
      </w:pPr>
      <w:r w:rsidRPr="00774F9B">
        <w:t>Thank you,</w:t>
      </w:r>
    </w:p>
    <w:p w14:paraId="36A550E8" w14:textId="77777777" w:rsidR="00774F9B" w:rsidRPr="00774F9B" w:rsidRDefault="00774F9B" w:rsidP="00774F9B">
      <w:r w:rsidRPr="00774F9B">
        <w:t> </w:t>
      </w:r>
    </w:p>
    <w:tbl>
      <w:tblPr>
        <w:tblW w:w="8520" w:type="dxa"/>
        <w:tblInd w:w="-108" w:type="dxa"/>
        <w:shd w:val="clear" w:color="auto" w:fill="FFFFFF"/>
        <w:tblCellMar>
          <w:left w:w="0" w:type="dxa"/>
          <w:right w:w="0" w:type="dxa"/>
        </w:tblCellMar>
        <w:tblLook w:val="04A0" w:firstRow="1" w:lastRow="0" w:firstColumn="1" w:lastColumn="0" w:noHBand="0" w:noVBand="1"/>
      </w:tblPr>
      <w:tblGrid>
        <w:gridCol w:w="2884"/>
        <w:gridCol w:w="5636"/>
      </w:tblGrid>
      <w:tr w:rsidR="00774F9B" w:rsidRPr="00774F9B" w14:paraId="1FBBF446" w14:textId="77777777">
        <w:trPr>
          <w:trHeight w:val="324"/>
        </w:trPr>
        <w:tc>
          <w:tcPr>
            <w:tcW w:w="2849" w:type="dxa"/>
            <w:vMerge w:val="restart"/>
            <w:shd w:val="clear" w:color="auto" w:fill="FFFFFF"/>
            <w:tcMar>
              <w:top w:w="0" w:type="dxa"/>
              <w:left w:w="108" w:type="dxa"/>
              <w:bottom w:w="0" w:type="dxa"/>
              <w:right w:w="108" w:type="dxa"/>
            </w:tcMar>
            <w:hideMark/>
          </w:tcPr>
          <w:p w14:paraId="7F1DA8A6" w14:textId="5996B5BE" w:rsidR="00774F9B" w:rsidRPr="00774F9B" w:rsidRDefault="00774F9B" w:rsidP="00774F9B">
            <w:r w:rsidRPr="00774F9B">
              <w:drawing>
                <wp:inline distT="0" distB="0" distL="0" distR="0" wp14:anchorId="3C712396" wp14:editId="565A19A5">
                  <wp:extent cx="1493520" cy="525780"/>
                  <wp:effectExtent l="0" t="0" r="11430" b="7620"/>
                  <wp:docPr id="15888048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93520" cy="525780"/>
                          </a:xfrm>
                          <a:prstGeom prst="rect">
                            <a:avLst/>
                          </a:prstGeom>
                          <a:noFill/>
                          <a:ln>
                            <a:noFill/>
                          </a:ln>
                        </pic:spPr>
                      </pic:pic>
                    </a:graphicData>
                  </a:graphic>
                </wp:inline>
              </w:drawing>
            </w:r>
          </w:p>
        </w:tc>
        <w:tc>
          <w:tcPr>
            <w:tcW w:w="5568" w:type="dxa"/>
            <w:tcBorders>
              <w:top w:val="nil"/>
              <w:left w:val="nil"/>
              <w:bottom w:val="single" w:sz="12" w:space="0" w:color="9EBEFF"/>
              <w:right w:val="nil"/>
            </w:tcBorders>
            <w:shd w:val="clear" w:color="auto" w:fill="FFFFFF"/>
            <w:tcMar>
              <w:top w:w="0" w:type="dxa"/>
              <w:left w:w="108" w:type="dxa"/>
              <w:bottom w:w="0" w:type="dxa"/>
              <w:right w:w="108" w:type="dxa"/>
            </w:tcMar>
            <w:hideMark/>
          </w:tcPr>
          <w:p w14:paraId="2FDBD660" w14:textId="77777777" w:rsidR="00774F9B" w:rsidRPr="00774F9B" w:rsidRDefault="00774F9B" w:rsidP="00774F9B">
            <w:r w:rsidRPr="00774F9B">
              <w:rPr>
                <w:b/>
                <w:bCs/>
              </w:rPr>
              <w:t> Julie Clements</w:t>
            </w:r>
            <w:r w:rsidRPr="00774F9B">
              <w:t>| Industry Specialist</w:t>
            </w:r>
          </w:p>
        </w:tc>
      </w:tr>
      <w:tr w:rsidR="00774F9B" w:rsidRPr="00774F9B" w14:paraId="4B03455E" w14:textId="77777777">
        <w:trPr>
          <w:trHeight w:val="129"/>
        </w:trPr>
        <w:tc>
          <w:tcPr>
            <w:tcW w:w="0" w:type="auto"/>
            <w:vMerge/>
            <w:shd w:val="clear" w:color="auto" w:fill="FFFFFF"/>
            <w:vAlign w:val="center"/>
            <w:hideMark/>
          </w:tcPr>
          <w:p w14:paraId="0896DB47" w14:textId="77777777" w:rsidR="00774F9B" w:rsidRPr="00774F9B" w:rsidRDefault="00774F9B" w:rsidP="00774F9B"/>
        </w:tc>
        <w:tc>
          <w:tcPr>
            <w:tcW w:w="5568" w:type="dxa"/>
            <w:shd w:val="clear" w:color="auto" w:fill="FFFFFF"/>
            <w:tcMar>
              <w:top w:w="0" w:type="dxa"/>
              <w:left w:w="108" w:type="dxa"/>
              <w:bottom w:w="0" w:type="dxa"/>
              <w:right w:w="108" w:type="dxa"/>
            </w:tcMar>
            <w:hideMark/>
          </w:tcPr>
          <w:p w14:paraId="1E66EEF6" w14:textId="776A162E" w:rsidR="00774F9B" w:rsidRPr="00774F9B" w:rsidRDefault="00774F9B" w:rsidP="00774F9B"/>
          <w:p w14:paraId="6DEA27BC" w14:textId="7489DA38" w:rsidR="00774F9B" w:rsidRPr="00774F9B" w:rsidRDefault="00774F9B" w:rsidP="00774F9B">
            <w:r w:rsidRPr="00774F9B">
              <w:drawing>
                <wp:inline distT="0" distB="0" distL="0" distR="0" wp14:anchorId="5B6F160B" wp14:editId="17A6C96B">
                  <wp:extent cx="441960" cy="441960"/>
                  <wp:effectExtent l="0" t="0" r="15240" b="15240"/>
                  <wp:docPr id="842752327" name="Picture 7" descr="signature_1281842392">
                    <a:hlinkClick xmlns:a="http://schemas.openxmlformats.org/drawingml/2006/main" r:id="rId6" tgtFrame="_blank" tooltip="http://www.esgglobal.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_128184239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Pr="00774F9B">
              <w:drawing>
                <wp:inline distT="0" distB="0" distL="0" distR="0" wp14:anchorId="4FAD9B0E" wp14:editId="03239E91">
                  <wp:extent cx="441960" cy="441960"/>
                  <wp:effectExtent l="0" t="0" r="15240" b="15240"/>
                  <wp:docPr id="750813489" name="Picture 6" descr="signature_3502739718">
                    <a:hlinkClick xmlns:a="http://schemas.openxmlformats.org/drawingml/2006/main" r:id="rId9" tgtFrame="_blank" tooltip="https://www.linkedin.com/company/energy-services-group-esg-/?viewAsMember=tr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350273971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Pr="00774F9B">
              <w:drawing>
                <wp:inline distT="0" distB="0" distL="0" distR="0" wp14:anchorId="522259FA" wp14:editId="15BCF315">
                  <wp:extent cx="441960" cy="441960"/>
                  <wp:effectExtent l="0" t="0" r="15240" b="15240"/>
                  <wp:docPr id="410363551" name="Picture 5" descr="signature_1379689905">
                    <a:hlinkClick xmlns:a="http://schemas.openxmlformats.org/drawingml/2006/main" r:id="rId12" tgtFrame="_blank" tooltip="https://twitter.com/ESG_Global_"/>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37968990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r>
    </w:tbl>
    <w:p w14:paraId="5788FA8B" w14:textId="77777777" w:rsidR="00774F9B" w:rsidRPr="00774F9B" w:rsidRDefault="00774F9B" w:rsidP="00774F9B">
      <w:r w:rsidRPr="00774F9B">
        <w:t> </w:t>
      </w:r>
    </w:p>
    <w:p w14:paraId="583C89EC" w14:textId="3A464706" w:rsidR="00774F9B" w:rsidRPr="00774F9B" w:rsidRDefault="00774F9B" w:rsidP="00774F9B">
      <w:r w:rsidRPr="00774F9B">
        <w:t> </w:t>
      </w:r>
    </w:p>
    <w:p w14:paraId="2583F71B" w14:textId="77777777" w:rsidR="00774F9B" w:rsidRPr="00774F9B" w:rsidRDefault="00774F9B" w:rsidP="00774F9B">
      <w:r w:rsidRPr="00774F9B">
        <w:rPr>
          <w:b/>
          <w:bCs/>
        </w:rPr>
        <w:t>Disclaimer</w:t>
      </w:r>
    </w:p>
    <w:p w14:paraId="52AB8E84" w14:textId="77777777" w:rsidR="00774F9B" w:rsidRPr="00774F9B" w:rsidRDefault="00774F9B" w:rsidP="00774F9B">
      <w:r w:rsidRPr="00774F9B">
        <w:t xml:space="preserve">This message is for the designated recipient only and may contain privileged, proprietary or otherwise private information. If you have received it in error, please notify the sender immediately and delete the original. Any other use of the email is prohibited. </w:t>
      </w:r>
    </w:p>
    <w:p w14:paraId="3F23EFC1" w14:textId="77777777" w:rsidR="000A68CE" w:rsidRDefault="000A68CE"/>
    <w:sectPr w:rsidR="000A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9B"/>
    <w:rsid w:val="000A68CE"/>
    <w:rsid w:val="00124F2B"/>
    <w:rsid w:val="00550F83"/>
    <w:rsid w:val="0077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9FB3"/>
  <w15:chartTrackingRefBased/>
  <w15:docId w15:val="{2F67CA6A-DF77-4B02-9AAF-50E63311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4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F9B"/>
    <w:rPr>
      <w:rFonts w:eastAsiaTheme="majorEastAsia" w:cstheme="majorBidi"/>
      <w:color w:val="272727" w:themeColor="text1" w:themeTint="D8"/>
    </w:rPr>
  </w:style>
  <w:style w:type="paragraph" w:styleId="Title">
    <w:name w:val="Title"/>
    <w:basedOn w:val="Normal"/>
    <w:next w:val="Normal"/>
    <w:link w:val="TitleChar"/>
    <w:uiPriority w:val="10"/>
    <w:qFormat/>
    <w:rsid w:val="00774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F9B"/>
    <w:pPr>
      <w:spacing w:before="160"/>
      <w:jc w:val="center"/>
    </w:pPr>
    <w:rPr>
      <w:i/>
      <w:iCs/>
      <w:color w:val="404040" w:themeColor="text1" w:themeTint="BF"/>
    </w:rPr>
  </w:style>
  <w:style w:type="character" w:customStyle="1" w:styleId="QuoteChar">
    <w:name w:val="Quote Char"/>
    <w:basedOn w:val="DefaultParagraphFont"/>
    <w:link w:val="Quote"/>
    <w:uiPriority w:val="29"/>
    <w:rsid w:val="00774F9B"/>
    <w:rPr>
      <w:i/>
      <w:iCs/>
      <w:color w:val="404040" w:themeColor="text1" w:themeTint="BF"/>
    </w:rPr>
  </w:style>
  <w:style w:type="paragraph" w:styleId="ListParagraph">
    <w:name w:val="List Paragraph"/>
    <w:basedOn w:val="Normal"/>
    <w:uiPriority w:val="34"/>
    <w:qFormat/>
    <w:rsid w:val="00774F9B"/>
    <w:pPr>
      <w:ind w:left="720"/>
      <w:contextualSpacing/>
    </w:pPr>
  </w:style>
  <w:style w:type="character" w:styleId="IntenseEmphasis">
    <w:name w:val="Intense Emphasis"/>
    <w:basedOn w:val="DefaultParagraphFont"/>
    <w:uiPriority w:val="21"/>
    <w:qFormat/>
    <w:rsid w:val="00774F9B"/>
    <w:rPr>
      <w:i/>
      <w:iCs/>
      <w:color w:val="2F5496" w:themeColor="accent1" w:themeShade="BF"/>
    </w:rPr>
  </w:style>
  <w:style w:type="paragraph" w:styleId="IntenseQuote">
    <w:name w:val="Intense Quote"/>
    <w:basedOn w:val="Normal"/>
    <w:next w:val="Normal"/>
    <w:link w:val="IntenseQuoteChar"/>
    <w:uiPriority w:val="30"/>
    <w:qFormat/>
    <w:rsid w:val="00774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F9B"/>
    <w:rPr>
      <w:i/>
      <w:iCs/>
      <w:color w:val="2F5496" w:themeColor="accent1" w:themeShade="BF"/>
    </w:rPr>
  </w:style>
  <w:style w:type="character" w:styleId="IntenseReference">
    <w:name w:val="Intense Reference"/>
    <w:basedOn w:val="DefaultParagraphFont"/>
    <w:uiPriority w:val="32"/>
    <w:qFormat/>
    <w:rsid w:val="00774F9B"/>
    <w:rPr>
      <w:b/>
      <w:bCs/>
      <w:smallCaps/>
      <w:color w:val="2F5496" w:themeColor="accent1" w:themeShade="BF"/>
      <w:spacing w:val="5"/>
    </w:rPr>
  </w:style>
  <w:style w:type="character" w:styleId="Hyperlink">
    <w:name w:val="Hyperlink"/>
    <w:basedOn w:val="DefaultParagraphFont"/>
    <w:uiPriority w:val="99"/>
    <w:unhideWhenUsed/>
    <w:rsid w:val="00774F9B"/>
    <w:rPr>
      <w:color w:val="0563C1" w:themeColor="hyperlink"/>
      <w:u w:val="single"/>
    </w:rPr>
  </w:style>
  <w:style w:type="character" w:styleId="UnresolvedMention">
    <w:name w:val="Unresolved Mention"/>
    <w:basedOn w:val="DefaultParagraphFont"/>
    <w:uiPriority w:val="99"/>
    <w:semiHidden/>
    <w:unhideWhenUsed/>
    <w:rsid w:val="00774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C3906.15EB2030"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witter.com/ESG_Global_"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sgglobal.com/" TargetMode="External"/><Relationship Id="rId11" Type="http://schemas.openxmlformats.org/officeDocument/2006/relationships/image" Target="cid:image007.png@01DC3906.15EB2030" TargetMode="External"/><Relationship Id="rId5" Type="http://schemas.openxmlformats.org/officeDocument/2006/relationships/image" Target="cid:image005.png@01DC3906.15EB2030"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www.linkedin.com/company/energy-services-group-esg-/?viewAsMember=true" TargetMode="External"/><Relationship Id="rId14" Type="http://schemas.openxmlformats.org/officeDocument/2006/relationships/image" Target="cid:image008.png@01DC3906.15EB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2025-10-09T15:24:00Z</dcterms:created>
  <dcterms:modified xsi:type="dcterms:W3CDTF">2025-10-09T15:27:00Z</dcterms:modified>
</cp:coreProperties>
</file>