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05D4F" w14:textId="20E0B98A" w:rsidR="003E2CA2" w:rsidRPr="00943615" w:rsidRDefault="00B23947" w:rsidP="00943615">
      <w:pPr>
        <w:pStyle w:val="NoSpacing"/>
        <w:jc w:val="center"/>
        <w:rPr>
          <w:b/>
          <w:bCs/>
        </w:rPr>
      </w:pPr>
      <w:r w:rsidRPr="00943615">
        <w:rPr>
          <w:b/>
          <w:bCs/>
        </w:rPr>
        <w:t>Ad hoc Workpaper</w:t>
      </w:r>
    </w:p>
    <w:p w14:paraId="4538AC34" w14:textId="434CC882" w:rsidR="00B23947" w:rsidRPr="00943615" w:rsidRDefault="00B23947" w:rsidP="00943615">
      <w:pPr>
        <w:pStyle w:val="NoSpacing"/>
        <w:jc w:val="center"/>
        <w:rPr>
          <w:b/>
          <w:bCs/>
        </w:rPr>
      </w:pPr>
      <w:r w:rsidRPr="00943615">
        <w:rPr>
          <w:b/>
          <w:bCs/>
        </w:rPr>
        <w:t>Gas-Electric Communication</w:t>
      </w:r>
    </w:p>
    <w:p w14:paraId="46D70EE4" w14:textId="66F9AD77" w:rsidR="00943615" w:rsidRPr="00943615" w:rsidRDefault="00B94D62" w:rsidP="00943615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Revised May 6, </w:t>
      </w:r>
      <w:r w:rsidR="00943615" w:rsidRPr="00943615">
        <w:rPr>
          <w:b/>
          <w:bCs/>
        </w:rPr>
        <w:t>2024</w:t>
      </w:r>
      <w:r w:rsidR="00EB66B5">
        <w:rPr>
          <w:b/>
          <w:bCs/>
        </w:rPr>
        <w:t xml:space="preserve"> with additional </w:t>
      </w:r>
      <w:r w:rsidR="00C17188">
        <w:rPr>
          <w:b/>
          <w:bCs/>
        </w:rPr>
        <w:t>m</w:t>
      </w:r>
      <w:r w:rsidR="00EB66B5">
        <w:rPr>
          <w:b/>
          <w:bCs/>
        </w:rPr>
        <w:t>odifications from the Joint BPS Chairs</w:t>
      </w:r>
    </w:p>
    <w:p w14:paraId="39AB43E9" w14:textId="77777777" w:rsidR="003E2CA2" w:rsidRDefault="003E2CA2" w:rsidP="004F2925">
      <w:pPr>
        <w:pStyle w:val="NoSpacing"/>
      </w:pPr>
    </w:p>
    <w:p w14:paraId="4345649E" w14:textId="77777777" w:rsidR="00EE4B77" w:rsidRDefault="00EE4B77" w:rsidP="004F2925">
      <w:pPr>
        <w:pStyle w:val="NoSpacing"/>
      </w:pPr>
    </w:p>
    <w:p w14:paraId="719EF1C3" w14:textId="56C67044" w:rsidR="00662779" w:rsidRDefault="00662779" w:rsidP="004F2925">
      <w:pPr>
        <w:pStyle w:val="NoSpacing"/>
      </w:pPr>
      <w:r>
        <w:t xml:space="preserve">Joint </w:t>
      </w:r>
      <w:r w:rsidR="00716B88">
        <w:t xml:space="preserve">BPS </w:t>
      </w:r>
      <w:r>
        <w:t>WEQ, WGQ, and RMQ</w:t>
      </w:r>
      <w:r w:rsidR="003E2CA2">
        <w:t xml:space="preserve"> Participants,</w:t>
      </w:r>
    </w:p>
    <w:p w14:paraId="0C43AD8A" w14:textId="77777777" w:rsidR="003517B4" w:rsidRDefault="003517B4" w:rsidP="004F2925">
      <w:pPr>
        <w:pStyle w:val="NoSpacing"/>
      </w:pPr>
    </w:p>
    <w:p w14:paraId="77A20451" w14:textId="179D9797" w:rsidR="00E45593" w:rsidRDefault="0023517E" w:rsidP="004F2925">
      <w:pPr>
        <w:pStyle w:val="NoSpacing"/>
      </w:pPr>
      <w:r>
        <w:t>P</w:t>
      </w:r>
      <w:r w:rsidR="00E45593">
        <w:t>arties across the gas</w:t>
      </w:r>
      <w:r>
        <w:t xml:space="preserve"> and </w:t>
      </w:r>
      <w:r w:rsidR="00E45593">
        <w:t xml:space="preserve">electric </w:t>
      </w:r>
      <w:r>
        <w:t xml:space="preserve">industries, including natural gas producers, ISOs/RTOs, natural gas pipelines, natural gas-fired generators, and </w:t>
      </w:r>
      <w:proofErr w:type="spellStart"/>
      <w:r>
        <w:t>LDCs</w:t>
      </w:r>
      <w:proofErr w:type="spellEnd"/>
      <w:r>
        <w:t>,</w:t>
      </w:r>
      <w:r w:rsidR="00E45593">
        <w:t xml:space="preserve"> engage</w:t>
      </w:r>
      <w:r w:rsidR="004F2925">
        <w:t>d</w:t>
      </w:r>
      <w:r w:rsidR="00E45593">
        <w:t xml:space="preserve"> in a process to identify communication gaps</w:t>
      </w:r>
      <w:r>
        <w:t xml:space="preserve"> during cold weather events such as Winter Storms Uri and Elliott</w:t>
      </w:r>
      <w:r w:rsidR="00E45593">
        <w:t xml:space="preserve">. </w:t>
      </w:r>
      <w:r w:rsidR="00446322">
        <w:t xml:space="preserve">While </w:t>
      </w:r>
      <w:r w:rsidR="00D12012">
        <w:t>all sectors</w:t>
      </w:r>
      <w:r w:rsidR="003111C8">
        <w:t xml:space="preserve"> </w:t>
      </w:r>
      <w:r w:rsidR="00E7018B">
        <w:t xml:space="preserve">across the gas and electric industries </w:t>
      </w:r>
      <w:r w:rsidR="00EA30AD">
        <w:t xml:space="preserve">communicate </w:t>
      </w:r>
      <w:r w:rsidR="00DC3907">
        <w:t xml:space="preserve">to varying degrees </w:t>
      </w:r>
      <w:r w:rsidR="00EA30AD">
        <w:t xml:space="preserve">before and </w:t>
      </w:r>
      <w:r w:rsidR="00E45593">
        <w:t>during these events</w:t>
      </w:r>
      <w:r w:rsidR="00446322">
        <w:t xml:space="preserve">, </w:t>
      </w:r>
      <w:r w:rsidR="00BC640D">
        <w:t>th</w:t>
      </w:r>
      <w:r w:rsidR="003640CC">
        <w:t xml:space="preserve">e parties </w:t>
      </w:r>
      <w:r w:rsidR="003009F1">
        <w:t>identified some areas</w:t>
      </w:r>
      <w:r w:rsidR="00BB0BA3">
        <w:t xml:space="preserve"> for the Joint </w:t>
      </w:r>
      <w:proofErr w:type="gramStart"/>
      <w:r w:rsidR="00BB0BA3">
        <w:t>BPS’</w:t>
      </w:r>
      <w:r w:rsidR="003C1FC9">
        <w:t>s</w:t>
      </w:r>
      <w:proofErr w:type="gramEnd"/>
      <w:r w:rsidR="003009F1">
        <w:t xml:space="preserve"> </w:t>
      </w:r>
      <w:r w:rsidR="00BC640D">
        <w:t xml:space="preserve">to explore </w:t>
      </w:r>
      <w:r w:rsidR="00DF5244">
        <w:t xml:space="preserve">for </w:t>
      </w:r>
      <w:r w:rsidR="00BC640D">
        <w:t>additional improvement</w:t>
      </w:r>
      <w:r w:rsidR="00E45593">
        <w:t>.</w:t>
      </w:r>
    </w:p>
    <w:p w14:paraId="1D8C8E7D" w14:textId="77777777" w:rsidR="00E45593" w:rsidRDefault="00E45593" w:rsidP="004F2925">
      <w:pPr>
        <w:pStyle w:val="NoSpacing"/>
      </w:pPr>
    </w:p>
    <w:p w14:paraId="34431D04" w14:textId="42A544CC" w:rsidR="00E45593" w:rsidRDefault="00E45593" w:rsidP="004F2925">
      <w:pPr>
        <w:pStyle w:val="NoSpacing"/>
      </w:pPr>
      <w:r>
        <w:t xml:space="preserve">To help frame the conversation, the </w:t>
      </w:r>
      <w:r w:rsidR="003419A7">
        <w:t>parties</w:t>
      </w:r>
      <w:r>
        <w:t xml:space="preserve"> considered </w:t>
      </w:r>
      <w:r w:rsidR="00DF5538">
        <w:t xml:space="preserve">communication leading up to and during cold weather events, </w:t>
      </w:r>
      <w:r w:rsidR="005A566A">
        <w:t xml:space="preserve">with a focus on </w:t>
      </w:r>
      <w:r w:rsidR="00260A76">
        <w:t>circumstances</w:t>
      </w:r>
      <w:r w:rsidR="005A566A">
        <w:t xml:space="preserve"> that might </w:t>
      </w:r>
      <w:r w:rsidR="00260A76">
        <w:t xml:space="preserve">result in </w:t>
      </w:r>
      <w:r w:rsidR="008414A0">
        <w:t xml:space="preserve">a </w:t>
      </w:r>
      <w:r w:rsidR="00751F6C">
        <w:t>party</w:t>
      </w:r>
      <w:r w:rsidR="008414A0">
        <w:t xml:space="preserve"> invoking </w:t>
      </w:r>
      <w:r w:rsidR="002F2E99">
        <w:t>f</w:t>
      </w:r>
      <w:r>
        <w:t xml:space="preserve">orce </w:t>
      </w:r>
      <w:r w:rsidR="002F2E99">
        <w:t>m</w:t>
      </w:r>
      <w:r>
        <w:t>ajeure.  Through the discussion</w:t>
      </w:r>
      <w:r w:rsidR="00E30088">
        <w:t xml:space="preserve">, the parties </w:t>
      </w:r>
      <w:r w:rsidR="00E40258">
        <w:t xml:space="preserve">understood that </w:t>
      </w:r>
      <w:r w:rsidR="00834E85">
        <w:t xml:space="preserve">there is no set schedule for </w:t>
      </w:r>
      <w:r w:rsidR="001B6DB6">
        <w:t xml:space="preserve">invoking a </w:t>
      </w:r>
      <w:r w:rsidR="00362EF3">
        <w:t>force majeure</w:t>
      </w:r>
      <w:r w:rsidR="00834E85">
        <w:t>—</w:t>
      </w:r>
      <w:r w:rsidR="000B66DF">
        <w:t xml:space="preserve">invocation </w:t>
      </w:r>
      <w:r w:rsidR="00372F2A">
        <w:t xml:space="preserve">occurs </w:t>
      </w:r>
      <w:r w:rsidR="00941428">
        <w:t xml:space="preserve">when circumstances </w:t>
      </w:r>
      <w:r w:rsidR="002E1DD1">
        <w:t xml:space="preserve">preclude </w:t>
      </w:r>
      <w:r w:rsidR="005B2CD9">
        <w:t>the invoking entity’s ability to fulfill its commitments</w:t>
      </w:r>
      <w:r w:rsidR="00521195">
        <w:t>.</w:t>
      </w:r>
      <w:r w:rsidR="00207AC1">
        <w:t xml:space="preserve"> </w:t>
      </w:r>
      <w:r w:rsidR="0020002A">
        <w:t xml:space="preserve">The discussion also illustrated how parties </w:t>
      </w:r>
      <w:r>
        <w:t xml:space="preserve">work together to mitigate impacts </w:t>
      </w:r>
      <w:r w:rsidR="009B0CCC">
        <w:t>of force majeure</w:t>
      </w:r>
      <w:r w:rsidR="001B6DB6">
        <w:t>s</w:t>
      </w:r>
      <w:r w:rsidR="009B0CCC">
        <w:t xml:space="preserve"> </w:t>
      </w:r>
      <w:r>
        <w:t xml:space="preserve">to any other entities in the supply chain and </w:t>
      </w:r>
      <w:r w:rsidR="00BF394C">
        <w:t xml:space="preserve">how parties </w:t>
      </w:r>
      <w:r>
        <w:t xml:space="preserve">communicate about situational changes via numerous methods. </w:t>
      </w:r>
      <w:r w:rsidR="007F46FE">
        <w:t xml:space="preserve">While force majeure was the condition used to stimulate discussion, </w:t>
      </w:r>
      <w:r w:rsidR="004F406E">
        <w:t xml:space="preserve">discussions covered disruptions broadly. </w:t>
      </w:r>
      <w:r w:rsidR="005F471D">
        <w:t>T</w:t>
      </w:r>
      <w:r>
        <w:t xml:space="preserve">his </w:t>
      </w:r>
      <w:r w:rsidR="00CE503D">
        <w:t>workpaper</w:t>
      </w:r>
      <w:r>
        <w:t xml:space="preserve"> only captures communication gaps</w:t>
      </w:r>
      <w:r w:rsidR="000A7818">
        <w:t xml:space="preserve"> and </w:t>
      </w:r>
      <w:r>
        <w:t xml:space="preserve">we recognize there are a variety of </w:t>
      </w:r>
      <w:r w:rsidR="000A7818">
        <w:t xml:space="preserve">specific </w:t>
      </w:r>
      <w:r>
        <w:t>impacts</w:t>
      </w:r>
      <w:r w:rsidR="00A51CA9">
        <w:t xml:space="preserve"> not </w:t>
      </w:r>
      <w:r>
        <w:t>pointed out here</w:t>
      </w:r>
      <w:r w:rsidR="00A51CA9">
        <w:t xml:space="preserve"> that</w:t>
      </w:r>
      <w:r>
        <w:t xml:space="preserve"> should be part of the solution conversation.</w:t>
      </w:r>
    </w:p>
    <w:p w14:paraId="720D64A6" w14:textId="3451E375" w:rsidR="00DD0A7B" w:rsidRDefault="00DD0A7B" w:rsidP="004F2925">
      <w:pPr>
        <w:pStyle w:val="NoSpacing"/>
      </w:pPr>
    </w:p>
    <w:p w14:paraId="089F34A9" w14:textId="581E8936" w:rsidR="00E11A76" w:rsidRDefault="00354E97" w:rsidP="004F2925">
      <w:pPr>
        <w:pStyle w:val="NoSpacing"/>
      </w:pPr>
      <w:r>
        <w:t>T</w:t>
      </w:r>
      <w:r w:rsidR="00E45593">
        <w:t xml:space="preserve">here is no formal process to </w:t>
      </w:r>
      <w:r w:rsidR="00A407DF" w:rsidRPr="00A407DF">
        <w:t>notify affected entities other than the</w:t>
      </w:r>
      <w:r w:rsidR="00A407DF">
        <w:t xml:space="preserve"> directly</w:t>
      </w:r>
      <w:r w:rsidR="00A407DF" w:rsidRPr="00A407DF">
        <w:t xml:space="preserve"> impacted counterparty</w:t>
      </w:r>
      <w:r w:rsidR="00A407DF">
        <w:t xml:space="preserve">. </w:t>
      </w:r>
      <w:r w:rsidR="00E45593">
        <w:t xml:space="preserve"> For example</w:t>
      </w:r>
      <w:r w:rsidR="00C460AE">
        <w:t>,</w:t>
      </w:r>
      <w:r w:rsidR="00E45593">
        <w:t xml:space="preserve"> a shipper may electronically notify its customer via existing EDI</w:t>
      </w:r>
      <w:r w:rsidR="00C460AE">
        <w:t>.</w:t>
      </w:r>
      <w:r w:rsidR="00E45593">
        <w:t xml:space="preserve"> </w:t>
      </w:r>
      <w:r w:rsidR="00C460AE">
        <w:t>H</w:t>
      </w:r>
      <w:r w:rsidR="00E45593">
        <w:t>owever</w:t>
      </w:r>
      <w:r w:rsidR="00C460AE">
        <w:t>,</w:t>
      </w:r>
      <w:r w:rsidR="00E45593">
        <w:t xml:space="preserve"> if this is the result of a production decline, this </w:t>
      </w:r>
      <w:r w:rsidR="00FF63E6">
        <w:t xml:space="preserve">specific </w:t>
      </w:r>
      <w:r w:rsidR="00E45593">
        <w:t xml:space="preserve">notification would only be sent to the customer, rather than more broadly to the Pipelines or RTOs that production issues are occurring in region, area, or location.  </w:t>
      </w:r>
    </w:p>
    <w:p w14:paraId="3E5697A6" w14:textId="77777777" w:rsidR="00E11A76" w:rsidRDefault="00E11A76" w:rsidP="004F2925">
      <w:pPr>
        <w:pStyle w:val="NoSpacing"/>
      </w:pPr>
    </w:p>
    <w:p w14:paraId="3CD1CE03" w14:textId="77777777" w:rsidR="00E45593" w:rsidRDefault="00E45593" w:rsidP="004F2925">
      <w:pPr>
        <w:pStyle w:val="NoSpacing"/>
        <w:rPr>
          <w:rFonts w:ascii="Calibri" w:eastAsia="Times New Roman" w:hAnsi="Calibri" w:cs="Calibri"/>
          <w:sz w:val="24"/>
          <w:szCs w:val="24"/>
        </w:rPr>
      </w:pPr>
    </w:p>
    <w:p w14:paraId="63B31809" w14:textId="1494DDBB" w:rsidR="00BD6F58" w:rsidRPr="00F43CC6" w:rsidRDefault="00F43CC6" w:rsidP="004F2925">
      <w:pPr>
        <w:pStyle w:val="NoSpacing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F43CC6">
        <w:rPr>
          <w:rFonts w:ascii="Calibri" w:eastAsia="Times New Roman" w:hAnsi="Calibri" w:cs="Calibri"/>
          <w:b/>
          <w:bCs/>
          <w:sz w:val="24"/>
          <w:szCs w:val="24"/>
          <w:u w:val="single"/>
        </w:rPr>
        <w:t>Gas-Electric Communication Gaps</w:t>
      </w:r>
    </w:p>
    <w:p w14:paraId="789F039A" w14:textId="77777777" w:rsidR="00BD6F58" w:rsidRDefault="00BD6F58" w:rsidP="004F2925">
      <w:pPr>
        <w:pStyle w:val="NoSpacing"/>
        <w:rPr>
          <w:rFonts w:ascii="Calibri" w:eastAsia="Times New Roman" w:hAnsi="Calibri" w:cs="Calibri"/>
          <w:sz w:val="24"/>
          <w:szCs w:val="24"/>
        </w:rPr>
      </w:pPr>
    </w:p>
    <w:p w14:paraId="58584AFE" w14:textId="2DC41BB7" w:rsidR="00342800" w:rsidRDefault="00EB66B5" w:rsidP="00B700A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BD1852">
        <w:rPr>
          <w:rFonts w:ascii="Calibri" w:eastAsia="Times New Roman" w:hAnsi="Calibri" w:cs="Calibri"/>
          <w:sz w:val="24"/>
          <w:szCs w:val="24"/>
        </w:rPr>
        <w:t>There is a l</w:t>
      </w:r>
      <w:r w:rsidR="001A6AC5" w:rsidRPr="00BD1852">
        <w:rPr>
          <w:rFonts w:ascii="Calibri" w:eastAsia="Times New Roman" w:hAnsi="Calibri" w:cs="Calibri"/>
          <w:sz w:val="24"/>
          <w:szCs w:val="24"/>
        </w:rPr>
        <w:t xml:space="preserve">ack of communication during extreme weather events of upstream supply issues, including </w:t>
      </w:r>
      <w:r w:rsidR="00C06459" w:rsidRPr="00BD1852">
        <w:rPr>
          <w:rFonts w:ascii="Calibri" w:eastAsia="Times New Roman" w:hAnsi="Calibri" w:cs="Calibri"/>
          <w:sz w:val="24"/>
          <w:szCs w:val="24"/>
        </w:rPr>
        <w:t xml:space="preserve">invocations of </w:t>
      </w:r>
      <w:r w:rsidR="001A6AC5" w:rsidRPr="00BD1852">
        <w:rPr>
          <w:rFonts w:ascii="Calibri" w:eastAsia="Times New Roman" w:hAnsi="Calibri" w:cs="Calibri"/>
          <w:sz w:val="24"/>
          <w:szCs w:val="24"/>
        </w:rPr>
        <w:t xml:space="preserve">force majeure, by parties with direct knowledge to critical stakeholders </w:t>
      </w:r>
      <w:r w:rsidRPr="00BD1852">
        <w:rPr>
          <w:rFonts w:ascii="Calibri" w:eastAsia="Times New Roman" w:hAnsi="Calibri" w:cs="Calibri"/>
          <w:sz w:val="24"/>
          <w:szCs w:val="24"/>
        </w:rPr>
        <w:t xml:space="preserve">who </w:t>
      </w:r>
      <w:r w:rsidR="001A6AC5" w:rsidRPr="00BD1852">
        <w:rPr>
          <w:rFonts w:ascii="Calibri" w:eastAsia="Times New Roman" w:hAnsi="Calibri" w:cs="Calibri"/>
          <w:sz w:val="24"/>
          <w:szCs w:val="24"/>
        </w:rPr>
        <w:t>are not part of the transactional and operational chain (e.g.</w:t>
      </w:r>
      <w:r w:rsidR="00C06459" w:rsidRPr="00BD1852">
        <w:rPr>
          <w:rFonts w:ascii="Calibri" w:eastAsia="Times New Roman" w:hAnsi="Calibri" w:cs="Calibri"/>
          <w:sz w:val="24"/>
          <w:szCs w:val="24"/>
        </w:rPr>
        <w:t>,</w:t>
      </w:r>
      <w:r w:rsidR="001A6AC5" w:rsidRPr="00BD1852">
        <w:rPr>
          <w:rFonts w:ascii="Calibri" w:eastAsia="Times New Roman" w:hAnsi="Calibri" w:cs="Calibri"/>
          <w:sz w:val="24"/>
          <w:szCs w:val="24"/>
        </w:rPr>
        <w:t xml:space="preserve"> Pipeline Operators, RTO/ISO).</w:t>
      </w:r>
      <w:r w:rsidR="00B700A9" w:rsidRPr="00BD1852">
        <w:rPr>
          <w:rFonts w:ascii="Calibri" w:eastAsia="Times New Roman" w:hAnsi="Calibri" w:cs="Calibri"/>
          <w:sz w:val="24"/>
          <w:szCs w:val="24"/>
        </w:rPr>
        <w:t xml:space="preserve">  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Consistent and ongoing communication </w:t>
      </w:r>
      <w:r w:rsidR="00FC2974" w:rsidRPr="00BD1852">
        <w:rPr>
          <w:rFonts w:ascii="Calibri" w:eastAsia="Times New Roman" w:hAnsi="Calibri" w:cs="Calibri"/>
          <w:sz w:val="24"/>
          <w:szCs w:val="24"/>
        </w:rPr>
        <w:t xml:space="preserve">primarily only 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occurs between parties with operational and/or contractual connections; </w:t>
      </w:r>
      <w:r w:rsidR="00227580" w:rsidRPr="00BD1852">
        <w:rPr>
          <w:rFonts w:ascii="Calibri" w:eastAsia="Times New Roman" w:hAnsi="Calibri" w:cs="Calibri"/>
          <w:sz w:val="24"/>
          <w:szCs w:val="24"/>
        </w:rPr>
        <w:t>therefore,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 </w:t>
      </w:r>
      <w:r w:rsidR="007A13C2" w:rsidRPr="00BD1852">
        <w:rPr>
          <w:rFonts w:ascii="Calibri" w:eastAsia="Times New Roman" w:hAnsi="Calibri" w:cs="Calibri"/>
          <w:sz w:val="24"/>
          <w:szCs w:val="24"/>
        </w:rPr>
        <w:t xml:space="preserve">only 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directly affected parties </w:t>
      </w:r>
      <w:r w:rsidR="007E5843" w:rsidRPr="00BD1852">
        <w:rPr>
          <w:rFonts w:ascii="Calibri" w:eastAsia="Times New Roman" w:hAnsi="Calibri" w:cs="Calibri"/>
          <w:sz w:val="24"/>
          <w:szCs w:val="24"/>
        </w:rPr>
        <w:t xml:space="preserve">understand their real-time </w:t>
      </w:r>
      <w:r w:rsidR="00342800" w:rsidRPr="00BD1852">
        <w:rPr>
          <w:rFonts w:ascii="Calibri" w:eastAsia="Times New Roman" w:hAnsi="Calibri" w:cs="Calibri"/>
          <w:sz w:val="24"/>
          <w:szCs w:val="24"/>
        </w:rPr>
        <w:t>positions</w:t>
      </w:r>
      <w:r w:rsidR="00D73EB9" w:rsidRPr="00BD1852">
        <w:rPr>
          <w:rFonts w:ascii="Calibri" w:eastAsia="Times New Roman" w:hAnsi="Calibri" w:cs="Calibri"/>
          <w:sz w:val="24"/>
          <w:szCs w:val="24"/>
        </w:rPr>
        <w:t xml:space="preserve"> and situation</w:t>
      </w:r>
      <w:r w:rsidR="00C40517" w:rsidRPr="00BD1852">
        <w:rPr>
          <w:rFonts w:ascii="Calibri" w:eastAsia="Times New Roman" w:hAnsi="Calibri" w:cs="Calibri"/>
          <w:sz w:val="24"/>
          <w:szCs w:val="24"/>
        </w:rPr>
        <w:t xml:space="preserve">, </w:t>
      </w:r>
      <w:r w:rsidR="00E314BB" w:rsidRPr="00BD1852">
        <w:rPr>
          <w:rFonts w:ascii="Calibri" w:eastAsia="Times New Roman" w:hAnsi="Calibri" w:cs="Calibri"/>
          <w:sz w:val="24"/>
          <w:szCs w:val="24"/>
        </w:rPr>
        <w:t>except in instances where such information is part of pipeline Critical Notices</w:t>
      </w:r>
      <w:r w:rsidR="00342800" w:rsidRPr="00BD1852">
        <w:rPr>
          <w:rFonts w:ascii="Calibri" w:eastAsia="Times New Roman" w:hAnsi="Calibri" w:cs="Calibri"/>
          <w:sz w:val="24"/>
          <w:szCs w:val="24"/>
        </w:rPr>
        <w:t>.</w:t>
      </w:r>
    </w:p>
    <w:p w14:paraId="4B14F84F" w14:textId="307617D2" w:rsidR="00CA18C1" w:rsidRPr="00CA18C1" w:rsidRDefault="00CA18C1" w:rsidP="00CA18C1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eastAsia="Times New Roman" w:hAnsi="Calibri" w:cs="Calibri"/>
          <w:color w:val="FF0000"/>
          <w:sz w:val="24"/>
          <w:szCs w:val="24"/>
        </w:rPr>
      </w:pPr>
      <w:r w:rsidRPr="00CA18C1">
        <w:rPr>
          <w:rFonts w:ascii="Calibri" w:eastAsia="Times New Roman" w:hAnsi="Calibri" w:cs="Calibri"/>
          <w:color w:val="FF0000"/>
          <w:sz w:val="24"/>
          <w:szCs w:val="24"/>
        </w:rPr>
        <w:t>The Joint BPS did not identify any additional standards work to address this area at this time</w:t>
      </w:r>
    </w:p>
    <w:p w14:paraId="4E41D481" w14:textId="1D7C13A4" w:rsidR="00342800" w:rsidRDefault="00557BC8" w:rsidP="0034280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BD1852">
        <w:rPr>
          <w:rFonts w:ascii="Calibri" w:eastAsia="Times New Roman" w:hAnsi="Calibri" w:cs="Calibri"/>
          <w:sz w:val="24"/>
          <w:szCs w:val="24"/>
        </w:rPr>
        <w:t xml:space="preserve">Because many end users </w:t>
      </w:r>
      <w:r w:rsidR="00252233" w:rsidRPr="00BD1852">
        <w:rPr>
          <w:rFonts w:ascii="Calibri" w:eastAsia="Times New Roman" w:hAnsi="Calibri" w:cs="Calibri"/>
          <w:sz w:val="24"/>
          <w:szCs w:val="24"/>
        </w:rPr>
        <w:t xml:space="preserve">purchase their gas </w:t>
      </w:r>
      <w:r w:rsidR="00C123D1" w:rsidRPr="00BD1852">
        <w:rPr>
          <w:rFonts w:ascii="Calibri" w:eastAsia="Times New Roman" w:hAnsi="Calibri" w:cs="Calibri"/>
          <w:sz w:val="24"/>
          <w:szCs w:val="24"/>
        </w:rPr>
        <w:t xml:space="preserve">from various parties </w:t>
      </w:r>
      <w:r w:rsidR="00584B20" w:rsidRPr="00BD1852">
        <w:rPr>
          <w:rFonts w:ascii="Calibri" w:eastAsia="Times New Roman" w:hAnsi="Calibri" w:cs="Calibri"/>
          <w:sz w:val="24"/>
          <w:szCs w:val="24"/>
        </w:rPr>
        <w:t xml:space="preserve">rather than </w:t>
      </w:r>
      <w:r w:rsidR="001A0FF0" w:rsidRPr="00BD1852">
        <w:rPr>
          <w:rFonts w:ascii="Calibri" w:eastAsia="Times New Roman" w:hAnsi="Calibri" w:cs="Calibri"/>
          <w:sz w:val="24"/>
          <w:szCs w:val="24"/>
        </w:rPr>
        <w:t>directly from producers</w:t>
      </w:r>
      <w:r w:rsidR="002C465B" w:rsidRPr="00BD1852">
        <w:rPr>
          <w:rFonts w:ascii="Calibri" w:eastAsia="Times New Roman" w:hAnsi="Calibri" w:cs="Calibri"/>
          <w:sz w:val="24"/>
          <w:szCs w:val="24"/>
        </w:rPr>
        <w:t xml:space="preserve"> and such gas can </w:t>
      </w:r>
      <w:r w:rsidR="0009076C" w:rsidRPr="00BD1852">
        <w:rPr>
          <w:rFonts w:ascii="Calibri" w:eastAsia="Times New Roman" w:hAnsi="Calibri" w:cs="Calibri"/>
          <w:sz w:val="24"/>
          <w:szCs w:val="24"/>
        </w:rPr>
        <w:t>be transacted multiple times (i.e.</w:t>
      </w:r>
      <w:r w:rsidR="00F824C9">
        <w:rPr>
          <w:rFonts w:ascii="Calibri" w:eastAsia="Times New Roman" w:hAnsi="Calibri" w:cs="Calibri"/>
          <w:sz w:val="24"/>
          <w:szCs w:val="24"/>
        </w:rPr>
        <w:t>,</w:t>
      </w:r>
      <w:r w:rsidR="0009076C" w:rsidRPr="00BD1852">
        <w:rPr>
          <w:rFonts w:ascii="Calibri" w:eastAsia="Times New Roman" w:hAnsi="Calibri" w:cs="Calibri"/>
          <w:sz w:val="24"/>
          <w:szCs w:val="24"/>
        </w:rPr>
        <w:t xml:space="preserve"> “daisy-chain”)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, </w:t>
      </w:r>
      <w:r w:rsidR="00342800" w:rsidRPr="00BD1852">
        <w:rPr>
          <w:rFonts w:ascii="Calibri" w:eastAsia="Times New Roman" w:hAnsi="Calibri" w:cs="Calibri"/>
          <w:sz w:val="24"/>
          <w:szCs w:val="24"/>
        </w:rPr>
        <w:lastRenderedPageBreak/>
        <w:t xml:space="preserve">certain </w:t>
      </w:r>
      <w:r w:rsidR="004A5511" w:rsidRPr="00BD1852">
        <w:rPr>
          <w:rFonts w:ascii="Calibri" w:eastAsia="Times New Roman" w:hAnsi="Calibri" w:cs="Calibri"/>
          <w:sz w:val="24"/>
          <w:szCs w:val="24"/>
        </w:rPr>
        <w:t xml:space="preserve">transactional </w:t>
      </w:r>
      <w:r w:rsidR="00342800" w:rsidRPr="00BD1852">
        <w:rPr>
          <w:rFonts w:ascii="Calibri" w:eastAsia="Times New Roman" w:hAnsi="Calibri" w:cs="Calibri"/>
          <w:sz w:val="24"/>
          <w:szCs w:val="24"/>
        </w:rPr>
        <w:t>communications</w:t>
      </w:r>
      <w:r w:rsidR="006A529C" w:rsidRPr="00BD1852">
        <w:rPr>
          <w:rFonts w:ascii="Calibri" w:eastAsia="Times New Roman" w:hAnsi="Calibri" w:cs="Calibri"/>
          <w:sz w:val="24"/>
          <w:szCs w:val="24"/>
        </w:rPr>
        <w:t>, even ones as critical as force majeure,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 may take </w:t>
      </w:r>
      <w:r w:rsidR="00E52347" w:rsidRPr="00BD1852">
        <w:rPr>
          <w:rFonts w:ascii="Calibri" w:eastAsia="Times New Roman" w:hAnsi="Calibri" w:cs="Calibri"/>
          <w:sz w:val="24"/>
          <w:szCs w:val="24"/>
        </w:rPr>
        <w:t xml:space="preserve">significant </w:t>
      </w:r>
      <w:r w:rsidR="00342800" w:rsidRPr="00BD1852">
        <w:rPr>
          <w:rFonts w:ascii="Calibri" w:eastAsia="Times New Roman" w:hAnsi="Calibri" w:cs="Calibri"/>
          <w:sz w:val="24"/>
          <w:szCs w:val="24"/>
        </w:rPr>
        <w:t>time</w:t>
      </w:r>
      <w:r w:rsidR="005C1053" w:rsidRPr="00BD1852">
        <w:rPr>
          <w:rFonts w:ascii="Calibri" w:eastAsia="Times New Roman" w:hAnsi="Calibri" w:cs="Calibri"/>
          <w:sz w:val="24"/>
          <w:szCs w:val="24"/>
        </w:rPr>
        <w:t xml:space="preserve"> (e.g.</w:t>
      </w:r>
      <w:r w:rsidR="00C06459" w:rsidRPr="00BD1852">
        <w:rPr>
          <w:rFonts w:ascii="Calibri" w:eastAsia="Times New Roman" w:hAnsi="Calibri" w:cs="Calibri"/>
          <w:sz w:val="24"/>
          <w:szCs w:val="24"/>
        </w:rPr>
        <w:t>,</w:t>
      </w:r>
      <w:r w:rsidR="005C1053" w:rsidRPr="00BD1852">
        <w:rPr>
          <w:rFonts w:ascii="Calibri" w:eastAsia="Times New Roman" w:hAnsi="Calibri" w:cs="Calibri"/>
          <w:sz w:val="24"/>
          <w:szCs w:val="24"/>
        </w:rPr>
        <w:t xml:space="preserve"> days)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 for information to flow through to all stakeholders</w:t>
      </w:r>
      <w:r w:rsidR="00E52347" w:rsidRPr="00BD1852">
        <w:rPr>
          <w:rFonts w:ascii="Calibri" w:eastAsia="Times New Roman" w:hAnsi="Calibri" w:cs="Calibri"/>
          <w:sz w:val="24"/>
          <w:szCs w:val="24"/>
        </w:rPr>
        <w:t>.</w:t>
      </w:r>
    </w:p>
    <w:p w14:paraId="6F560756" w14:textId="46F91CCD" w:rsidR="00CA18C1" w:rsidRPr="00F824C9" w:rsidRDefault="00F824C9" w:rsidP="00F824C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eastAsia="Times New Roman" w:hAnsi="Calibri" w:cs="Calibri"/>
          <w:color w:val="FF0000"/>
          <w:sz w:val="24"/>
          <w:szCs w:val="24"/>
        </w:rPr>
      </w:pPr>
      <w:r w:rsidRPr="00CA18C1">
        <w:rPr>
          <w:rFonts w:ascii="Calibri" w:eastAsia="Times New Roman" w:hAnsi="Calibri" w:cs="Calibri"/>
          <w:color w:val="FF0000"/>
          <w:sz w:val="24"/>
          <w:szCs w:val="24"/>
        </w:rPr>
        <w:t>The Joint BPS did not identify any additional standards work to address this area at this time</w:t>
      </w:r>
    </w:p>
    <w:p w14:paraId="74A08C65" w14:textId="2F747843" w:rsidR="00342800" w:rsidRDefault="00342800" w:rsidP="0034280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BD1852">
        <w:rPr>
          <w:rFonts w:ascii="Calibri" w:eastAsia="Times New Roman" w:hAnsi="Calibri" w:cs="Calibri"/>
          <w:sz w:val="24"/>
          <w:szCs w:val="24"/>
        </w:rPr>
        <w:t xml:space="preserve">Certain interstate pipeline Informational Postings lack specific location information to help parties better understand the </w:t>
      </w:r>
      <w:r w:rsidR="005A422C" w:rsidRPr="00BD1852">
        <w:rPr>
          <w:rFonts w:ascii="Calibri" w:eastAsia="Times New Roman" w:hAnsi="Calibri" w:cs="Calibri"/>
          <w:sz w:val="24"/>
          <w:szCs w:val="24"/>
        </w:rPr>
        <w:t>area covered by the posting</w:t>
      </w:r>
      <w:r w:rsidRPr="00BD1852">
        <w:rPr>
          <w:rFonts w:ascii="Calibri" w:eastAsia="Times New Roman" w:hAnsi="Calibri" w:cs="Calibri"/>
          <w:sz w:val="24"/>
          <w:szCs w:val="24"/>
        </w:rPr>
        <w:t xml:space="preserve">. </w:t>
      </w:r>
      <w:r w:rsidR="00F92A85" w:rsidRPr="00BD1852">
        <w:rPr>
          <w:rFonts w:ascii="Calibri" w:eastAsia="Times New Roman" w:hAnsi="Calibri" w:cs="Calibri"/>
          <w:sz w:val="24"/>
          <w:szCs w:val="24"/>
        </w:rPr>
        <w:t>(</w:t>
      </w:r>
      <w:r w:rsidRPr="00BD1852">
        <w:rPr>
          <w:rFonts w:ascii="Calibri" w:eastAsia="Times New Roman" w:hAnsi="Calibri" w:cs="Calibri"/>
          <w:sz w:val="24"/>
          <w:szCs w:val="24"/>
        </w:rPr>
        <w:t>This is currently being discussed by the joint subcommittees.</w:t>
      </w:r>
      <w:r w:rsidR="00F92A85" w:rsidRPr="00BD1852">
        <w:rPr>
          <w:rFonts w:ascii="Calibri" w:eastAsia="Times New Roman" w:hAnsi="Calibri" w:cs="Calibri"/>
          <w:sz w:val="24"/>
          <w:szCs w:val="24"/>
        </w:rPr>
        <w:t>)</w:t>
      </w:r>
    </w:p>
    <w:p w14:paraId="79FB47CC" w14:textId="4AC5BCE0" w:rsidR="00F824C9" w:rsidRPr="00BD1852" w:rsidRDefault="00F824C9" w:rsidP="00F824C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FF0000"/>
          <w:sz w:val="24"/>
          <w:szCs w:val="24"/>
        </w:rPr>
        <w:t>A recommendation was developed proposing new/revised WGQ Business Practice Standards and submitted for industry comment.</w:t>
      </w:r>
    </w:p>
    <w:p w14:paraId="4A5CD1E3" w14:textId="24606FEF" w:rsidR="00085219" w:rsidRDefault="001161CE" w:rsidP="00EB66B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BD1852">
        <w:rPr>
          <w:rFonts w:ascii="Calibri" w:eastAsia="Times New Roman" w:hAnsi="Calibri" w:cs="Calibri"/>
          <w:sz w:val="24"/>
          <w:szCs w:val="24"/>
        </w:rPr>
        <w:t xml:space="preserve">There </w:t>
      </w:r>
      <w:r w:rsidR="00566BD7" w:rsidRPr="00BD1852">
        <w:rPr>
          <w:rFonts w:ascii="Calibri" w:eastAsia="Times New Roman" w:hAnsi="Calibri" w:cs="Calibri"/>
          <w:sz w:val="24"/>
          <w:szCs w:val="24"/>
        </w:rPr>
        <w:t>may be</w:t>
      </w:r>
      <w:r w:rsidRPr="00BD1852">
        <w:rPr>
          <w:rFonts w:ascii="Calibri" w:eastAsia="Times New Roman" w:hAnsi="Calibri" w:cs="Calibri"/>
          <w:sz w:val="24"/>
          <w:szCs w:val="24"/>
        </w:rPr>
        <w:t xml:space="preserve"> l</w:t>
      </w:r>
      <w:r w:rsidR="00342800" w:rsidRPr="00BD1852">
        <w:rPr>
          <w:rFonts w:ascii="Calibri" w:eastAsia="Times New Roman" w:hAnsi="Calibri" w:cs="Calibri"/>
          <w:sz w:val="24"/>
          <w:szCs w:val="24"/>
        </w:rPr>
        <w:t>imited</w:t>
      </w:r>
      <w:r w:rsidR="00CA3A3F" w:rsidRPr="00BD1852">
        <w:rPr>
          <w:rFonts w:ascii="Calibri" w:eastAsia="Times New Roman" w:hAnsi="Calibri" w:cs="Calibri"/>
          <w:sz w:val="24"/>
          <w:szCs w:val="24"/>
        </w:rPr>
        <w:t xml:space="preserve"> stakeholder </w:t>
      </w:r>
      <w:r w:rsidR="00F65430" w:rsidRPr="00BD1852">
        <w:rPr>
          <w:rFonts w:ascii="Calibri" w:eastAsia="Times New Roman" w:hAnsi="Calibri" w:cs="Calibri"/>
          <w:sz w:val="24"/>
          <w:szCs w:val="24"/>
        </w:rPr>
        <w:t>distribution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 and/or </w:t>
      </w:r>
      <w:r w:rsidR="00AF7881" w:rsidRPr="00BD1852">
        <w:rPr>
          <w:rFonts w:ascii="Calibri" w:eastAsia="Times New Roman" w:hAnsi="Calibri" w:cs="Calibri"/>
          <w:sz w:val="24"/>
          <w:szCs w:val="24"/>
        </w:rPr>
        <w:t>unclear</w:t>
      </w:r>
      <w:r w:rsidR="0085739C" w:rsidRPr="00BD1852">
        <w:rPr>
          <w:rFonts w:ascii="Calibri" w:eastAsia="Times New Roman" w:hAnsi="Calibri" w:cs="Calibri"/>
          <w:sz w:val="24"/>
          <w:szCs w:val="24"/>
        </w:rPr>
        <w:t xml:space="preserve"> and/or </w:t>
      </w:r>
      <w:r w:rsidR="00342800" w:rsidRPr="00BD1852">
        <w:rPr>
          <w:rFonts w:ascii="Calibri" w:eastAsia="Times New Roman" w:hAnsi="Calibri" w:cs="Calibri"/>
          <w:sz w:val="24"/>
          <w:szCs w:val="24"/>
        </w:rPr>
        <w:t>no communication of recovery timelines and expectations when supply is lost due to weather and/or operational disruptions.</w:t>
      </w:r>
      <w:r w:rsidR="00EB66B5" w:rsidRPr="00BD1852">
        <w:rPr>
          <w:rFonts w:ascii="Calibri" w:eastAsia="Times New Roman" w:hAnsi="Calibri" w:cs="Calibri"/>
          <w:sz w:val="24"/>
          <w:szCs w:val="24"/>
        </w:rPr>
        <w:t xml:space="preserve"> For example, i</w:t>
      </w:r>
      <w:r w:rsidR="00EB371D" w:rsidRPr="00BD1852">
        <w:rPr>
          <w:rFonts w:ascii="Calibri" w:eastAsia="Times New Roman" w:hAnsi="Calibri" w:cs="Calibri"/>
          <w:sz w:val="24"/>
          <w:szCs w:val="24"/>
        </w:rPr>
        <w:t xml:space="preserve">nterstate natural gas pipelines </w:t>
      </w:r>
      <w:r w:rsidR="00D664A2" w:rsidRPr="00BD1852">
        <w:rPr>
          <w:rFonts w:ascii="Calibri" w:eastAsia="Times New Roman" w:hAnsi="Calibri" w:cs="Calibri"/>
          <w:sz w:val="24"/>
          <w:szCs w:val="24"/>
        </w:rPr>
        <w:t xml:space="preserve">may observe a difference </w:t>
      </w:r>
      <w:r w:rsidR="00085219" w:rsidRPr="00BD1852">
        <w:rPr>
          <w:rFonts w:ascii="Calibri" w:eastAsia="Times New Roman" w:hAnsi="Calibri" w:cs="Calibri"/>
          <w:sz w:val="24"/>
          <w:szCs w:val="24"/>
        </w:rPr>
        <w:t>between shipper nominations and actual gas flows</w:t>
      </w:r>
      <w:r w:rsidR="00845B90" w:rsidRPr="00BD1852">
        <w:rPr>
          <w:rFonts w:ascii="Calibri" w:eastAsia="Times New Roman" w:hAnsi="Calibri" w:cs="Calibri"/>
          <w:sz w:val="24"/>
          <w:szCs w:val="24"/>
        </w:rPr>
        <w:t xml:space="preserve"> or system pressure</w:t>
      </w:r>
      <w:r w:rsidR="00A81A74" w:rsidRPr="00BD1852">
        <w:rPr>
          <w:rFonts w:ascii="Calibri" w:eastAsia="Times New Roman" w:hAnsi="Calibri" w:cs="Calibri"/>
          <w:sz w:val="24"/>
          <w:szCs w:val="24"/>
        </w:rPr>
        <w:t xml:space="preserve"> changes</w:t>
      </w:r>
      <w:r w:rsidR="00085219" w:rsidRPr="00BD1852">
        <w:rPr>
          <w:rFonts w:ascii="Calibri" w:eastAsia="Times New Roman" w:hAnsi="Calibri" w:cs="Calibri"/>
          <w:sz w:val="24"/>
          <w:szCs w:val="24"/>
        </w:rPr>
        <w:t>.</w:t>
      </w:r>
      <w:r w:rsidR="00EB66B5" w:rsidRPr="00BD1852">
        <w:rPr>
          <w:rFonts w:ascii="Calibri" w:eastAsia="Times New Roman" w:hAnsi="Calibri" w:cs="Calibri"/>
          <w:sz w:val="24"/>
          <w:szCs w:val="24"/>
        </w:rPr>
        <w:t xml:space="preserve"> </w:t>
      </w:r>
      <w:r w:rsidR="00085219" w:rsidRPr="00BD1852">
        <w:rPr>
          <w:rFonts w:ascii="Calibri" w:eastAsia="Times New Roman" w:hAnsi="Calibri" w:cs="Calibri"/>
          <w:sz w:val="24"/>
          <w:szCs w:val="24"/>
        </w:rPr>
        <w:t xml:space="preserve">While the difference might indicate </w:t>
      </w:r>
      <w:r w:rsidR="00947F3B" w:rsidRPr="00BD1852">
        <w:rPr>
          <w:rFonts w:ascii="Calibri" w:eastAsia="Times New Roman" w:hAnsi="Calibri" w:cs="Calibri"/>
          <w:sz w:val="24"/>
          <w:szCs w:val="24"/>
        </w:rPr>
        <w:t xml:space="preserve">supply disruptions upstream, </w:t>
      </w:r>
      <w:r w:rsidR="00BF1FBB" w:rsidRPr="00BD1852">
        <w:rPr>
          <w:rFonts w:ascii="Calibri" w:eastAsia="Times New Roman" w:hAnsi="Calibri" w:cs="Calibri"/>
          <w:sz w:val="24"/>
          <w:szCs w:val="24"/>
        </w:rPr>
        <w:t xml:space="preserve">the difference </w:t>
      </w:r>
      <w:r w:rsidR="000C673F" w:rsidRPr="00BD1852">
        <w:rPr>
          <w:rFonts w:ascii="Calibri" w:eastAsia="Times New Roman" w:hAnsi="Calibri" w:cs="Calibri"/>
          <w:sz w:val="24"/>
          <w:szCs w:val="24"/>
        </w:rPr>
        <w:t xml:space="preserve">does not indicate what is occurring or the </w:t>
      </w:r>
      <w:r w:rsidR="0040594C" w:rsidRPr="00BD1852">
        <w:rPr>
          <w:rFonts w:ascii="Calibri" w:eastAsia="Times New Roman" w:hAnsi="Calibri" w:cs="Calibri"/>
          <w:sz w:val="24"/>
          <w:szCs w:val="24"/>
        </w:rPr>
        <w:t xml:space="preserve">anticipated </w:t>
      </w:r>
      <w:r w:rsidR="000C673F" w:rsidRPr="00BD1852">
        <w:rPr>
          <w:rFonts w:ascii="Calibri" w:eastAsia="Times New Roman" w:hAnsi="Calibri" w:cs="Calibri"/>
          <w:sz w:val="24"/>
          <w:szCs w:val="24"/>
        </w:rPr>
        <w:t xml:space="preserve">length </w:t>
      </w:r>
      <w:r w:rsidR="0040594C" w:rsidRPr="00BD1852">
        <w:rPr>
          <w:rFonts w:ascii="Calibri" w:eastAsia="Times New Roman" w:hAnsi="Calibri" w:cs="Calibri"/>
          <w:sz w:val="24"/>
          <w:szCs w:val="24"/>
        </w:rPr>
        <w:t>of the event.</w:t>
      </w:r>
    </w:p>
    <w:p w14:paraId="24698B54" w14:textId="1CFD7C29" w:rsidR="008211DF" w:rsidRPr="008211DF" w:rsidRDefault="008211DF" w:rsidP="008211DF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eastAsia="Times New Roman" w:hAnsi="Calibri" w:cs="Calibri"/>
          <w:color w:val="FF0000"/>
          <w:sz w:val="24"/>
          <w:szCs w:val="24"/>
        </w:rPr>
      </w:pPr>
      <w:r w:rsidRPr="00CA18C1">
        <w:rPr>
          <w:rFonts w:ascii="Calibri" w:eastAsia="Times New Roman" w:hAnsi="Calibri" w:cs="Calibri"/>
          <w:color w:val="FF0000"/>
          <w:sz w:val="24"/>
          <w:szCs w:val="24"/>
        </w:rPr>
        <w:t>The Joint BPS did not identify any additional standards work to address this area at this time</w:t>
      </w:r>
    </w:p>
    <w:p w14:paraId="48B99FDE" w14:textId="68D16454" w:rsidR="001E6D71" w:rsidRDefault="002B099C" w:rsidP="00AE1BD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BD1852">
        <w:rPr>
          <w:rFonts w:ascii="Calibri" w:eastAsia="Times New Roman" w:hAnsi="Calibri" w:cs="Calibri"/>
          <w:sz w:val="24"/>
          <w:szCs w:val="24"/>
        </w:rPr>
        <w:t>There may be l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imited and/or </w:t>
      </w:r>
      <w:r w:rsidR="00540A3E" w:rsidRPr="00BD1852">
        <w:rPr>
          <w:rFonts w:ascii="Calibri" w:eastAsia="Times New Roman" w:hAnsi="Calibri" w:cs="Calibri"/>
          <w:sz w:val="24"/>
          <w:szCs w:val="24"/>
        </w:rPr>
        <w:t>delayed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 communication </w:t>
      </w:r>
      <w:r w:rsidR="00EB66B5" w:rsidRPr="00BD1852">
        <w:rPr>
          <w:rFonts w:ascii="Calibri" w:eastAsia="Times New Roman" w:hAnsi="Calibri" w:cs="Calibri"/>
          <w:sz w:val="24"/>
          <w:szCs w:val="24"/>
        </w:rPr>
        <w:t xml:space="preserve">from end-users to pipeline operators 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of non-ratable </w:t>
      </w:r>
      <w:r w:rsidR="00945DE4" w:rsidRPr="00BD1852">
        <w:rPr>
          <w:rFonts w:ascii="Calibri" w:eastAsia="Times New Roman" w:hAnsi="Calibri" w:cs="Calibri"/>
          <w:sz w:val="24"/>
          <w:szCs w:val="24"/>
        </w:rPr>
        <w:t xml:space="preserve">or other 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consumption </w:t>
      </w:r>
      <w:r w:rsidR="00EB66B5" w:rsidRPr="00BD1852">
        <w:rPr>
          <w:rFonts w:ascii="Calibri" w:eastAsia="Times New Roman" w:hAnsi="Calibri" w:cs="Calibri"/>
          <w:sz w:val="24"/>
          <w:szCs w:val="24"/>
        </w:rPr>
        <w:t xml:space="preserve">patterns </w:t>
      </w:r>
      <w:r w:rsidR="00342800" w:rsidRPr="00BD1852">
        <w:rPr>
          <w:rFonts w:ascii="Calibri" w:eastAsia="Times New Roman" w:hAnsi="Calibri" w:cs="Calibri"/>
          <w:sz w:val="24"/>
          <w:szCs w:val="24"/>
        </w:rPr>
        <w:t>that deviate</w:t>
      </w:r>
      <w:r w:rsidR="00342800" w:rsidRPr="00BD1852">
        <w:rPr>
          <w:rFonts w:ascii="Calibri" w:eastAsia="Times New Roman" w:hAnsi="Calibri" w:cs="Calibri"/>
          <w:strike/>
          <w:sz w:val="24"/>
          <w:szCs w:val="24"/>
        </w:rPr>
        <w:t>s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 from contractual commitments.</w:t>
      </w:r>
    </w:p>
    <w:p w14:paraId="2839E653" w14:textId="24DCE977" w:rsidR="008211DF" w:rsidRPr="008211DF" w:rsidRDefault="008211DF" w:rsidP="008211DF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eastAsia="Times New Roman" w:hAnsi="Calibri" w:cs="Calibri"/>
          <w:color w:val="FF0000"/>
          <w:sz w:val="24"/>
          <w:szCs w:val="24"/>
        </w:rPr>
      </w:pPr>
      <w:r w:rsidRPr="00CA18C1">
        <w:rPr>
          <w:rFonts w:ascii="Calibri" w:eastAsia="Times New Roman" w:hAnsi="Calibri" w:cs="Calibri"/>
          <w:color w:val="FF0000"/>
          <w:sz w:val="24"/>
          <w:szCs w:val="24"/>
        </w:rPr>
        <w:t>The Joint BPS did not identify any additional standards work to address this area at this time</w:t>
      </w:r>
    </w:p>
    <w:p w14:paraId="463C9860" w14:textId="471549CD" w:rsidR="00342800" w:rsidRDefault="00EB66B5" w:rsidP="00AE1BD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BD1852">
        <w:rPr>
          <w:rFonts w:ascii="Calibri" w:eastAsia="Times New Roman" w:hAnsi="Calibri" w:cs="Calibri"/>
          <w:sz w:val="24"/>
          <w:szCs w:val="24"/>
        </w:rPr>
        <w:t>There may be l</w:t>
      </w:r>
      <w:r w:rsidR="00342800" w:rsidRPr="00BD1852">
        <w:rPr>
          <w:rFonts w:ascii="Calibri" w:eastAsia="Times New Roman" w:hAnsi="Calibri" w:cs="Calibri"/>
          <w:sz w:val="24"/>
          <w:szCs w:val="24"/>
        </w:rPr>
        <w:t xml:space="preserve">imited understanding of pipeline-initiated confirmation and/or nominations reductions </w:t>
      </w:r>
      <w:r w:rsidR="00342800">
        <w:rPr>
          <w:rFonts w:ascii="Calibri" w:eastAsia="Times New Roman" w:hAnsi="Calibri" w:cs="Calibri"/>
          <w:sz w:val="24"/>
          <w:szCs w:val="24"/>
        </w:rPr>
        <w:t xml:space="preserve">that are not captured in </w:t>
      </w:r>
      <w:proofErr w:type="spellStart"/>
      <w:r w:rsidR="00342800">
        <w:rPr>
          <w:rFonts w:ascii="Calibri" w:eastAsia="Times New Roman" w:hAnsi="Calibri" w:cs="Calibri"/>
          <w:sz w:val="24"/>
          <w:szCs w:val="24"/>
        </w:rPr>
        <w:t>OFO</w:t>
      </w:r>
      <w:r w:rsidR="001B0FEF">
        <w:rPr>
          <w:rFonts w:ascii="Calibri" w:eastAsia="Times New Roman" w:hAnsi="Calibri" w:cs="Calibri"/>
          <w:sz w:val="24"/>
          <w:szCs w:val="24"/>
        </w:rPr>
        <w:t>s</w:t>
      </w:r>
      <w:proofErr w:type="spellEnd"/>
      <w:r w:rsidR="00342800">
        <w:rPr>
          <w:rFonts w:ascii="Calibri" w:eastAsia="Times New Roman" w:hAnsi="Calibri" w:cs="Calibri"/>
          <w:sz w:val="24"/>
          <w:szCs w:val="24"/>
        </w:rPr>
        <w:t xml:space="preserve"> and/or underperformance notices</w:t>
      </w:r>
      <w:r w:rsidR="001B0FEF">
        <w:rPr>
          <w:rFonts w:ascii="Calibri" w:eastAsia="Times New Roman" w:hAnsi="Calibri" w:cs="Calibri"/>
          <w:sz w:val="24"/>
          <w:szCs w:val="24"/>
        </w:rPr>
        <w:t xml:space="preserve"> as this is </w:t>
      </w:r>
      <w:r w:rsidR="00342800">
        <w:rPr>
          <w:rFonts w:ascii="Calibri" w:eastAsia="Times New Roman" w:hAnsi="Calibri" w:cs="Calibri"/>
          <w:sz w:val="24"/>
          <w:szCs w:val="24"/>
        </w:rPr>
        <w:t>hard to discern from operationally available data</w:t>
      </w:r>
      <w:r w:rsidR="001B0FEF">
        <w:rPr>
          <w:rFonts w:ascii="Calibri" w:eastAsia="Times New Roman" w:hAnsi="Calibri" w:cs="Calibri"/>
          <w:sz w:val="24"/>
          <w:szCs w:val="24"/>
        </w:rPr>
        <w:t>.</w:t>
      </w:r>
    </w:p>
    <w:p w14:paraId="61D27D4A" w14:textId="04FEC597" w:rsidR="008211DF" w:rsidRPr="008211DF" w:rsidRDefault="008211DF" w:rsidP="008211DF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eastAsia="Times New Roman" w:hAnsi="Calibri" w:cs="Calibri"/>
          <w:color w:val="FF0000"/>
          <w:sz w:val="24"/>
          <w:szCs w:val="24"/>
        </w:rPr>
      </w:pPr>
      <w:r w:rsidRPr="00CA18C1">
        <w:rPr>
          <w:rFonts w:ascii="Calibri" w:eastAsia="Times New Roman" w:hAnsi="Calibri" w:cs="Calibri"/>
          <w:color w:val="FF0000"/>
          <w:sz w:val="24"/>
          <w:szCs w:val="24"/>
        </w:rPr>
        <w:t>The Joint BPS did not identify any additional standards work to address this area at this time</w:t>
      </w:r>
    </w:p>
    <w:p w14:paraId="52845196" w14:textId="77777777" w:rsidR="00362BCA" w:rsidRDefault="00362BCA" w:rsidP="00362BC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A572F6A" w14:textId="77777777" w:rsidR="00C16C51" w:rsidRPr="00EE4B77" w:rsidRDefault="00C16C51" w:rsidP="00C16C51">
      <w:pPr>
        <w:rPr>
          <w:u w:val="single"/>
        </w:rPr>
      </w:pPr>
      <w:r w:rsidRPr="00EE4B77">
        <w:rPr>
          <w:u w:val="single"/>
        </w:rPr>
        <w:t>Industry Engagement</w:t>
      </w:r>
    </w:p>
    <w:p w14:paraId="7DC2F568" w14:textId="4FAFBCA7" w:rsidR="00C16C51" w:rsidRDefault="00C16C51" w:rsidP="00C16C51">
      <w:r>
        <w:t xml:space="preserve">The following industry representatives were contacted </w:t>
      </w:r>
      <w:r w:rsidR="003853D4">
        <w:t>and/</w:t>
      </w:r>
      <w:r>
        <w:t xml:space="preserve">or engaged during the development of this whitepaper. Engagement should not be considered endorsement of </w:t>
      </w:r>
      <w:r w:rsidR="000415EF">
        <w:t>everything captured in</w:t>
      </w:r>
      <w:r w:rsidR="00EA732B">
        <w:t xml:space="preserve"> </w:t>
      </w:r>
      <w:r>
        <w:t xml:space="preserve">this work paper </w:t>
      </w:r>
      <w:r w:rsidR="00B47183">
        <w:t xml:space="preserve">or that any of these </w:t>
      </w:r>
      <w:r w:rsidR="00A008E4">
        <w:t xml:space="preserve">require a specific solution. </w:t>
      </w:r>
      <w:r w:rsidR="00A25215">
        <w:t>These concepts are</w:t>
      </w:r>
      <w:r w:rsidR="00871C27">
        <w:t xml:space="preserve"> simply</w:t>
      </w:r>
      <w:r w:rsidR="00A25215">
        <w:t xml:space="preserve"> presented </w:t>
      </w:r>
      <w:r>
        <w:t xml:space="preserve">for </w:t>
      </w:r>
      <w:r w:rsidR="00AD2732">
        <w:t xml:space="preserve">solution </w:t>
      </w:r>
      <w:r>
        <w:t>consideration by the Joint</w:t>
      </w:r>
      <w:r w:rsidR="00BB0BA3">
        <w:t xml:space="preserve"> BPS’</w:t>
      </w:r>
      <w:r w:rsidR="003C1FC9">
        <w:t>s</w:t>
      </w:r>
      <w:r w:rsidR="008F45AC">
        <w:t xml:space="preserve"> and in aid of a more efficient discussion</w:t>
      </w:r>
      <w:r>
        <w:t>.</w:t>
      </w:r>
    </w:p>
    <w:p w14:paraId="79129504" w14:textId="2DD88841" w:rsidR="00362BCA" w:rsidRPr="001C0C45" w:rsidRDefault="00AB35CB" w:rsidP="00EE4B77">
      <w:r>
        <w:t xml:space="preserve">AGA, ConocoPhillips, </w:t>
      </w:r>
      <w:proofErr w:type="spellStart"/>
      <w:r>
        <w:t>CTG</w:t>
      </w:r>
      <w:proofErr w:type="spellEnd"/>
      <w:r>
        <w:t xml:space="preserve"> Corp. </w:t>
      </w:r>
      <w:proofErr w:type="spellStart"/>
      <w:r>
        <w:t>DTE</w:t>
      </w:r>
      <w:proofErr w:type="spellEnd"/>
      <w:r>
        <w:t xml:space="preserve"> Energy, Duke Energy, Enbridge, </w:t>
      </w:r>
      <w:proofErr w:type="spellStart"/>
      <w:r>
        <w:t>EPSA</w:t>
      </w:r>
      <w:proofErr w:type="spellEnd"/>
      <w:r>
        <w:t xml:space="preserve">, </w:t>
      </w:r>
      <w:proofErr w:type="spellStart"/>
      <w:r>
        <w:t>Evergy</w:t>
      </w:r>
      <w:proofErr w:type="spellEnd"/>
      <w:r>
        <w:t xml:space="preserve">, INGAA, Kinder Morgan, </w:t>
      </w:r>
      <w:proofErr w:type="spellStart"/>
      <w:r>
        <w:t>LG&amp;E</w:t>
      </w:r>
      <w:proofErr w:type="spellEnd"/>
      <w:r>
        <w:t xml:space="preserve"> and KU, </w:t>
      </w:r>
      <w:proofErr w:type="spellStart"/>
      <w:r>
        <w:t>NCUC</w:t>
      </w:r>
      <w:proofErr w:type="spellEnd"/>
      <w:r w:rsidR="0016328A">
        <w:t xml:space="preserve">, </w:t>
      </w:r>
      <w:proofErr w:type="spellStart"/>
      <w:r w:rsidR="00ED0385">
        <w:t>NGSA</w:t>
      </w:r>
      <w:proofErr w:type="spellEnd"/>
      <w:r w:rsidR="00ED0385">
        <w:t xml:space="preserve">, </w:t>
      </w:r>
      <w:r w:rsidR="0016328A">
        <w:t xml:space="preserve">PJM, </w:t>
      </w:r>
      <w:proofErr w:type="spellStart"/>
      <w:r w:rsidR="0016328A">
        <w:t>SPP</w:t>
      </w:r>
      <w:proofErr w:type="spellEnd"/>
      <w:r w:rsidR="0016328A">
        <w:t>, SRP Net, TC Energy, Xcel Energy</w:t>
      </w:r>
      <w:r w:rsidR="00FD0097">
        <w:t>.</w:t>
      </w:r>
    </w:p>
    <w:p w14:paraId="7AFA24D8" w14:textId="77777777" w:rsidR="00366356" w:rsidRDefault="00366356"/>
    <w:sectPr w:rsidR="0036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56EA4"/>
    <w:multiLevelType w:val="hybridMultilevel"/>
    <w:tmpl w:val="F49E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00"/>
    <w:rsid w:val="00002F0E"/>
    <w:rsid w:val="000158E6"/>
    <w:rsid w:val="0002328C"/>
    <w:rsid w:val="00040B9F"/>
    <w:rsid w:val="000415EF"/>
    <w:rsid w:val="00054336"/>
    <w:rsid w:val="00055579"/>
    <w:rsid w:val="00062342"/>
    <w:rsid w:val="00085219"/>
    <w:rsid w:val="0009076C"/>
    <w:rsid w:val="00093568"/>
    <w:rsid w:val="000A77F5"/>
    <w:rsid w:val="000A7818"/>
    <w:rsid w:val="000B66DF"/>
    <w:rsid w:val="000C673F"/>
    <w:rsid w:val="000E0DF7"/>
    <w:rsid w:val="000E2032"/>
    <w:rsid w:val="000F30C2"/>
    <w:rsid w:val="00114E58"/>
    <w:rsid w:val="00115E18"/>
    <w:rsid w:val="001161CE"/>
    <w:rsid w:val="00116CCE"/>
    <w:rsid w:val="00135548"/>
    <w:rsid w:val="00135A85"/>
    <w:rsid w:val="00141A64"/>
    <w:rsid w:val="0016328A"/>
    <w:rsid w:val="0016333A"/>
    <w:rsid w:val="001876ED"/>
    <w:rsid w:val="0019563F"/>
    <w:rsid w:val="001A0FF0"/>
    <w:rsid w:val="001A1EBB"/>
    <w:rsid w:val="001A6AC5"/>
    <w:rsid w:val="001B0992"/>
    <w:rsid w:val="001B0FEF"/>
    <w:rsid w:val="001B6DB6"/>
    <w:rsid w:val="001C0C45"/>
    <w:rsid w:val="001D12DB"/>
    <w:rsid w:val="001E6D71"/>
    <w:rsid w:val="001F5FFE"/>
    <w:rsid w:val="0020002A"/>
    <w:rsid w:val="00207AC1"/>
    <w:rsid w:val="00227580"/>
    <w:rsid w:val="00232646"/>
    <w:rsid w:val="0023517E"/>
    <w:rsid w:val="00243D2E"/>
    <w:rsid w:val="00252233"/>
    <w:rsid w:val="00260A76"/>
    <w:rsid w:val="00270F17"/>
    <w:rsid w:val="002A7130"/>
    <w:rsid w:val="002B099C"/>
    <w:rsid w:val="002C465B"/>
    <w:rsid w:val="002D7276"/>
    <w:rsid w:val="002D7D8C"/>
    <w:rsid w:val="002E1DD1"/>
    <w:rsid w:val="002E4AD6"/>
    <w:rsid w:val="002F2E99"/>
    <w:rsid w:val="002F2F50"/>
    <w:rsid w:val="003009F1"/>
    <w:rsid w:val="003111C8"/>
    <w:rsid w:val="00325312"/>
    <w:rsid w:val="00333AFD"/>
    <w:rsid w:val="00340E6F"/>
    <w:rsid w:val="003419A7"/>
    <w:rsid w:val="00342800"/>
    <w:rsid w:val="00347755"/>
    <w:rsid w:val="00350F81"/>
    <w:rsid w:val="003517B4"/>
    <w:rsid w:val="00351FF2"/>
    <w:rsid w:val="00353222"/>
    <w:rsid w:val="00354E97"/>
    <w:rsid w:val="00362BCA"/>
    <w:rsid w:val="00362EF3"/>
    <w:rsid w:val="003640CC"/>
    <w:rsid w:val="00364A89"/>
    <w:rsid w:val="0036624B"/>
    <w:rsid w:val="00366356"/>
    <w:rsid w:val="00371887"/>
    <w:rsid w:val="00372F2A"/>
    <w:rsid w:val="003853D4"/>
    <w:rsid w:val="00394263"/>
    <w:rsid w:val="003961FD"/>
    <w:rsid w:val="00397EF3"/>
    <w:rsid w:val="003A2144"/>
    <w:rsid w:val="003A76FD"/>
    <w:rsid w:val="003C1FC9"/>
    <w:rsid w:val="003C4A18"/>
    <w:rsid w:val="003D0BA4"/>
    <w:rsid w:val="003D5089"/>
    <w:rsid w:val="003E2CA2"/>
    <w:rsid w:val="003F00D9"/>
    <w:rsid w:val="0040130C"/>
    <w:rsid w:val="0040594C"/>
    <w:rsid w:val="004354B7"/>
    <w:rsid w:val="00446322"/>
    <w:rsid w:val="00492F12"/>
    <w:rsid w:val="00495436"/>
    <w:rsid w:val="004A5511"/>
    <w:rsid w:val="004C2FB1"/>
    <w:rsid w:val="004C3B9D"/>
    <w:rsid w:val="004C6774"/>
    <w:rsid w:val="004C7A76"/>
    <w:rsid w:val="004D0DBB"/>
    <w:rsid w:val="004D17B9"/>
    <w:rsid w:val="004E1387"/>
    <w:rsid w:val="004E15F2"/>
    <w:rsid w:val="004E1A27"/>
    <w:rsid w:val="004F2925"/>
    <w:rsid w:val="004F406E"/>
    <w:rsid w:val="005048E5"/>
    <w:rsid w:val="005060D4"/>
    <w:rsid w:val="00517DE9"/>
    <w:rsid w:val="00520C97"/>
    <w:rsid w:val="00521195"/>
    <w:rsid w:val="00527EF1"/>
    <w:rsid w:val="00534372"/>
    <w:rsid w:val="00540A3E"/>
    <w:rsid w:val="00543CA0"/>
    <w:rsid w:val="00557BC8"/>
    <w:rsid w:val="00561095"/>
    <w:rsid w:val="00566BD7"/>
    <w:rsid w:val="00584B20"/>
    <w:rsid w:val="00590958"/>
    <w:rsid w:val="005A3E66"/>
    <w:rsid w:val="005A422C"/>
    <w:rsid w:val="005A566A"/>
    <w:rsid w:val="005A76FB"/>
    <w:rsid w:val="005B2CD9"/>
    <w:rsid w:val="005C1053"/>
    <w:rsid w:val="005F471D"/>
    <w:rsid w:val="00653664"/>
    <w:rsid w:val="00662779"/>
    <w:rsid w:val="006628E9"/>
    <w:rsid w:val="00670764"/>
    <w:rsid w:val="006A529C"/>
    <w:rsid w:val="006B2466"/>
    <w:rsid w:val="006C57FF"/>
    <w:rsid w:val="006C5FF7"/>
    <w:rsid w:val="006D62D1"/>
    <w:rsid w:val="006D7863"/>
    <w:rsid w:val="006F23B6"/>
    <w:rsid w:val="006F68ED"/>
    <w:rsid w:val="007035ED"/>
    <w:rsid w:val="00710695"/>
    <w:rsid w:val="00716B88"/>
    <w:rsid w:val="00740E67"/>
    <w:rsid w:val="00751F6C"/>
    <w:rsid w:val="00756101"/>
    <w:rsid w:val="00772ECD"/>
    <w:rsid w:val="007A13C2"/>
    <w:rsid w:val="007A307C"/>
    <w:rsid w:val="007C5705"/>
    <w:rsid w:val="007D5875"/>
    <w:rsid w:val="007E5843"/>
    <w:rsid w:val="007F4476"/>
    <w:rsid w:val="007F46FE"/>
    <w:rsid w:val="00804F31"/>
    <w:rsid w:val="008136E0"/>
    <w:rsid w:val="00815415"/>
    <w:rsid w:val="008211DF"/>
    <w:rsid w:val="0082551F"/>
    <w:rsid w:val="00830EE4"/>
    <w:rsid w:val="00834E85"/>
    <w:rsid w:val="00836ABB"/>
    <w:rsid w:val="008414A0"/>
    <w:rsid w:val="00845B90"/>
    <w:rsid w:val="0085739C"/>
    <w:rsid w:val="00871C27"/>
    <w:rsid w:val="00882A10"/>
    <w:rsid w:val="008B149F"/>
    <w:rsid w:val="008F45AC"/>
    <w:rsid w:val="00913D50"/>
    <w:rsid w:val="00941428"/>
    <w:rsid w:val="00942533"/>
    <w:rsid w:val="00943615"/>
    <w:rsid w:val="00945DE4"/>
    <w:rsid w:val="00947F3B"/>
    <w:rsid w:val="0095125F"/>
    <w:rsid w:val="00980C84"/>
    <w:rsid w:val="00993706"/>
    <w:rsid w:val="0099783B"/>
    <w:rsid w:val="009A15CD"/>
    <w:rsid w:val="009A6270"/>
    <w:rsid w:val="009B0CCC"/>
    <w:rsid w:val="009F5DA2"/>
    <w:rsid w:val="00A008E4"/>
    <w:rsid w:val="00A25215"/>
    <w:rsid w:val="00A315E5"/>
    <w:rsid w:val="00A334B2"/>
    <w:rsid w:val="00A407DF"/>
    <w:rsid w:val="00A51CA9"/>
    <w:rsid w:val="00A81A74"/>
    <w:rsid w:val="00A85AAC"/>
    <w:rsid w:val="00AA4C70"/>
    <w:rsid w:val="00AB35CB"/>
    <w:rsid w:val="00AC1B95"/>
    <w:rsid w:val="00AC4D4B"/>
    <w:rsid w:val="00AD2732"/>
    <w:rsid w:val="00AE1BDE"/>
    <w:rsid w:val="00AE6DCD"/>
    <w:rsid w:val="00AF7881"/>
    <w:rsid w:val="00AF7B21"/>
    <w:rsid w:val="00AF7C2C"/>
    <w:rsid w:val="00B21B54"/>
    <w:rsid w:val="00B23947"/>
    <w:rsid w:val="00B35FF2"/>
    <w:rsid w:val="00B47183"/>
    <w:rsid w:val="00B54E72"/>
    <w:rsid w:val="00B700A9"/>
    <w:rsid w:val="00B8229B"/>
    <w:rsid w:val="00B829B0"/>
    <w:rsid w:val="00B94D62"/>
    <w:rsid w:val="00BA1742"/>
    <w:rsid w:val="00BB0BA3"/>
    <w:rsid w:val="00BC1591"/>
    <w:rsid w:val="00BC640D"/>
    <w:rsid w:val="00BD1852"/>
    <w:rsid w:val="00BD6F58"/>
    <w:rsid w:val="00BE3C02"/>
    <w:rsid w:val="00BF1FBB"/>
    <w:rsid w:val="00BF394C"/>
    <w:rsid w:val="00BF5C07"/>
    <w:rsid w:val="00C06459"/>
    <w:rsid w:val="00C123D1"/>
    <w:rsid w:val="00C13118"/>
    <w:rsid w:val="00C16C51"/>
    <w:rsid w:val="00C17188"/>
    <w:rsid w:val="00C31810"/>
    <w:rsid w:val="00C40517"/>
    <w:rsid w:val="00C460AE"/>
    <w:rsid w:val="00C460BF"/>
    <w:rsid w:val="00C71C46"/>
    <w:rsid w:val="00C85C4B"/>
    <w:rsid w:val="00CA18C1"/>
    <w:rsid w:val="00CA3A3F"/>
    <w:rsid w:val="00CA72D6"/>
    <w:rsid w:val="00CE20D7"/>
    <w:rsid w:val="00CE503D"/>
    <w:rsid w:val="00D12012"/>
    <w:rsid w:val="00D664A2"/>
    <w:rsid w:val="00D7355D"/>
    <w:rsid w:val="00D73EB9"/>
    <w:rsid w:val="00D97BD6"/>
    <w:rsid w:val="00DC3907"/>
    <w:rsid w:val="00DC3CF6"/>
    <w:rsid w:val="00DD0A7B"/>
    <w:rsid w:val="00DE696F"/>
    <w:rsid w:val="00DE75B0"/>
    <w:rsid w:val="00DF5244"/>
    <w:rsid w:val="00DF5538"/>
    <w:rsid w:val="00DF558D"/>
    <w:rsid w:val="00E11A76"/>
    <w:rsid w:val="00E15A5C"/>
    <w:rsid w:val="00E21AEC"/>
    <w:rsid w:val="00E30088"/>
    <w:rsid w:val="00E314BB"/>
    <w:rsid w:val="00E3529C"/>
    <w:rsid w:val="00E35945"/>
    <w:rsid w:val="00E40258"/>
    <w:rsid w:val="00E41D09"/>
    <w:rsid w:val="00E45593"/>
    <w:rsid w:val="00E52347"/>
    <w:rsid w:val="00E7018B"/>
    <w:rsid w:val="00E7420B"/>
    <w:rsid w:val="00EA30AD"/>
    <w:rsid w:val="00EA732B"/>
    <w:rsid w:val="00EB371D"/>
    <w:rsid w:val="00EB5FF6"/>
    <w:rsid w:val="00EB66B5"/>
    <w:rsid w:val="00EC5D86"/>
    <w:rsid w:val="00ED0385"/>
    <w:rsid w:val="00EE4B77"/>
    <w:rsid w:val="00EE4CA0"/>
    <w:rsid w:val="00F152D7"/>
    <w:rsid w:val="00F20FF2"/>
    <w:rsid w:val="00F24CEB"/>
    <w:rsid w:val="00F35E76"/>
    <w:rsid w:val="00F417C6"/>
    <w:rsid w:val="00F43CC6"/>
    <w:rsid w:val="00F5268C"/>
    <w:rsid w:val="00F635A9"/>
    <w:rsid w:val="00F65430"/>
    <w:rsid w:val="00F72766"/>
    <w:rsid w:val="00F824C9"/>
    <w:rsid w:val="00F87FF5"/>
    <w:rsid w:val="00F92A85"/>
    <w:rsid w:val="00FA4F56"/>
    <w:rsid w:val="00FA7F5F"/>
    <w:rsid w:val="00FC2974"/>
    <w:rsid w:val="00FD0097"/>
    <w:rsid w:val="00FD08B9"/>
    <w:rsid w:val="00FD7F6D"/>
    <w:rsid w:val="00FE0AB7"/>
    <w:rsid w:val="00FE179D"/>
    <w:rsid w:val="00FE75BB"/>
    <w:rsid w:val="00FF07FD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3253"/>
  <w15:chartTrackingRefBased/>
  <w15:docId w15:val="{42A0405B-5E68-4952-A684-F8D4D11C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80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E75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0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A3E"/>
    <w:rPr>
      <w:b/>
      <w:bCs/>
      <w:sz w:val="20"/>
      <w:szCs w:val="20"/>
    </w:rPr>
  </w:style>
  <w:style w:type="paragraph" w:styleId="NoSpacing">
    <w:name w:val="No Spacing"/>
    <w:uiPriority w:val="1"/>
    <w:qFormat/>
    <w:rsid w:val="004F2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b880f-598c-4001-a0b5-5080a7cc95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8B92B570F924C9D9E741926E92B08" ma:contentTypeVersion="20" ma:contentTypeDescription="Create a new document." ma:contentTypeScope="" ma:versionID="255ff96519522965ebbe5974c1d14a80">
  <xsd:schema xmlns:xsd="http://www.w3.org/2001/XMLSchema" xmlns:xs="http://www.w3.org/2001/XMLSchema" xmlns:p="http://schemas.microsoft.com/office/2006/metadata/properties" xmlns:ns1="http://schemas.microsoft.com/sharepoint/v3" xmlns:ns3="9c530eb6-39c7-49de-af64-36e190b1e69f" xmlns:ns4="419b880f-598c-4001-a0b5-5080a7cc952d" targetNamespace="http://schemas.microsoft.com/office/2006/metadata/properties" ma:root="true" ma:fieldsID="55ffc0fc79a7770d0bb757857ab82b2b" ns1:_="" ns3:_="" ns4:_="">
    <xsd:import namespace="http://schemas.microsoft.com/sharepoint/v3"/>
    <xsd:import namespace="9c530eb6-39c7-49de-af64-36e190b1e69f"/>
    <xsd:import namespace="419b880f-598c-4001-a0b5-5080a7cc95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0eb6-39c7-49de-af64-36e190b1e6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880f-598c-4001-a0b5-5080a7cc9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BE8AD-5CD8-4D18-9C0C-0EF9BA5F57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19b880f-598c-4001-a0b5-5080a7cc952d"/>
  </ds:schemaRefs>
</ds:datastoreItem>
</file>

<file path=customXml/itemProps2.xml><?xml version="1.0" encoding="utf-8"?>
<ds:datastoreItem xmlns:ds="http://schemas.openxmlformats.org/officeDocument/2006/customXml" ds:itemID="{1D4A9D57-8B5E-4C9A-AFFB-6533EC658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C456F-4598-48D7-A110-C23CFB39F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530eb6-39c7-49de-af64-36e190b1e69f"/>
    <ds:schemaRef ds:uri="419b880f-598c-4001-a0b5-5080a7cc9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Schoene, Ben J</dc:creator>
  <cp:keywords/>
  <dc:description/>
  <cp:lastModifiedBy>Caroline Trum</cp:lastModifiedBy>
  <cp:revision>2</cp:revision>
  <cp:lastPrinted>2024-05-06T13:58:00Z</cp:lastPrinted>
  <dcterms:created xsi:type="dcterms:W3CDTF">2024-07-29T15:38:00Z</dcterms:created>
  <dcterms:modified xsi:type="dcterms:W3CDTF">2024-07-29T15:38:00Z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0x0101007D78B92B570F924C9D9E741926E92B08</vt:lpwstr>
  </property>
</Properties>
</file>