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558D" w14:textId="52C6556B" w:rsidR="00B61BDC" w:rsidRDefault="000E693B" w:rsidP="000E693B">
      <w:pPr>
        <w:tabs>
          <w:tab w:val="left" w:pos="8280"/>
        </w:tabs>
        <w:autoSpaceDE w:val="0"/>
        <w:autoSpaceDN w:val="0"/>
        <w:adjustRightInd w:val="0"/>
        <w:spacing w:before="80" w:after="240"/>
      </w:pPr>
      <w:bookmarkStart w:id="0" w:name="OLE_LINK1"/>
      <w:bookmarkStart w:id="1" w:name="OLE_LINK2"/>
      <w:bookmarkStart w:id="2" w:name="OLE_LINK3"/>
      <w:bookmarkStart w:id="3" w:name="OLE_LINK4"/>
      <w:bookmarkStart w:id="4" w:name="OLE_LINK5"/>
      <w:bookmarkStart w:id="5" w:name="OLE_LINK6"/>
      <w:r>
        <w:t>Included below are the combined responses r</w:t>
      </w:r>
      <w:r w:rsidR="00B61BDC">
        <w:t xml:space="preserve">eceived in response to the </w:t>
      </w:r>
      <w:r>
        <w:t xml:space="preserve">WEQ/RMQ Business Practices Subcommittees request for informal comments regarding </w:t>
      </w:r>
      <w:r w:rsidRPr="000E693B">
        <w:t>2026 WEQ Annual Plan Item 5.a / 2026 RMQ Annual Plan Item 2.a</w:t>
      </w:r>
      <w:r>
        <w:t xml:space="preserve">.  The informal comment period began </w:t>
      </w:r>
      <w:r w:rsidR="00B61BDC">
        <w:t xml:space="preserve">on </w:t>
      </w:r>
      <w:r>
        <w:t>February 17, 2026</w:t>
      </w:r>
      <w:r w:rsidR="00B61BDC">
        <w:t xml:space="preserve"> </w:t>
      </w:r>
      <w:r>
        <w:t>and ended on March 10, 2026.</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B61BDC" w14:paraId="249B489B" w14:textId="77777777" w:rsidTr="00EA5E39">
        <w:trPr>
          <w:trHeight w:val="414"/>
          <w:tblHeader/>
        </w:trPr>
        <w:tc>
          <w:tcPr>
            <w:tcW w:w="13045" w:type="dxa"/>
            <w:gridSpan w:val="4"/>
            <w:tcBorders>
              <w:bottom w:val="double" w:sz="4" w:space="0" w:color="auto"/>
            </w:tcBorders>
            <w:shd w:val="pct10" w:color="auto" w:fill="auto"/>
          </w:tcPr>
          <w:p w14:paraId="6A9079AB" w14:textId="77777777" w:rsidR="00B61BDC" w:rsidRDefault="00B61BDC" w:rsidP="00EA5E39">
            <w:pPr>
              <w:pStyle w:val="BodyText"/>
              <w:tabs>
                <w:tab w:val="center" w:pos="4569"/>
              </w:tabs>
              <w:spacing w:before="60" w:after="60"/>
              <w:jc w:val="center"/>
              <w:rPr>
                <w:b/>
                <w:bCs/>
                <w:smallCaps/>
                <w:sz w:val="20"/>
              </w:rPr>
            </w:pPr>
            <w:bookmarkStart w:id="6" w:name="_Hlk114059432"/>
            <w:r w:rsidRPr="007A306B">
              <w:rPr>
                <w:b/>
                <w:bCs/>
                <w:sz w:val="20"/>
              </w:rPr>
              <w:br w:type="page"/>
            </w:r>
            <w:r w:rsidR="00725595">
              <w:rPr>
                <w:b/>
                <w:bCs/>
                <w:smallCaps/>
                <w:sz w:val="20"/>
              </w:rPr>
              <w:t xml:space="preserve"> Responses Submitted in R</w:t>
            </w:r>
            <w:r>
              <w:rPr>
                <w:b/>
                <w:bCs/>
                <w:smallCaps/>
                <w:sz w:val="20"/>
              </w:rPr>
              <w:t>esponse</w:t>
            </w:r>
            <w:r w:rsidR="00725595">
              <w:rPr>
                <w:b/>
                <w:bCs/>
                <w:smallCaps/>
                <w:sz w:val="20"/>
              </w:rPr>
              <w:t xml:space="preserve"> to WEQ/RMQ BPS Informal</w:t>
            </w:r>
            <w:r>
              <w:rPr>
                <w:b/>
                <w:bCs/>
                <w:smallCaps/>
                <w:sz w:val="20"/>
              </w:rPr>
              <w:t xml:space="preserve"> </w:t>
            </w:r>
            <w:r w:rsidR="00725595">
              <w:rPr>
                <w:b/>
                <w:bCs/>
                <w:smallCaps/>
                <w:sz w:val="20"/>
              </w:rPr>
              <w:t>Comment Request Ending March 10, 2026</w:t>
            </w:r>
          </w:p>
          <w:p w14:paraId="1232094B" w14:textId="19123D1E" w:rsidR="00725595" w:rsidRDefault="00725595" w:rsidP="00EA5E39">
            <w:pPr>
              <w:pStyle w:val="BodyText"/>
              <w:tabs>
                <w:tab w:val="center" w:pos="4569"/>
              </w:tabs>
              <w:spacing w:before="60" w:after="60"/>
              <w:jc w:val="center"/>
            </w:pPr>
            <w:r>
              <w:rPr>
                <w:b/>
                <w:bCs/>
                <w:smallCaps/>
                <w:sz w:val="20"/>
              </w:rPr>
              <w:t>Question 1</w:t>
            </w:r>
          </w:p>
        </w:tc>
      </w:tr>
      <w:tr w:rsidR="00B61BDC" w14:paraId="01C7C364" w14:textId="77777777" w:rsidTr="00EA5E39">
        <w:trPr>
          <w:tblHeader/>
        </w:trPr>
        <w:tc>
          <w:tcPr>
            <w:tcW w:w="1705" w:type="dxa"/>
            <w:gridSpan w:val="2"/>
            <w:tcBorders>
              <w:top w:val="double" w:sz="4" w:space="0" w:color="auto"/>
              <w:bottom w:val="single" w:sz="4" w:space="0" w:color="auto"/>
            </w:tcBorders>
            <w:shd w:val="pct10" w:color="auto" w:fill="auto"/>
          </w:tcPr>
          <w:p w14:paraId="743D2B49" w14:textId="77777777" w:rsidR="00B61BDC" w:rsidRPr="007A306B" w:rsidRDefault="00B61BDC" w:rsidP="00EA5E39">
            <w:pPr>
              <w:autoSpaceDE w:val="0"/>
              <w:autoSpaceDN w:val="0"/>
              <w:adjustRightInd w:val="0"/>
              <w:spacing w:before="80" w:after="80"/>
              <w:rPr>
                <w:b/>
                <w:bCs/>
              </w:rPr>
            </w:pPr>
            <w:r>
              <w:rPr>
                <w:b/>
                <w:bCs/>
              </w:rPr>
              <w:t>Question 1</w:t>
            </w:r>
          </w:p>
        </w:tc>
        <w:tc>
          <w:tcPr>
            <w:tcW w:w="11340" w:type="dxa"/>
            <w:gridSpan w:val="2"/>
            <w:tcBorders>
              <w:top w:val="double" w:sz="4" w:space="0" w:color="auto"/>
              <w:bottom w:val="single" w:sz="4" w:space="0" w:color="auto"/>
            </w:tcBorders>
            <w:shd w:val="pct10" w:color="auto" w:fill="auto"/>
          </w:tcPr>
          <w:p w14:paraId="69B28C93" w14:textId="1F9766F3" w:rsidR="00B61BDC" w:rsidRPr="00752885" w:rsidRDefault="00F502F3" w:rsidP="00F502F3">
            <w:pPr>
              <w:autoSpaceDE w:val="0"/>
              <w:autoSpaceDN w:val="0"/>
              <w:adjustRightInd w:val="0"/>
              <w:spacing w:before="80" w:after="80"/>
            </w:pPr>
            <w:r w:rsidRPr="00F502F3">
              <w:t>Would a centralized DER Entity Registry to identify and authenticate parties be beneficial? Why or why not?</w:t>
            </w:r>
          </w:p>
        </w:tc>
      </w:tr>
      <w:tr w:rsidR="00F502F3" w14:paraId="2ABD081B" w14:textId="77777777" w:rsidTr="00F502F3">
        <w:trPr>
          <w:tblHeader/>
        </w:trPr>
        <w:tc>
          <w:tcPr>
            <w:tcW w:w="265" w:type="dxa"/>
            <w:tcBorders>
              <w:top w:val="single" w:sz="4" w:space="0" w:color="auto"/>
              <w:bottom w:val="single" w:sz="4" w:space="0" w:color="auto"/>
            </w:tcBorders>
          </w:tcPr>
          <w:p w14:paraId="679F7A97" w14:textId="77777777" w:rsidR="00F502F3" w:rsidRDefault="00F502F3"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6C2ED396" w14:textId="77777777" w:rsidR="00F502F3" w:rsidRDefault="00F502F3" w:rsidP="00EA5E39">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2B4134F2" w14:textId="77723EF8" w:rsidR="00F502F3" w:rsidRDefault="00F502F3" w:rsidP="00EA5E39">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7F98FA08" w14:textId="0AA76B57" w:rsidR="00F502F3" w:rsidRDefault="00F502F3" w:rsidP="00EA5E39">
            <w:pPr>
              <w:autoSpaceDE w:val="0"/>
              <w:autoSpaceDN w:val="0"/>
              <w:adjustRightInd w:val="0"/>
              <w:spacing w:before="80" w:after="80"/>
              <w:rPr>
                <w:b/>
                <w:bCs/>
              </w:rPr>
            </w:pPr>
            <w:r>
              <w:rPr>
                <w:b/>
                <w:bCs/>
              </w:rPr>
              <w:t xml:space="preserve">Comment </w:t>
            </w:r>
          </w:p>
        </w:tc>
      </w:tr>
      <w:tr w:rsidR="00F502F3" w14:paraId="2729635C" w14:textId="77777777" w:rsidTr="00F502F3">
        <w:tc>
          <w:tcPr>
            <w:tcW w:w="265" w:type="dxa"/>
          </w:tcPr>
          <w:p w14:paraId="30ECCFBF" w14:textId="4F400CB4" w:rsidR="00F502F3" w:rsidRPr="0091554F" w:rsidRDefault="005E0EFC" w:rsidP="00EA5E39">
            <w:pPr>
              <w:autoSpaceDE w:val="0"/>
              <w:autoSpaceDN w:val="0"/>
              <w:adjustRightInd w:val="0"/>
              <w:spacing w:before="80" w:after="80"/>
              <w:ind w:left="-112" w:right="-107"/>
              <w:jc w:val="center"/>
            </w:pPr>
            <w:r>
              <w:t>1.</w:t>
            </w:r>
          </w:p>
        </w:tc>
        <w:tc>
          <w:tcPr>
            <w:tcW w:w="1440" w:type="dxa"/>
          </w:tcPr>
          <w:p w14:paraId="07EAA75C" w14:textId="099603C6" w:rsidR="00F502F3" w:rsidRPr="0091554F" w:rsidRDefault="005E0EFC" w:rsidP="00EA5E39">
            <w:pPr>
              <w:autoSpaceDE w:val="0"/>
              <w:autoSpaceDN w:val="0"/>
              <w:adjustRightInd w:val="0"/>
              <w:spacing w:before="80" w:after="80"/>
            </w:pPr>
            <w:r>
              <w:t>MISO</w:t>
            </w:r>
          </w:p>
        </w:tc>
        <w:tc>
          <w:tcPr>
            <w:tcW w:w="1890" w:type="dxa"/>
          </w:tcPr>
          <w:p w14:paraId="6FA1B584" w14:textId="2C40903C" w:rsidR="00F502F3" w:rsidRPr="0091554F" w:rsidRDefault="005E0EFC" w:rsidP="00EA5E39">
            <w:pPr>
              <w:autoSpaceDE w:val="0"/>
              <w:autoSpaceDN w:val="0"/>
              <w:adjustRightInd w:val="0"/>
              <w:spacing w:before="80" w:after="80"/>
            </w:pPr>
            <w:r>
              <w:t>Kristen Rowley</w:t>
            </w:r>
          </w:p>
        </w:tc>
        <w:tc>
          <w:tcPr>
            <w:tcW w:w="9450" w:type="dxa"/>
          </w:tcPr>
          <w:p w14:paraId="46A79C71" w14:textId="3C90E8EF" w:rsidR="00F502F3" w:rsidRPr="0091554F" w:rsidRDefault="005E0EFC" w:rsidP="009524F6">
            <w:pPr>
              <w:autoSpaceDE w:val="0"/>
              <w:autoSpaceDN w:val="0"/>
              <w:adjustRightInd w:val="0"/>
              <w:spacing w:before="120" w:after="120"/>
            </w:pPr>
            <w:r w:rsidRPr="005E0EFC">
              <w:t>MISO acknowledges the benefits to help streamline the enrollment process by having a common location to identify the parties that will need to be contacted before coming to the ISO.  Should the DER items be appended to the EIR registry? It seems duplicative to make the entities already registered in the EIR to register again.</w:t>
            </w:r>
          </w:p>
        </w:tc>
      </w:tr>
      <w:tr w:rsidR="0098001E" w14:paraId="5961F343" w14:textId="77777777" w:rsidTr="00F502F3">
        <w:tc>
          <w:tcPr>
            <w:tcW w:w="265" w:type="dxa"/>
          </w:tcPr>
          <w:p w14:paraId="160045EE" w14:textId="27E6A335" w:rsidR="0098001E" w:rsidRDefault="0098001E" w:rsidP="00EA5E39">
            <w:pPr>
              <w:autoSpaceDE w:val="0"/>
              <w:autoSpaceDN w:val="0"/>
              <w:adjustRightInd w:val="0"/>
              <w:spacing w:before="80" w:after="80"/>
              <w:ind w:left="-112" w:right="-107"/>
              <w:jc w:val="center"/>
            </w:pPr>
            <w:r>
              <w:t>2.</w:t>
            </w:r>
          </w:p>
        </w:tc>
        <w:tc>
          <w:tcPr>
            <w:tcW w:w="1440" w:type="dxa"/>
          </w:tcPr>
          <w:p w14:paraId="238773BC" w14:textId="2044DA2D" w:rsidR="0098001E" w:rsidRDefault="0098001E" w:rsidP="00EA5E39">
            <w:pPr>
              <w:autoSpaceDE w:val="0"/>
              <w:autoSpaceDN w:val="0"/>
              <w:adjustRightInd w:val="0"/>
              <w:spacing w:before="80" w:after="80"/>
            </w:pPr>
            <w:r>
              <w:t>PacifiCorp</w:t>
            </w:r>
          </w:p>
        </w:tc>
        <w:tc>
          <w:tcPr>
            <w:tcW w:w="1890" w:type="dxa"/>
          </w:tcPr>
          <w:p w14:paraId="1E6FB696" w14:textId="51C5933B" w:rsidR="0098001E" w:rsidRDefault="0098001E" w:rsidP="00EA5E39">
            <w:pPr>
              <w:autoSpaceDE w:val="0"/>
              <w:autoSpaceDN w:val="0"/>
              <w:adjustRightInd w:val="0"/>
              <w:spacing w:before="80" w:after="80"/>
            </w:pPr>
            <w:r>
              <w:t>Janice Bacon</w:t>
            </w:r>
          </w:p>
        </w:tc>
        <w:tc>
          <w:tcPr>
            <w:tcW w:w="9450" w:type="dxa"/>
          </w:tcPr>
          <w:p w14:paraId="3EBC5050" w14:textId="59DA9262" w:rsidR="0098001E" w:rsidRPr="005E0EFC" w:rsidRDefault="0098001E" w:rsidP="009524F6">
            <w:pPr>
              <w:autoSpaceDE w:val="0"/>
              <w:autoSpaceDN w:val="0"/>
              <w:adjustRightInd w:val="0"/>
              <w:spacing w:before="120" w:after="120"/>
            </w:pPr>
            <w:r w:rsidRPr="0098001E">
              <w:t>Yes, the centralized DER Entity Registry could be beneficial if the associated business practice standards respect the differences among regional entities and organized markets.</w:t>
            </w:r>
          </w:p>
        </w:tc>
      </w:tr>
      <w:tr w:rsidR="00CB69D5" w14:paraId="2FF82C4E" w14:textId="77777777" w:rsidTr="00F502F3">
        <w:tc>
          <w:tcPr>
            <w:tcW w:w="265" w:type="dxa"/>
          </w:tcPr>
          <w:p w14:paraId="02F902A3" w14:textId="4C12B211" w:rsidR="00CB69D5" w:rsidRDefault="00CB69D5" w:rsidP="00EA5E39">
            <w:pPr>
              <w:autoSpaceDE w:val="0"/>
              <w:autoSpaceDN w:val="0"/>
              <w:adjustRightInd w:val="0"/>
              <w:spacing w:before="80" w:after="80"/>
              <w:ind w:left="-112" w:right="-107"/>
              <w:jc w:val="center"/>
            </w:pPr>
            <w:r>
              <w:t>3.</w:t>
            </w:r>
          </w:p>
        </w:tc>
        <w:tc>
          <w:tcPr>
            <w:tcW w:w="1440" w:type="dxa"/>
          </w:tcPr>
          <w:p w14:paraId="25E6DEBD" w14:textId="40C38E3E" w:rsidR="00CB69D5" w:rsidRDefault="00CB69D5" w:rsidP="00EA5E39">
            <w:pPr>
              <w:autoSpaceDE w:val="0"/>
              <w:autoSpaceDN w:val="0"/>
              <w:adjustRightInd w:val="0"/>
              <w:spacing w:before="80" w:after="80"/>
            </w:pPr>
            <w:r>
              <w:t>PJM</w:t>
            </w:r>
          </w:p>
        </w:tc>
        <w:tc>
          <w:tcPr>
            <w:tcW w:w="1890" w:type="dxa"/>
          </w:tcPr>
          <w:p w14:paraId="24FBC2FE" w14:textId="3456029F" w:rsidR="00CB69D5" w:rsidRDefault="00CB69D5" w:rsidP="00EA5E39">
            <w:pPr>
              <w:autoSpaceDE w:val="0"/>
              <w:autoSpaceDN w:val="0"/>
              <w:adjustRightInd w:val="0"/>
              <w:spacing w:before="80" w:after="80"/>
            </w:pPr>
            <w:r>
              <w:t>Diane Antonelli</w:t>
            </w:r>
          </w:p>
        </w:tc>
        <w:tc>
          <w:tcPr>
            <w:tcW w:w="9450" w:type="dxa"/>
          </w:tcPr>
          <w:p w14:paraId="69745BF1" w14:textId="49AC9452" w:rsidR="00CB69D5" w:rsidRPr="00942884" w:rsidRDefault="00CB69D5" w:rsidP="009524F6">
            <w:pPr>
              <w:autoSpaceDE w:val="0"/>
              <w:autoSpaceDN w:val="0"/>
              <w:adjustRightInd w:val="0"/>
              <w:spacing w:before="120" w:after="120"/>
            </w:pPr>
            <w:r w:rsidRPr="00CB69D5">
              <w:t>PJM Interconnection LLC (PJM) does not see a need for a DER Entity Registry. It may be duplicative or lead to a less effective process for managing DER in PJM.</w:t>
            </w:r>
          </w:p>
        </w:tc>
      </w:tr>
      <w:tr w:rsidR="00766B40" w14:paraId="786324F8" w14:textId="77777777" w:rsidTr="00F502F3">
        <w:tc>
          <w:tcPr>
            <w:tcW w:w="265" w:type="dxa"/>
          </w:tcPr>
          <w:p w14:paraId="0F17E2DF" w14:textId="5D3F9185" w:rsidR="00766B40" w:rsidRDefault="00CB69D5" w:rsidP="00EA5E39">
            <w:pPr>
              <w:autoSpaceDE w:val="0"/>
              <w:autoSpaceDN w:val="0"/>
              <w:adjustRightInd w:val="0"/>
              <w:spacing w:before="80" w:after="80"/>
              <w:ind w:left="-112" w:right="-107"/>
              <w:jc w:val="center"/>
            </w:pPr>
            <w:r>
              <w:t>4</w:t>
            </w:r>
            <w:r w:rsidR="00942884">
              <w:t>.</w:t>
            </w:r>
          </w:p>
        </w:tc>
        <w:tc>
          <w:tcPr>
            <w:tcW w:w="1440" w:type="dxa"/>
          </w:tcPr>
          <w:p w14:paraId="22672F33" w14:textId="1FAA37F3" w:rsidR="00766B40" w:rsidRDefault="00942884" w:rsidP="00EA5E39">
            <w:pPr>
              <w:autoSpaceDE w:val="0"/>
              <w:autoSpaceDN w:val="0"/>
              <w:adjustRightInd w:val="0"/>
              <w:spacing w:before="80" w:after="80"/>
            </w:pPr>
            <w:proofErr w:type="spellStart"/>
            <w:r>
              <w:t>Evergy</w:t>
            </w:r>
            <w:proofErr w:type="spellEnd"/>
          </w:p>
        </w:tc>
        <w:tc>
          <w:tcPr>
            <w:tcW w:w="1890" w:type="dxa"/>
          </w:tcPr>
          <w:p w14:paraId="6B8A751E" w14:textId="648556F1" w:rsidR="00766B40" w:rsidRDefault="00942884" w:rsidP="00EA5E39">
            <w:pPr>
              <w:autoSpaceDE w:val="0"/>
              <w:autoSpaceDN w:val="0"/>
              <w:adjustRightInd w:val="0"/>
              <w:spacing w:before="80" w:after="80"/>
            </w:pPr>
            <w:r>
              <w:t>Hayden Maples</w:t>
            </w:r>
          </w:p>
        </w:tc>
        <w:tc>
          <w:tcPr>
            <w:tcW w:w="9450" w:type="dxa"/>
          </w:tcPr>
          <w:p w14:paraId="39BBE594" w14:textId="2CF918B2" w:rsidR="00766B40" w:rsidRPr="0098001E" w:rsidRDefault="00942884" w:rsidP="009524F6">
            <w:pPr>
              <w:autoSpaceDE w:val="0"/>
              <w:autoSpaceDN w:val="0"/>
              <w:adjustRightInd w:val="0"/>
              <w:spacing w:before="120" w:after="120"/>
            </w:pPr>
            <w:r w:rsidRPr="00942884">
              <w:t>Yes, this would be a useful check against the data we currently collect.  Might also help installers provide consistent data.  Might also solve the problem of reporting this information to State Commission Staff, which they requested as part of a new IRP Process.</w:t>
            </w:r>
          </w:p>
        </w:tc>
      </w:tr>
      <w:tr w:rsidR="00DA25F7" w14:paraId="3E449F9B" w14:textId="77777777" w:rsidTr="00F502F3">
        <w:tc>
          <w:tcPr>
            <w:tcW w:w="265" w:type="dxa"/>
          </w:tcPr>
          <w:p w14:paraId="2C2555C5" w14:textId="2978BBFF" w:rsidR="00DA25F7" w:rsidRDefault="00CB69D5" w:rsidP="00EA5E39">
            <w:pPr>
              <w:autoSpaceDE w:val="0"/>
              <w:autoSpaceDN w:val="0"/>
              <w:adjustRightInd w:val="0"/>
              <w:spacing w:before="80" w:after="80"/>
              <w:ind w:left="-112" w:right="-107"/>
              <w:jc w:val="center"/>
            </w:pPr>
            <w:r>
              <w:t>5</w:t>
            </w:r>
            <w:r w:rsidR="00DA25F7">
              <w:t>.</w:t>
            </w:r>
          </w:p>
        </w:tc>
        <w:tc>
          <w:tcPr>
            <w:tcW w:w="1440" w:type="dxa"/>
          </w:tcPr>
          <w:p w14:paraId="2F582F66" w14:textId="7FF53F6D" w:rsidR="00DA25F7" w:rsidRDefault="00DA25F7" w:rsidP="00EA5E39">
            <w:pPr>
              <w:autoSpaceDE w:val="0"/>
              <w:autoSpaceDN w:val="0"/>
              <w:adjustRightInd w:val="0"/>
              <w:spacing w:before="80" w:after="80"/>
            </w:pPr>
            <w:r>
              <w:t>Seattle City Light</w:t>
            </w:r>
          </w:p>
        </w:tc>
        <w:tc>
          <w:tcPr>
            <w:tcW w:w="1890" w:type="dxa"/>
          </w:tcPr>
          <w:p w14:paraId="651F24CF" w14:textId="0E920EC6" w:rsidR="00DA25F7" w:rsidRDefault="00DA25F7" w:rsidP="00EA5E39">
            <w:pPr>
              <w:autoSpaceDE w:val="0"/>
              <w:autoSpaceDN w:val="0"/>
              <w:adjustRightInd w:val="0"/>
              <w:spacing w:before="80" w:after="80"/>
            </w:pPr>
            <w:r>
              <w:t>Michael Watkins</w:t>
            </w:r>
          </w:p>
        </w:tc>
        <w:tc>
          <w:tcPr>
            <w:tcW w:w="9450" w:type="dxa"/>
          </w:tcPr>
          <w:p w14:paraId="76D40159" w14:textId="67DD93F8" w:rsidR="00DA25F7" w:rsidRPr="00942884" w:rsidRDefault="00DA25F7" w:rsidP="009524F6">
            <w:pPr>
              <w:autoSpaceDE w:val="0"/>
              <w:autoSpaceDN w:val="0"/>
              <w:adjustRightInd w:val="0"/>
              <w:spacing w:before="120" w:after="120"/>
            </w:pPr>
            <w:r>
              <w:t xml:space="preserve">Seattle </w:t>
            </w:r>
            <w:r w:rsidRPr="00DA25F7">
              <w:t>City Light (City Light) believes a centralized DER Entity Registry would be beneficial by providing enhanced grid visibility for modeling, transmission planning, seasonal reliability assessment, next day operations plan, real time data, risk assessment and emergency operations planning.</w:t>
            </w:r>
          </w:p>
        </w:tc>
      </w:tr>
      <w:tr w:rsidR="0065009B" w14:paraId="4661A133" w14:textId="77777777" w:rsidTr="00F502F3">
        <w:tc>
          <w:tcPr>
            <w:tcW w:w="265" w:type="dxa"/>
          </w:tcPr>
          <w:p w14:paraId="02D4FE68" w14:textId="444826A3" w:rsidR="0065009B" w:rsidRDefault="00CB69D5" w:rsidP="00EA5E39">
            <w:pPr>
              <w:autoSpaceDE w:val="0"/>
              <w:autoSpaceDN w:val="0"/>
              <w:adjustRightInd w:val="0"/>
              <w:spacing w:before="80" w:after="80"/>
              <w:ind w:left="-112" w:right="-107"/>
              <w:jc w:val="center"/>
            </w:pPr>
            <w:r>
              <w:t>6</w:t>
            </w:r>
            <w:r w:rsidR="0065009B">
              <w:t>.</w:t>
            </w:r>
          </w:p>
        </w:tc>
        <w:tc>
          <w:tcPr>
            <w:tcW w:w="1440" w:type="dxa"/>
          </w:tcPr>
          <w:p w14:paraId="40308FA2" w14:textId="4C275C49" w:rsidR="0065009B" w:rsidRDefault="0065009B" w:rsidP="00EA5E39">
            <w:pPr>
              <w:autoSpaceDE w:val="0"/>
              <w:autoSpaceDN w:val="0"/>
              <w:adjustRightInd w:val="0"/>
              <w:spacing w:before="80" w:after="80"/>
            </w:pPr>
            <w:proofErr w:type="spellStart"/>
            <w:r>
              <w:t>NYISO</w:t>
            </w:r>
            <w:proofErr w:type="spellEnd"/>
          </w:p>
        </w:tc>
        <w:tc>
          <w:tcPr>
            <w:tcW w:w="1890" w:type="dxa"/>
          </w:tcPr>
          <w:p w14:paraId="22030802" w14:textId="16EB26F6" w:rsidR="0065009B" w:rsidRDefault="0065009B" w:rsidP="00EA5E39">
            <w:pPr>
              <w:autoSpaceDE w:val="0"/>
              <w:autoSpaceDN w:val="0"/>
              <w:adjustRightInd w:val="0"/>
              <w:spacing w:before="80" w:after="80"/>
            </w:pPr>
            <w:r>
              <w:t>William Porter</w:t>
            </w:r>
          </w:p>
        </w:tc>
        <w:tc>
          <w:tcPr>
            <w:tcW w:w="9450" w:type="dxa"/>
          </w:tcPr>
          <w:p w14:paraId="6956EA26" w14:textId="682B114F" w:rsidR="0065009B" w:rsidRDefault="0065009B" w:rsidP="009524F6">
            <w:pPr>
              <w:autoSpaceDE w:val="0"/>
              <w:autoSpaceDN w:val="0"/>
              <w:adjustRightInd w:val="0"/>
              <w:spacing w:before="120" w:after="120"/>
            </w:pPr>
            <w:r w:rsidRPr="0065009B">
              <w:t xml:space="preserve">The </w:t>
            </w:r>
            <w:proofErr w:type="spellStart"/>
            <w:r w:rsidRPr="0065009B">
              <w:t>NYISO</w:t>
            </w:r>
            <w:proofErr w:type="spellEnd"/>
            <w:r w:rsidRPr="0065009B">
              <w:t xml:space="preserve"> is unlikely to use the DER Entity Registry to identify and authenticate parties. This is because the </w:t>
            </w:r>
            <w:proofErr w:type="spellStart"/>
            <w:r w:rsidRPr="0065009B">
              <w:t>NYISO</w:t>
            </w:r>
            <w:proofErr w:type="spellEnd"/>
            <w:r w:rsidRPr="0065009B">
              <w:t xml:space="preserve"> already collects documentation directly from Market Participants to vet their identity, register them as </w:t>
            </w:r>
            <w:proofErr w:type="spellStart"/>
            <w:r w:rsidRPr="0065009B">
              <w:t>NYISO</w:t>
            </w:r>
            <w:proofErr w:type="spellEnd"/>
            <w:r w:rsidRPr="0065009B">
              <w:t xml:space="preserve"> Customers, and establish access to the </w:t>
            </w:r>
            <w:proofErr w:type="spellStart"/>
            <w:r w:rsidRPr="0065009B">
              <w:t>NYISO</w:t>
            </w:r>
            <w:proofErr w:type="spellEnd"/>
            <w:r w:rsidRPr="0065009B">
              <w:t xml:space="preserve"> systems. Aggregators must first register as a </w:t>
            </w:r>
            <w:proofErr w:type="spellStart"/>
            <w:r w:rsidRPr="0065009B">
              <w:t>NYISO</w:t>
            </w:r>
            <w:proofErr w:type="spellEnd"/>
            <w:r w:rsidRPr="0065009B">
              <w:t xml:space="preserve"> Customer before becoming an Aggregator, see Aggregation Manual section 4. Aggregators use the </w:t>
            </w:r>
            <w:proofErr w:type="spellStart"/>
            <w:r w:rsidRPr="0065009B">
              <w:t>NYISO’s</w:t>
            </w:r>
            <w:proofErr w:type="spellEnd"/>
            <w:r w:rsidRPr="0065009B">
              <w:t xml:space="preserve"> existing NAESB digital certificate process to login to the Aggregation System to enroll Aggregations, documented here: </w:t>
            </w:r>
            <w:hyperlink r:id="rId8" w:history="1">
              <w:r w:rsidRPr="006030C1">
                <w:rPr>
                  <w:rStyle w:val="Hyperlink"/>
                </w:rPr>
                <w:t>https://www.nyiso.com/documents/20142/41887799/NAESB-Digital-Certificate-Tutorial.pdf/</w:t>
              </w:r>
            </w:hyperlink>
            <w:r>
              <w:t xml:space="preserve"> </w:t>
            </w:r>
          </w:p>
        </w:tc>
      </w:tr>
      <w:tr w:rsidR="0065009B" w14:paraId="21863FE1" w14:textId="77777777" w:rsidTr="00F502F3">
        <w:tc>
          <w:tcPr>
            <w:tcW w:w="265" w:type="dxa"/>
          </w:tcPr>
          <w:p w14:paraId="50881EA3" w14:textId="386AA7B1" w:rsidR="0065009B" w:rsidRDefault="00CB69D5" w:rsidP="00EA5E39">
            <w:pPr>
              <w:autoSpaceDE w:val="0"/>
              <w:autoSpaceDN w:val="0"/>
              <w:adjustRightInd w:val="0"/>
              <w:spacing w:before="80" w:after="80"/>
              <w:ind w:left="-112" w:right="-107"/>
              <w:jc w:val="center"/>
            </w:pPr>
            <w:r>
              <w:t>7</w:t>
            </w:r>
            <w:r w:rsidR="0065009B">
              <w:t>.</w:t>
            </w:r>
          </w:p>
        </w:tc>
        <w:tc>
          <w:tcPr>
            <w:tcW w:w="1440" w:type="dxa"/>
          </w:tcPr>
          <w:p w14:paraId="110C2258" w14:textId="538E20E8" w:rsidR="0065009B" w:rsidRDefault="0065009B" w:rsidP="00EA5E39">
            <w:pPr>
              <w:autoSpaceDE w:val="0"/>
              <w:autoSpaceDN w:val="0"/>
              <w:adjustRightInd w:val="0"/>
              <w:spacing w:before="80" w:after="80"/>
            </w:pPr>
            <w:r>
              <w:t>Entergy</w:t>
            </w:r>
          </w:p>
        </w:tc>
        <w:tc>
          <w:tcPr>
            <w:tcW w:w="1890" w:type="dxa"/>
          </w:tcPr>
          <w:p w14:paraId="198E3641" w14:textId="1DEB7FE6" w:rsidR="0065009B" w:rsidRDefault="0065009B" w:rsidP="00EA5E39">
            <w:pPr>
              <w:autoSpaceDE w:val="0"/>
              <w:autoSpaceDN w:val="0"/>
              <w:adjustRightInd w:val="0"/>
              <w:spacing w:before="80" w:after="80"/>
            </w:pPr>
            <w:r>
              <w:t>Thomas Chamberlain</w:t>
            </w:r>
          </w:p>
        </w:tc>
        <w:tc>
          <w:tcPr>
            <w:tcW w:w="9450" w:type="dxa"/>
          </w:tcPr>
          <w:p w14:paraId="6880FFC7" w14:textId="1B39D56A" w:rsidR="00D87BE8" w:rsidRDefault="00D87BE8" w:rsidP="00D87BE8">
            <w:pPr>
              <w:autoSpaceDE w:val="0"/>
              <w:autoSpaceDN w:val="0"/>
              <w:adjustRightInd w:val="0"/>
              <w:spacing w:before="120" w:after="120"/>
            </w:pPr>
            <w:r>
              <w:t>Entergy generally supports the concept of a centralized DER entity registry that can identify and authenticate participating parties.</w:t>
            </w:r>
          </w:p>
          <w:p w14:paraId="37E1732C" w14:textId="77777777" w:rsidR="00D87BE8" w:rsidRDefault="00D87BE8" w:rsidP="00D87BE8">
            <w:pPr>
              <w:autoSpaceDE w:val="0"/>
              <w:autoSpaceDN w:val="0"/>
              <w:adjustRightInd w:val="0"/>
              <w:spacing w:before="120" w:after="120"/>
            </w:pPr>
            <w:r>
              <w:lastRenderedPageBreak/>
              <w:t>As DER participation and aggregation expands in response to FERC Order 2222 and related initiatives, the number of entities interacting across distribution utilities, aggregators, market operators, and other stakeholders will continue to grow. A centralized registry could provide value by:</w:t>
            </w:r>
          </w:p>
          <w:p w14:paraId="5F0C3ED1" w14:textId="5B3EF11D" w:rsidR="00D87BE8" w:rsidRPr="00D87BE8" w:rsidRDefault="00D87BE8" w:rsidP="00D87BE8">
            <w:pPr>
              <w:pStyle w:val="ListParagraph"/>
              <w:numPr>
                <w:ilvl w:val="0"/>
                <w:numId w:val="53"/>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Establishing a </w:t>
            </w:r>
            <w:r w:rsidRPr="00D87BE8">
              <w:rPr>
                <w:rFonts w:ascii="Times New Roman" w:hAnsi="Times New Roman" w:cs="Times New Roman"/>
                <w:b/>
                <w:bCs/>
                <w:sz w:val="20"/>
                <w:szCs w:val="20"/>
              </w:rPr>
              <w:t>baseline authentication process</w:t>
            </w:r>
            <w:r w:rsidRPr="00D87BE8">
              <w:rPr>
                <w:rFonts w:ascii="Times New Roman" w:hAnsi="Times New Roman" w:cs="Times New Roman"/>
                <w:sz w:val="20"/>
                <w:szCs w:val="20"/>
              </w:rPr>
              <w:t xml:space="preserve"> for DER-related market participants.</w:t>
            </w:r>
          </w:p>
          <w:p w14:paraId="73D2BDFA" w14:textId="2EE2023D" w:rsidR="00D87BE8" w:rsidRPr="00D87BE8" w:rsidRDefault="00D87BE8" w:rsidP="00D87BE8">
            <w:pPr>
              <w:pStyle w:val="ListParagraph"/>
              <w:numPr>
                <w:ilvl w:val="0"/>
                <w:numId w:val="53"/>
              </w:numPr>
              <w:autoSpaceDE w:val="0"/>
              <w:autoSpaceDN w:val="0"/>
              <w:adjustRightInd w:val="0"/>
              <w:spacing w:before="120" w:after="120"/>
              <w:rPr>
                <w:rFonts w:ascii="Times New Roman" w:hAnsi="Times New Roman" w:cs="Times New Roman"/>
                <w:b/>
                <w:bCs/>
                <w:sz w:val="20"/>
                <w:szCs w:val="20"/>
              </w:rPr>
            </w:pPr>
            <w:r w:rsidRPr="00D87BE8">
              <w:rPr>
                <w:rFonts w:ascii="Times New Roman" w:hAnsi="Times New Roman" w:cs="Times New Roman"/>
                <w:sz w:val="20"/>
                <w:szCs w:val="20"/>
              </w:rPr>
              <w:t xml:space="preserve">Providing a </w:t>
            </w:r>
            <w:r w:rsidRPr="00D87BE8">
              <w:rPr>
                <w:rFonts w:ascii="Times New Roman" w:hAnsi="Times New Roman" w:cs="Times New Roman"/>
                <w:b/>
                <w:bCs/>
                <w:sz w:val="20"/>
                <w:szCs w:val="20"/>
              </w:rPr>
              <w:t>trusted reference for verifying aggregators and associated entities.</w:t>
            </w:r>
          </w:p>
          <w:p w14:paraId="76CF08CB" w14:textId="6BAB51AD" w:rsidR="00D87BE8" w:rsidRPr="00D87BE8" w:rsidRDefault="00D87BE8" w:rsidP="00D87BE8">
            <w:pPr>
              <w:pStyle w:val="ListParagraph"/>
              <w:numPr>
                <w:ilvl w:val="0"/>
                <w:numId w:val="53"/>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Improving </w:t>
            </w:r>
            <w:r w:rsidRPr="00D87BE8">
              <w:rPr>
                <w:rFonts w:ascii="Times New Roman" w:hAnsi="Times New Roman" w:cs="Times New Roman"/>
                <w:b/>
                <w:bCs/>
                <w:sz w:val="20"/>
                <w:szCs w:val="20"/>
              </w:rPr>
              <w:t>data consistency and transparency</w:t>
            </w:r>
            <w:r w:rsidRPr="00D87BE8">
              <w:rPr>
                <w:rFonts w:ascii="Times New Roman" w:hAnsi="Times New Roman" w:cs="Times New Roman"/>
                <w:sz w:val="20"/>
                <w:szCs w:val="20"/>
              </w:rPr>
              <w:t xml:space="preserve"> regarding participating organizations.</w:t>
            </w:r>
          </w:p>
          <w:p w14:paraId="0251C56E" w14:textId="674F4062" w:rsidR="00D87BE8" w:rsidRPr="00D87BE8" w:rsidRDefault="00D87BE8" w:rsidP="00D87BE8">
            <w:pPr>
              <w:pStyle w:val="ListParagraph"/>
              <w:numPr>
                <w:ilvl w:val="0"/>
                <w:numId w:val="53"/>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Reducing the need for utilities and system operators to independently verify counterparties.</w:t>
            </w:r>
          </w:p>
          <w:p w14:paraId="73E0AB2C" w14:textId="14BD0380" w:rsidR="00D87BE8" w:rsidRDefault="00D87BE8" w:rsidP="00D87BE8">
            <w:pPr>
              <w:autoSpaceDE w:val="0"/>
              <w:autoSpaceDN w:val="0"/>
              <w:adjustRightInd w:val="0"/>
              <w:spacing w:before="120" w:after="120"/>
            </w:pPr>
            <w:r>
              <w:t>As DER aggregation scales, the administrative complexity of validating and coordinating with multiple aggregators and third-party entities could become increasingly burdensome. A centralized authentication process could streamline these interactions.</w:t>
            </w:r>
          </w:p>
          <w:p w14:paraId="7FC41C7F" w14:textId="0D13A608" w:rsidR="0065009B" w:rsidRPr="0065009B" w:rsidRDefault="00D87BE8" w:rsidP="00D87BE8">
            <w:pPr>
              <w:autoSpaceDE w:val="0"/>
              <w:autoSpaceDN w:val="0"/>
              <w:adjustRightInd w:val="0"/>
              <w:spacing w:before="120" w:after="120"/>
            </w:pPr>
            <w:r>
              <w:t xml:space="preserve">However, the registry should be designed carefully to </w:t>
            </w:r>
            <w:r w:rsidRPr="00D87BE8">
              <w:rPr>
                <w:b/>
                <w:bCs/>
              </w:rPr>
              <w:t>avoid duplication with existing industry registries</w:t>
            </w:r>
            <w:r>
              <w:t>, particularly the NAESB Electric Industry Registry (EIR). If possible, the DER registry should leverage existing EIR registrations rather than requiring entities already registered in EIR to register again through a separate process.</w:t>
            </w:r>
          </w:p>
        </w:tc>
      </w:tr>
      <w:tr w:rsidR="0061230E" w14:paraId="45649584" w14:textId="77777777" w:rsidTr="00F502F3">
        <w:tc>
          <w:tcPr>
            <w:tcW w:w="265" w:type="dxa"/>
          </w:tcPr>
          <w:p w14:paraId="20558397" w14:textId="73C1E913" w:rsidR="0061230E" w:rsidRDefault="00CB69D5" w:rsidP="00EA5E39">
            <w:pPr>
              <w:autoSpaceDE w:val="0"/>
              <w:autoSpaceDN w:val="0"/>
              <w:adjustRightInd w:val="0"/>
              <w:spacing w:before="80" w:after="80"/>
              <w:ind w:left="-112" w:right="-107"/>
              <w:jc w:val="center"/>
            </w:pPr>
            <w:r>
              <w:lastRenderedPageBreak/>
              <w:t>8</w:t>
            </w:r>
            <w:r w:rsidR="0061230E">
              <w:t>.</w:t>
            </w:r>
          </w:p>
        </w:tc>
        <w:tc>
          <w:tcPr>
            <w:tcW w:w="1440" w:type="dxa"/>
          </w:tcPr>
          <w:p w14:paraId="0BA60077" w14:textId="3E3CAD7F" w:rsidR="0061230E" w:rsidRDefault="0061230E" w:rsidP="00EA5E39">
            <w:pPr>
              <w:autoSpaceDE w:val="0"/>
              <w:autoSpaceDN w:val="0"/>
              <w:adjustRightInd w:val="0"/>
              <w:spacing w:before="80" w:after="80"/>
            </w:pPr>
            <w:r>
              <w:t>Organization of MISO States</w:t>
            </w:r>
          </w:p>
        </w:tc>
        <w:tc>
          <w:tcPr>
            <w:tcW w:w="1890" w:type="dxa"/>
          </w:tcPr>
          <w:p w14:paraId="7A6C8914" w14:textId="732BD3BE" w:rsidR="0061230E" w:rsidRDefault="0061230E" w:rsidP="00EA5E39">
            <w:pPr>
              <w:autoSpaceDE w:val="0"/>
              <w:autoSpaceDN w:val="0"/>
              <w:adjustRightInd w:val="0"/>
              <w:spacing w:before="80" w:after="80"/>
            </w:pPr>
            <w:r>
              <w:t>Brad Pope</w:t>
            </w:r>
          </w:p>
        </w:tc>
        <w:tc>
          <w:tcPr>
            <w:tcW w:w="9450" w:type="dxa"/>
          </w:tcPr>
          <w:p w14:paraId="30D3B8C8" w14:textId="46AD04BD" w:rsidR="0061230E" w:rsidRDefault="0061230E" w:rsidP="00D87BE8">
            <w:pPr>
              <w:autoSpaceDE w:val="0"/>
              <w:autoSpaceDN w:val="0"/>
              <w:adjustRightInd w:val="0"/>
              <w:spacing w:before="120" w:after="120"/>
            </w:pPr>
            <w:r w:rsidRPr="0061230E">
              <w:t>Yes, the OMS DER Work Group strongly supports the creation of a centralized DER Entity Registry to identify and authenticate parties. There are, at best, significant coordination gaps between the various entities involved in DER activities and at worst coordination is nonexistent today. For example, communications among Electric Distribution Companies (EDCs), Relevant Electric Retail Regulatory Authorities (</w:t>
            </w:r>
            <w:proofErr w:type="spellStart"/>
            <w:r w:rsidRPr="0061230E">
              <w:t>RERRAs</w:t>
            </w:r>
            <w:proofErr w:type="spellEnd"/>
            <w:r w:rsidRPr="0061230E">
              <w:t>), and Aggregators are often handled informally on a case-by-case basis through emails with no standard system or data-sharing procedures, nor any systematic way to verify the parties involved. A centralized DER Entity Registry that mutually authenticates parties would help establish a trust framework that can feed seamlessly into state-wide and/or regional-wide communication platforms. Moreover, a DER Entity Registry that is modeled after the successful NAESB Electric Industry Registry should have industry-wide buy-in and allow for data access controls and cybersecurity protocols needed for reliable grid operations and effective market participation.</w:t>
            </w:r>
          </w:p>
        </w:tc>
      </w:tr>
      <w:tr w:rsidR="00E36B3B" w14:paraId="1AD6711D" w14:textId="77777777" w:rsidTr="00F502F3">
        <w:tc>
          <w:tcPr>
            <w:tcW w:w="265" w:type="dxa"/>
          </w:tcPr>
          <w:p w14:paraId="14CD5943" w14:textId="2A344740" w:rsidR="00E36B3B" w:rsidRDefault="00CB69D5" w:rsidP="00EA5E39">
            <w:pPr>
              <w:autoSpaceDE w:val="0"/>
              <w:autoSpaceDN w:val="0"/>
              <w:adjustRightInd w:val="0"/>
              <w:spacing w:before="80" w:after="80"/>
              <w:ind w:left="-112" w:right="-107"/>
              <w:jc w:val="center"/>
            </w:pPr>
            <w:r>
              <w:t>9</w:t>
            </w:r>
            <w:r w:rsidR="00E36B3B">
              <w:t>.</w:t>
            </w:r>
          </w:p>
        </w:tc>
        <w:tc>
          <w:tcPr>
            <w:tcW w:w="1440" w:type="dxa"/>
          </w:tcPr>
          <w:p w14:paraId="24E61E6E" w14:textId="2DDF8519" w:rsidR="00E36B3B" w:rsidRDefault="00E36B3B" w:rsidP="00EA5E39">
            <w:pPr>
              <w:autoSpaceDE w:val="0"/>
              <w:autoSpaceDN w:val="0"/>
              <w:adjustRightInd w:val="0"/>
              <w:spacing w:before="80" w:after="80"/>
            </w:pPr>
            <w:r>
              <w:t>Portland General Electric</w:t>
            </w:r>
          </w:p>
        </w:tc>
        <w:tc>
          <w:tcPr>
            <w:tcW w:w="1890" w:type="dxa"/>
          </w:tcPr>
          <w:p w14:paraId="2B2A398E" w14:textId="01C896FA" w:rsidR="00E36B3B" w:rsidRDefault="00E36B3B" w:rsidP="00EA5E39">
            <w:pPr>
              <w:autoSpaceDE w:val="0"/>
              <w:autoSpaceDN w:val="0"/>
              <w:adjustRightInd w:val="0"/>
              <w:spacing w:before="80" w:after="80"/>
            </w:pPr>
            <w:r>
              <w:t>Alexis Campbell</w:t>
            </w:r>
          </w:p>
        </w:tc>
        <w:tc>
          <w:tcPr>
            <w:tcW w:w="9450" w:type="dxa"/>
          </w:tcPr>
          <w:p w14:paraId="0DEEBD07" w14:textId="6D710BE6" w:rsidR="00E36B3B" w:rsidRPr="0061230E" w:rsidRDefault="00E36B3B" w:rsidP="00D87BE8">
            <w:pPr>
              <w:autoSpaceDE w:val="0"/>
              <w:autoSpaceDN w:val="0"/>
              <w:adjustRightInd w:val="0"/>
              <w:spacing w:before="120" w:after="120"/>
            </w:pPr>
            <w:r w:rsidRPr="00E36B3B">
              <w:t xml:space="preserve">PGE supports the creation of a centralized DER Entity Registry and believes a centralized registry could potentially help with DER management and modeling.  </w:t>
            </w:r>
          </w:p>
        </w:tc>
      </w:tr>
      <w:tr w:rsidR="0059482C" w14:paraId="17C4931B" w14:textId="77777777" w:rsidTr="00F502F3">
        <w:tc>
          <w:tcPr>
            <w:tcW w:w="265" w:type="dxa"/>
          </w:tcPr>
          <w:p w14:paraId="322C0E0B" w14:textId="0D49A7FF" w:rsidR="0059482C" w:rsidRDefault="00CB69D5" w:rsidP="00EA5E39">
            <w:pPr>
              <w:autoSpaceDE w:val="0"/>
              <w:autoSpaceDN w:val="0"/>
              <w:adjustRightInd w:val="0"/>
              <w:spacing w:before="80" w:after="80"/>
              <w:ind w:left="-112" w:right="-107"/>
              <w:jc w:val="center"/>
            </w:pPr>
            <w:r>
              <w:lastRenderedPageBreak/>
              <w:t>10</w:t>
            </w:r>
            <w:r w:rsidR="0059482C">
              <w:t>.</w:t>
            </w:r>
          </w:p>
        </w:tc>
        <w:tc>
          <w:tcPr>
            <w:tcW w:w="1440" w:type="dxa"/>
          </w:tcPr>
          <w:p w14:paraId="5F237C0F" w14:textId="48518927" w:rsidR="0059482C" w:rsidRDefault="0059482C" w:rsidP="00EA5E39">
            <w:pPr>
              <w:autoSpaceDE w:val="0"/>
              <w:autoSpaceDN w:val="0"/>
              <w:adjustRightInd w:val="0"/>
              <w:spacing w:before="80" w:after="80"/>
            </w:pPr>
            <w:r>
              <w:t>Southwest Power Pool</w:t>
            </w:r>
          </w:p>
        </w:tc>
        <w:tc>
          <w:tcPr>
            <w:tcW w:w="1890" w:type="dxa"/>
          </w:tcPr>
          <w:p w14:paraId="6F5B30E6" w14:textId="003037A5" w:rsidR="0059482C" w:rsidRDefault="0059482C" w:rsidP="00EA5E39">
            <w:pPr>
              <w:autoSpaceDE w:val="0"/>
              <w:autoSpaceDN w:val="0"/>
              <w:adjustRightInd w:val="0"/>
              <w:spacing w:before="80" w:after="80"/>
            </w:pPr>
            <w:r>
              <w:t>Joshua Phillips</w:t>
            </w:r>
          </w:p>
        </w:tc>
        <w:tc>
          <w:tcPr>
            <w:tcW w:w="9450" w:type="dxa"/>
          </w:tcPr>
          <w:p w14:paraId="186FE583" w14:textId="6F42A7E0" w:rsidR="0059482C" w:rsidRPr="00E36B3B" w:rsidRDefault="0059482C" w:rsidP="00D87BE8">
            <w:pPr>
              <w:autoSpaceDE w:val="0"/>
              <w:autoSpaceDN w:val="0"/>
              <w:adjustRightInd w:val="0"/>
              <w:spacing w:before="120" w:after="120"/>
            </w:pPr>
            <w:r w:rsidRPr="0059482C">
              <w:t xml:space="preserve">SPP, like other RTO’s, currently has market rules and protocols that dictate requirements for registering and participation within their energy markets.  Reproduction of this within an outside registry would be duplicative, provide limited value, and increase overhead for the management of the RTO’s relationship with its market participants. To the extent the market operator, balancing authority, or other wholesale level EIR registration category is considered, the subcommittees should not duplicate these, as it would only add to complexity of registrations within industry databases.  At the retail level, however, there is a more limited visibility of the registrations and a database for those participating in the DER transactions this could be beneficial.  </w:t>
            </w:r>
          </w:p>
        </w:tc>
      </w:tr>
      <w:tr w:rsidR="00BF3592" w14:paraId="4516F9BA" w14:textId="77777777" w:rsidTr="00F502F3">
        <w:tc>
          <w:tcPr>
            <w:tcW w:w="265" w:type="dxa"/>
          </w:tcPr>
          <w:p w14:paraId="11D0FD95" w14:textId="5C989E4E" w:rsidR="00BF3592" w:rsidRDefault="00BF3592" w:rsidP="00EA5E39">
            <w:pPr>
              <w:autoSpaceDE w:val="0"/>
              <w:autoSpaceDN w:val="0"/>
              <w:adjustRightInd w:val="0"/>
              <w:spacing w:before="80" w:after="80"/>
              <w:ind w:left="-112" w:right="-107"/>
              <w:jc w:val="center"/>
            </w:pPr>
            <w:r>
              <w:t>11.</w:t>
            </w:r>
          </w:p>
        </w:tc>
        <w:tc>
          <w:tcPr>
            <w:tcW w:w="1440" w:type="dxa"/>
          </w:tcPr>
          <w:p w14:paraId="199D037D" w14:textId="581E17F2" w:rsidR="00BF3592" w:rsidRDefault="00BF3592" w:rsidP="00EA5E39">
            <w:pPr>
              <w:autoSpaceDE w:val="0"/>
              <w:autoSpaceDN w:val="0"/>
              <w:adjustRightInd w:val="0"/>
              <w:spacing w:before="80" w:after="80"/>
            </w:pPr>
            <w:r>
              <w:t>Tri-State Generation &amp; Transmission</w:t>
            </w:r>
          </w:p>
        </w:tc>
        <w:tc>
          <w:tcPr>
            <w:tcW w:w="1890" w:type="dxa"/>
          </w:tcPr>
          <w:p w14:paraId="379B9B64" w14:textId="4B785B6D" w:rsidR="00BF3592" w:rsidRDefault="00BF3592" w:rsidP="00EA5E39">
            <w:pPr>
              <w:autoSpaceDE w:val="0"/>
              <w:autoSpaceDN w:val="0"/>
              <w:adjustRightInd w:val="0"/>
              <w:spacing w:before="80" w:after="80"/>
            </w:pPr>
            <w:r>
              <w:t xml:space="preserve">Igor </w:t>
            </w:r>
            <w:proofErr w:type="spellStart"/>
            <w:r>
              <w:t>Kormaz</w:t>
            </w:r>
            <w:proofErr w:type="spellEnd"/>
          </w:p>
        </w:tc>
        <w:tc>
          <w:tcPr>
            <w:tcW w:w="9450" w:type="dxa"/>
          </w:tcPr>
          <w:p w14:paraId="67A52205" w14:textId="32988EDA" w:rsidR="00BF3592" w:rsidRPr="0059482C" w:rsidRDefault="00BF3592" w:rsidP="00D87BE8">
            <w:pPr>
              <w:autoSpaceDE w:val="0"/>
              <w:autoSpaceDN w:val="0"/>
              <w:adjustRightInd w:val="0"/>
              <w:spacing w:before="120" w:after="120"/>
            </w:pPr>
            <w:r w:rsidRPr="00BF3592">
              <w:t>A DER Entity Registry would be a beneficial first step to establish an industry accepted and defined DER information repository. This DER Entity Registry information could then be leveraged to address the aforementioned, “large gaps exist in the availability of DER information critical for establishing situational awareness and carrying out necessary grid functions.  Further, wide variances in the quality, content and formatting of DER data are impacting the ability of electric industry participants to efficiently collect, validate, and synthesize DER information.” The lack of visibility and real -time DER data is a substantial risk to the reliability of the distribution and transmission electrical systems. Improving DER data access for real-time and planning functions is important and beneficial towards maintaining system reliability and coordination between affected system(s). Additionally, if a DER Entity Registry was administered and managed by NAESB, then the NAESB governance structure would be useful to create and enforce industry vetted requirements and expectations.</w:t>
            </w:r>
          </w:p>
        </w:tc>
      </w:tr>
      <w:bookmarkEnd w:id="6"/>
    </w:tbl>
    <w:p w14:paraId="3E54770A" w14:textId="1D95E58E" w:rsidR="00B61BDC" w:rsidRDefault="00B61BDC" w:rsidP="0064079D">
      <w:pPr>
        <w:autoSpaceDE w:val="0"/>
        <w:autoSpaceDN w:val="0"/>
        <w:adjustRightInd w:val="0"/>
        <w:spacing w:before="80" w:after="80"/>
      </w:pPr>
    </w:p>
    <w:p w14:paraId="1A944072"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B61BDC" w14:paraId="6F2C646A" w14:textId="77777777" w:rsidTr="00EA5E39">
        <w:trPr>
          <w:trHeight w:val="414"/>
          <w:tblHeader/>
        </w:trPr>
        <w:tc>
          <w:tcPr>
            <w:tcW w:w="13045" w:type="dxa"/>
            <w:gridSpan w:val="4"/>
            <w:tcBorders>
              <w:bottom w:val="double" w:sz="4" w:space="0" w:color="auto"/>
            </w:tcBorders>
            <w:shd w:val="pct10" w:color="auto" w:fill="auto"/>
          </w:tcPr>
          <w:p w14:paraId="781544A6" w14:textId="77777777" w:rsidR="00725595" w:rsidRDefault="00B61BDC" w:rsidP="00725595">
            <w:pPr>
              <w:pStyle w:val="BodyText"/>
              <w:tabs>
                <w:tab w:val="center" w:pos="4569"/>
              </w:tabs>
              <w:spacing w:before="60" w:after="60"/>
              <w:jc w:val="center"/>
              <w:rPr>
                <w:b/>
                <w:bCs/>
                <w:smallCaps/>
                <w:sz w:val="20"/>
              </w:rPr>
            </w:pPr>
            <w:bookmarkStart w:id="7" w:name="_Hlk114058723"/>
            <w:r w:rsidRPr="007A306B">
              <w:rPr>
                <w:b/>
                <w:bCs/>
                <w:sz w:val="20"/>
              </w:rPr>
              <w:lastRenderedPageBreak/>
              <w:br w:type="page"/>
            </w:r>
            <w:r w:rsidR="00725595">
              <w:rPr>
                <w:b/>
                <w:bCs/>
                <w:smallCaps/>
                <w:sz w:val="20"/>
              </w:rPr>
              <w:t>Responses Submitted in Response to WEQ/RMQ BPS Informal Comment Request Ending March 10, 2026</w:t>
            </w:r>
          </w:p>
          <w:p w14:paraId="6077CE26" w14:textId="13F84B43" w:rsidR="00B61BDC" w:rsidRDefault="00725595" w:rsidP="00725595">
            <w:pPr>
              <w:pStyle w:val="BodyText"/>
              <w:tabs>
                <w:tab w:val="center" w:pos="4569"/>
              </w:tabs>
              <w:spacing w:before="60" w:after="60"/>
              <w:jc w:val="center"/>
            </w:pPr>
            <w:r>
              <w:rPr>
                <w:b/>
                <w:bCs/>
                <w:smallCaps/>
                <w:sz w:val="20"/>
              </w:rPr>
              <w:t>Question 2</w:t>
            </w:r>
          </w:p>
        </w:tc>
      </w:tr>
      <w:tr w:rsidR="00B61BDC" w14:paraId="5F5D8332" w14:textId="77777777" w:rsidTr="00EA5E39">
        <w:trPr>
          <w:tblHeader/>
        </w:trPr>
        <w:tc>
          <w:tcPr>
            <w:tcW w:w="1705" w:type="dxa"/>
            <w:gridSpan w:val="2"/>
            <w:tcBorders>
              <w:top w:val="double" w:sz="4" w:space="0" w:color="auto"/>
              <w:bottom w:val="single" w:sz="4" w:space="0" w:color="auto"/>
            </w:tcBorders>
            <w:shd w:val="pct10" w:color="auto" w:fill="auto"/>
          </w:tcPr>
          <w:p w14:paraId="151523D5" w14:textId="77777777" w:rsidR="00B61BDC" w:rsidRPr="007A306B" w:rsidRDefault="00B61BDC" w:rsidP="00EA5E39">
            <w:pPr>
              <w:autoSpaceDE w:val="0"/>
              <w:autoSpaceDN w:val="0"/>
              <w:adjustRightInd w:val="0"/>
              <w:spacing w:before="80" w:after="80"/>
              <w:rPr>
                <w:b/>
                <w:bCs/>
              </w:rPr>
            </w:pPr>
            <w:r>
              <w:rPr>
                <w:b/>
                <w:bCs/>
              </w:rPr>
              <w:t>Question 2</w:t>
            </w:r>
          </w:p>
        </w:tc>
        <w:tc>
          <w:tcPr>
            <w:tcW w:w="11340" w:type="dxa"/>
            <w:gridSpan w:val="2"/>
            <w:tcBorders>
              <w:top w:val="double" w:sz="4" w:space="0" w:color="auto"/>
              <w:bottom w:val="single" w:sz="4" w:space="0" w:color="auto"/>
            </w:tcBorders>
            <w:shd w:val="pct10" w:color="auto" w:fill="auto"/>
          </w:tcPr>
          <w:p w14:paraId="6D33D59A" w14:textId="234B01B4" w:rsidR="00186B04" w:rsidRPr="0010456B" w:rsidRDefault="00F502F3" w:rsidP="00186B04">
            <w:pPr>
              <w:spacing w:line="259" w:lineRule="auto"/>
              <w:jc w:val="both"/>
            </w:pPr>
            <w:r>
              <w:t>Related to the DER Entity Registry specifically:</w:t>
            </w:r>
          </w:p>
          <w:p w14:paraId="34AE5ACF" w14:textId="77777777" w:rsidR="00F502F3" w:rsidRPr="00F502F3" w:rsidRDefault="00F502F3" w:rsidP="00F502F3">
            <w:pPr>
              <w:numPr>
                <w:ilvl w:val="0"/>
                <w:numId w:val="42"/>
              </w:numPr>
              <w:spacing w:line="259" w:lineRule="auto"/>
              <w:ind w:left="346" w:hanging="270"/>
            </w:pPr>
            <w:r>
              <w:t xml:space="preserve">Are </w:t>
            </w:r>
            <w:r w:rsidRPr="00F502F3">
              <w:t>there any additional stakeholder registration categories that need to be supported? If so, please identify and provide an explanation.</w:t>
            </w:r>
          </w:p>
          <w:p w14:paraId="670C5674" w14:textId="125931E9" w:rsidR="00B61BDC" w:rsidRPr="005E0EFC" w:rsidRDefault="00F502F3" w:rsidP="005E0EFC">
            <w:pPr>
              <w:numPr>
                <w:ilvl w:val="0"/>
                <w:numId w:val="42"/>
              </w:numPr>
              <w:spacing w:line="259" w:lineRule="auto"/>
              <w:ind w:left="346" w:hanging="270"/>
              <w:jc w:val="both"/>
            </w:pPr>
            <w:r>
              <w:t xml:space="preserve">Are </w:t>
            </w:r>
            <w:r w:rsidRPr="00F502F3">
              <w:t>there any identified stakeholder registration categories that are not needed? If so, please identify and provide an explanation.</w:t>
            </w:r>
          </w:p>
        </w:tc>
      </w:tr>
      <w:tr w:rsidR="00F502F3" w14:paraId="756F34C1" w14:textId="77777777" w:rsidTr="00F502F3">
        <w:trPr>
          <w:tblHeader/>
        </w:trPr>
        <w:tc>
          <w:tcPr>
            <w:tcW w:w="265" w:type="dxa"/>
            <w:tcBorders>
              <w:top w:val="single" w:sz="4" w:space="0" w:color="auto"/>
              <w:bottom w:val="single" w:sz="4" w:space="0" w:color="auto"/>
            </w:tcBorders>
          </w:tcPr>
          <w:p w14:paraId="217EF3F3" w14:textId="77777777" w:rsidR="00F502F3" w:rsidRDefault="00F502F3"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1E618281" w14:textId="77777777" w:rsidR="00F502F3" w:rsidRDefault="00F502F3" w:rsidP="00EA5E39">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0BE05C01" w14:textId="43FA0D72" w:rsidR="00F502F3" w:rsidRDefault="00F502F3" w:rsidP="00EA5E39">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39365BDE" w14:textId="165D0C23" w:rsidR="00F502F3" w:rsidRDefault="00F502F3" w:rsidP="00EA5E39">
            <w:pPr>
              <w:autoSpaceDE w:val="0"/>
              <w:autoSpaceDN w:val="0"/>
              <w:adjustRightInd w:val="0"/>
              <w:spacing w:before="80" w:after="80"/>
              <w:rPr>
                <w:b/>
                <w:bCs/>
              </w:rPr>
            </w:pPr>
            <w:r>
              <w:rPr>
                <w:b/>
                <w:bCs/>
              </w:rPr>
              <w:t xml:space="preserve">Comment </w:t>
            </w:r>
          </w:p>
        </w:tc>
      </w:tr>
      <w:tr w:rsidR="00F502F3" w14:paraId="38E1AAA5" w14:textId="77777777" w:rsidTr="00F502F3">
        <w:tc>
          <w:tcPr>
            <w:tcW w:w="265" w:type="dxa"/>
          </w:tcPr>
          <w:p w14:paraId="4647B98A" w14:textId="0B9BC349" w:rsidR="00F502F3" w:rsidRPr="0091554F" w:rsidRDefault="005E0EFC" w:rsidP="00EA5E39">
            <w:pPr>
              <w:autoSpaceDE w:val="0"/>
              <w:autoSpaceDN w:val="0"/>
              <w:adjustRightInd w:val="0"/>
              <w:spacing w:before="80" w:after="80"/>
              <w:ind w:left="-112" w:right="-107"/>
              <w:jc w:val="center"/>
            </w:pPr>
            <w:r>
              <w:t>1.</w:t>
            </w:r>
          </w:p>
        </w:tc>
        <w:tc>
          <w:tcPr>
            <w:tcW w:w="1440" w:type="dxa"/>
          </w:tcPr>
          <w:p w14:paraId="48A5AC7D" w14:textId="3732ADCA" w:rsidR="00F502F3" w:rsidRPr="0091554F" w:rsidRDefault="005E0EFC" w:rsidP="00EA5E39">
            <w:pPr>
              <w:autoSpaceDE w:val="0"/>
              <w:autoSpaceDN w:val="0"/>
              <w:adjustRightInd w:val="0"/>
              <w:spacing w:before="80" w:after="80"/>
            </w:pPr>
            <w:r>
              <w:t>MISO</w:t>
            </w:r>
          </w:p>
        </w:tc>
        <w:tc>
          <w:tcPr>
            <w:tcW w:w="1890" w:type="dxa"/>
          </w:tcPr>
          <w:p w14:paraId="52BDC16E" w14:textId="118069B2" w:rsidR="00F502F3" w:rsidRPr="0091554F" w:rsidRDefault="005E0EFC" w:rsidP="00EA5E39">
            <w:pPr>
              <w:autoSpaceDE w:val="0"/>
              <w:autoSpaceDN w:val="0"/>
              <w:adjustRightInd w:val="0"/>
              <w:spacing w:before="80" w:after="80"/>
            </w:pPr>
            <w:r>
              <w:t>Kr</w:t>
            </w:r>
            <w:r w:rsidR="0098001E">
              <w:t>isten Rowley</w:t>
            </w:r>
          </w:p>
        </w:tc>
        <w:tc>
          <w:tcPr>
            <w:tcW w:w="9450" w:type="dxa"/>
          </w:tcPr>
          <w:p w14:paraId="602D5184" w14:textId="77777777" w:rsidR="00F502F3" w:rsidRDefault="0098001E" w:rsidP="009524F6">
            <w:pPr>
              <w:autoSpaceDE w:val="0"/>
              <w:autoSpaceDN w:val="0"/>
              <w:adjustRightInd w:val="0"/>
              <w:spacing w:before="80" w:after="80"/>
            </w:pPr>
            <w:r>
              <w:t>a) No</w:t>
            </w:r>
          </w:p>
          <w:p w14:paraId="1A253F7B" w14:textId="77777777" w:rsidR="0098001E" w:rsidRDefault="0098001E" w:rsidP="0098001E">
            <w:pPr>
              <w:autoSpaceDE w:val="0"/>
              <w:autoSpaceDN w:val="0"/>
              <w:adjustRightInd w:val="0"/>
              <w:spacing w:before="80" w:after="80"/>
            </w:pPr>
            <w:r>
              <w:t>b) Scheduling Entity is needed by the relevant market operator.</w:t>
            </w:r>
          </w:p>
          <w:p w14:paraId="2201059C" w14:textId="77777777" w:rsidR="0098001E" w:rsidRDefault="0098001E" w:rsidP="0098001E">
            <w:pPr>
              <w:autoSpaceDE w:val="0"/>
              <w:autoSpaceDN w:val="0"/>
              <w:adjustRightInd w:val="0"/>
              <w:spacing w:before="80" w:after="80"/>
            </w:pPr>
            <w:r>
              <w:t>Bulk Power System Operator is already included in the Electric Industry Registry.</w:t>
            </w:r>
          </w:p>
          <w:p w14:paraId="1C4106CB" w14:textId="77777777" w:rsidR="0098001E" w:rsidRDefault="0098001E" w:rsidP="0098001E">
            <w:pPr>
              <w:autoSpaceDE w:val="0"/>
              <w:autoSpaceDN w:val="0"/>
              <w:adjustRightInd w:val="0"/>
              <w:spacing w:before="80" w:after="80"/>
            </w:pPr>
            <w:r>
              <w:t>Bulk Power Reliability Coordinator is already included in the Electric Industry Registry.</w:t>
            </w:r>
          </w:p>
          <w:p w14:paraId="05AE5A6A" w14:textId="77777777" w:rsidR="0098001E" w:rsidRDefault="0098001E" w:rsidP="0098001E">
            <w:pPr>
              <w:autoSpaceDE w:val="0"/>
              <w:autoSpaceDN w:val="0"/>
              <w:adjustRightInd w:val="0"/>
              <w:spacing w:before="80" w:after="80"/>
            </w:pPr>
            <w:r>
              <w:t>Bulk Power Market Operator is already included in the Electric Industry Registry.</w:t>
            </w:r>
          </w:p>
          <w:p w14:paraId="073C8C5E" w14:textId="0CCF3E9F" w:rsidR="0098001E" w:rsidRPr="0091554F" w:rsidRDefault="0098001E" w:rsidP="0098001E">
            <w:pPr>
              <w:autoSpaceDE w:val="0"/>
              <w:autoSpaceDN w:val="0"/>
              <w:adjustRightInd w:val="0"/>
              <w:spacing w:before="80" w:after="80"/>
            </w:pPr>
            <w:r>
              <w:t>Electric Reliability Organization is already included in the Electric Industry Registry.</w:t>
            </w:r>
          </w:p>
        </w:tc>
      </w:tr>
      <w:tr w:rsidR="0098001E" w14:paraId="495DE800" w14:textId="77777777" w:rsidTr="00F502F3">
        <w:tc>
          <w:tcPr>
            <w:tcW w:w="265" w:type="dxa"/>
          </w:tcPr>
          <w:p w14:paraId="0F4BF5D4" w14:textId="604D0D0A" w:rsidR="0098001E" w:rsidRDefault="0098001E" w:rsidP="00EA5E39">
            <w:pPr>
              <w:autoSpaceDE w:val="0"/>
              <w:autoSpaceDN w:val="0"/>
              <w:adjustRightInd w:val="0"/>
              <w:spacing w:before="80" w:after="80"/>
              <w:ind w:left="-112" w:right="-107"/>
              <w:jc w:val="center"/>
            </w:pPr>
            <w:r>
              <w:t>2.</w:t>
            </w:r>
          </w:p>
        </w:tc>
        <w:tc>
          <w:tcPr>
            <w:tcW w:w="1440" w:type="dxa"/>
          </w:tcPr>
          <w:p w14:paraId="70226C9A" w14:textId="032D82D8" w:rsidR="0098001E" w:rsidRDefault="0098001E" w:rsidP="00EA5E39">
            <w:pPr>
              <w:autoSpaceDE w:val="0"/>
              <w:autoSpaceDN w:val="0"/>
              <w:adjustRightInd w:val="0"/>
              <w:spacing w:before="80" w:after="80"/>
            </w:pPr>
            <w:r>
              <w:t>PacifiCorp</w:t>
            </w:r>
          </w:p>
        </w:tc>
        <w:tc>
          <w:tcPr>
            <w:tcW w:w="1890" w:type="dxa"/>
          </w:tcPr>
          <w:p w14:paraId="73AD3EB0" w14:textId="29D18C86" w:rsidR="0098001E" w:rsidRDefault="0098001E" w:rsidP="00EA5E39">
            <w:pPr>
              <w:autoSpaceDE w:val="0"/>
              <w:autoSpaceDN w:val="0"/>
              <w:adjustRightInd w:val="0"/>
              <w:spacing w:before="80" w:after="80"/>
            </w:pPr>
            <w:r>
              <w:t>Janice Bacon</w:t>
            </w:r>
          </w:p>
        </w:tc>
        <w:tc>
          <w:tcPr>
            <w:tcW w:w="9450" w:type="dxa"/>
          </w:tcPr>
          <w:p w14:paraId="403247FC" w14:textId="77777777" w:rsidR="0098001E" w:rsidRDefault="0098001E" w:rsidP="0098001E">
            <w:pPr>
              <w:autoSpaceDE w:val="0"/>
              <w:autoSpaceDN w:val="0"/>
              <w:adjustRightInd w:val="0"/>
              <w:spacing w:before="80" w:after="80"/>
            </w:pPr>
            <w:r>
              <w:t xml:space="preserve">a) </w:t>
            </w:r>
            <w:r w:rsidRPr="0098001E">
              <w:t>The categories needed are dependent upon how we define each of the proposed categories. “Aggregator” appears to include entities that provide services that aggregate and manage a DER program for another entity.  It would be more helpful to provide examples of what type of entities would be considered for each category.  For example, would a Generation Operator that is both operating owned DER and well as managed DER, would they register as a Bulk Power System Operator or Scheduling Entity, or both</w:t>
            </w:r>
          </w:p>
          <w:p w14:paraId="584AD1C2" w14:textId="2D55AEA7" w:rsidR="0098001E" w:rsidRDefault="0098001E" w:rsidP="0098001E">
            <w:pPr>
              <w:autoSpaceDE w:val="0"/>
              <w:autoSpaceDN w:val="0"/>
              <w:adjustRightInd w:val="0"/>
              <w:spacing w:before="80" w:after="80"/>
            </w:pPr>
            <w:r>
              <w:t>b) No Comment</w:t>
            </w:r>
          </w:p>
        </w:tc>
      </w:tr>
      <w:tr w:rsidR="00766B40" w14:paraId="1B1A622A" w14:textId="77777777" w:rsidTr="00F502F3">
        <w:tc>
          <w:tcPr>
            <w:tcW w:w="265" w:type="dxa"/>
          </w:tcPr>
          <w:p w14:paraId="40C63FE5" w14:textId="1AAC3B7A" w:rsidR="00766B40" w:rsidRDefault="00A925D2" w:rsidP="00EA5E39">
            <w:pPr>
              <w:autoSpaceDE w:val="0"/>
              <w:autoSpaceDN w:val="0"/>
              <w:adjustRightInd w:val="0"/>
              <w:spacing w:before="80" w:after="80"/>
              <w:ind w:left="-112" w:right="-107"/>
              <w:jc w:val="center"/>
            </w:pPr>
            <w:r>
              <w:t>3.</w:t>
            </w:r>
          </w:p>
        </w:tc>
        <w:tc>
          <w:tcPr>
            <w:tcW w:w="1440" w:type="dxa"/>
          </w:tcPr>
          <w:p w14:paraId="108E0E2F" w14:textId="52FBC8C7" w:rsidR="00766B40" w:rsidRDefault="00A925D2" w:rsidP="00EA5E39">
            <w:pPr>
              <w:autoSpaceDE w:val="0"/>
              <w:autoSpaceDN w:val="0"/>
              <w:adjustRightInd w:val="0"/>
              <w:spacing w:before="80" w:after="80"/>
            </w:pPr>
            <w:r>
              <w:t>PJM</w:t>
            </w:r>
          </w:p>
        </w:tc>
        <w:tc>
          <w:tcPr>
            <w:tcW w:w="1890" w:type="dxa"/>
          </w:tcPr>
          <w:p w14:paraId="34C2DA52" w14:textId="2C9978A9" w:rsidR="00766B40" w:rsidRDefault="00A925D2" w:rsidP="00EA5E39">
            <w:pPr>
              <w:autoSpaceDE w:val="0"/>
              <w:autoSpaceDN w:val="0"/>
              <w:adjustRightInd w:val="0"/>
              <w:spacing w:before="80" w:after="80"/>
            </w:pPr>
            <w:r>
              <w:t xml:space="preserve">Diane </w:t>
            </w:r>
            <w:r w:rsidR="00942884">
              <w:t>Atonelli</w:t>
            </w:r>
          </w:p>
        </w:tc>
        <w:tc>
          <w:tcPr>
            <w:tcW w:w="9450" w:type="dxa"/>
          </w:tcPr>
          <w:p w14:paraId="323E4CF0" w14:textId="5DBE8D78" w:rsidR="00766B40" w:rsidRDefault="00942884" w:rsidP="0098001E">
            <w:pPr>
              <w:autoSpaceDE w:val="0"/>
              <w:autoSpaceDN w:val="0"/>
              <w:adjustRightInd w:val="0"/>
              <w:spacing w:before="80" w:after="80"/>
            </w:pPr>
            <w:r>
              <w:t xml:space="preserve">b) </w:t>
            </w:r>
            <w:r w:rsidRPr="00942884">
              <w:t xml:space="preserve">As mentioned above, PJM does not see a need for a DER Entity Registry. </w:t>
            </w:r>
          </w:p>
        </w:tc>
      </w:tr>
      <w:tr w:rsidR="00942884" w14:paraId="647ACF88" w14:textId="77777777" w:rsidTr="00F502F3">
        <w:tc>
          <w:tcPr>
            <w:tcW w:w="265" w:type="dxa"/>
          </w:tcPr>
          <w:p w14:paraId="17E50FA4" w14:textId="3C803421" w:rsidR="00942884" w:rsidRDefault="00DA25F7" w:rsidP="00EA5E39">
            <w:pPr>
              <w:autoSpaceDE w:val="0"/>
              <w:autoSpaceDN w:val="0"/>
              <w:adjustRightInd w:val="0"/>
              <w:spacing w:before="80" w:after="80"/>
              <w:ind w:left="-112" w:right="-107"/>
              <w:jc w:val="center"/>
            </w:pPr>
            <w:r>
              <w:t>4.</w:t>
            </w:r>
          </w:p>
        </w:tc>
        <w:tc>
          <w:tcPr>
            <w:tcW w:w="1440" w:type="dxa"/>
          </w:tcPr>
          <w:p w14:paraId="4995C67E" w14:textId="5DED3D00" w:rsidR="00942884" w:rsidRDefault="00DA25F7" w:rsidP="00EA5E39">
            <w:pPr>
              <w:autoSpaceDE w:val="0"/>
              <w:autoSpaceDN w:val="0"/>
              <w:adjustRightInd w:val="0"/>
              <w:spacing w:before="80" w:after="80"/>
            </w:pPr>
            <w:r>
              <w:t>Seattle City Light</w:t>
            </w:r>
          </w:p>
        </w:tc>
        <w:tc>
          <w:tcPr>
            <w:tcW w:w="1890" w:type="dxa"/>
          </w:tcPr>
          <w:p w14:paraId="11ECA74B" w14:textId="19456B86" w:rsidR="00942884" w:rsidRDefault="00DA25F7" w:rsidP="00EA5E39">
            <w:pPr>
              <w:autoSpaceDE w:val="0"/>
              <w:autoSpaceDN w:val="0"/>
              <w:adjustRightInd w:val="0"/>
              <w:spacing w:before="80" w:after="80"/>
            </w:pPr>
            <w:r>
              <w:t>Michael Watkins</w:t>
            </w:r>
          </w:p>
        </w:tc>
        <w:tc>
          <w:tcPr>
            <w:tcW w:w="9450" w:type="dxa"/>
          </w:tcPr>
          <w:p w14:paraId="296D396E" w14:textId="244C3899" w:rsidR="00942884" w:rsidRDefault="00DA25F7" w:rsidP="0098001E">
            <w:pPr>
              <w:autoSpaceDE w:val="0"/>
              <w:autoSpaceDN w:val="0"/>
              <w:adjustRightInd w:val="0"/>
              <w:spacing w:before="80" w:after="80"/>
            </w:pPr>
            <w:r>
              <w:t xml:space="preserve">a) City Light </w:t>
            </w:r>
            <w:r w:rsidRPr="00DA25F7">
              <w:t>recommends adding Bulk Power System Transmission Planning Authority to the list of stakeholder registration categories. The impact of DERs needs to be evaluated in the transmission planning horizon for reliability and planning purposes.</w:t>
            </w:r>
          </w:p>
          <w:p w14:paraId="58168A77" w14:textId="044F61E9" w:rsidR="00DA25F7" w:rsidRDefault="00DA25F7" w:rsidP="0098001E">
            <w:pPr>
              <w:autoSpaceDE w:val="0"/>
              <w:autoSpaceDN w:val="0"/>
              <w:adjustRightInd w:val="0"/>
              <w:spacing w:before="80" w:after="80"/>
            </w:pPr>
            <w:r>
              <w:t xml:space="preserve">City Light </w:t>
            </w:r>
            <w:r w:rsidRPr="00DA25F7">
              <w:t xml:space="preserve">additionally suggests adding Electric Reliability Organization Regional </w:t>
            </w:r>
            <w:proofErr w:type="spellStart"/>
            <w:r w:rsidRPr="00DA25F7">
              <w:t>Regional</w:t>
            </w:r>
            <w:proofErr w:type="spellEnd"/>
            <w:r w:rsidRPr="00DA25F7">
              <w:t xml:space="preserve"> Entity. This recognizes the relationship that there are multiple regional entities in the NERC ERO</w:t>
            </w:r>
          </w:p>
          <w:p w14:paraId="3EDAA1B7" w14:textId="3B2BB560" w:rsidR="00DA25F7" w:rsidRDefault="00DA25F7" w:rsidP="0098001E">
            <w:pPr>
              <w:autoSpaceDE w:val="0"/>
              <w:autoSpaceDN w:val="0"/>
              <w:adjustRightInd w:val="0"/>
              <w:spacing w:before="80" w:after="80"/>
            </w:pPr>
            <w:r>
              <w:t>b) No</w:t>
            </w:r>
          </w:p>
        </w:tc>
      </w:tr>
      <w:tr w:rsidR="00DA25F7" w14:paraId="4F665857" w14:textId="77777777" w:rsidTr="00F502F3">
        <w:tc>
          <w:tcPr>
            <w:tcW w:w="265" w:type="dxa"/>
          </w:tcPr>
          <w:p w14:paraId="33D3EB1F" w14:textId="2C1F7819" w:rsidR="00DA25F7" w:rsidRDefault="0065009B" w:rsidP="00EA5E39">
            <w:pPr>
              <w:autoSpaceDE w:val="0"/>
              <w:autoSpaceDN w:val="0"/>
              <w:adjustRightInd w:val="0"/>
              <w:spacing w:before="80" w:after="80"/>
              <w:ind w:left="-112" w:right="-107"/>
              <w:jc w:val="center"/>
            </w:pPr>
            <w:r>
              <w:t>5.</w:t>
            </w:r>
          </w:p>
        </w:tc>
        <w:tc>
          <w:tcPr>
            <w:tcW w:w="1440" w:type="dxa"/>
          </w:tcPr>
          <w:p w14:paraId="63EFCEAA" w14:textId="55D026E8" w:rsidR="00DA25F7" w:rsidRDefault="0065009B" w:rsidP="00EA5E39">
            <w:pPr>
              <w:autoSpaceDE w:val="0"/>
              <w:autoSpaceDN w:val="0"/>
              <w:adjustRightInd w:val="0"/>
              <w:spacing w:before="80" w:after="80"/>
            </w:pPr>
            <w:proofErr w:type="spellStart"/>
            <w:r>
              <w:t>NYISO</w:t>
            </w:r>
            <w:proofErr w:type="spellEnd"/>
          </w:p>
        </w:tc>
        <w:tc>
          <w:tcPr>
            <w:tcW w:w="1890" w:type="dxa"/>
          </w:tcPr>
          <w:p w14:paraId="01D837C3" w14:textId="027AE33D" w:rsidR="00DA25F7" w:rsidRDefault="0065009B" w:rsidP="00EA5E39">
            <w:pPr>
              <w:autoSpaceDE w:val="0"/>
              <w:autoSpaceDN w:val="0"/>
              <w:adjustRightInd w:val="0"/>
              <w:spacing w:before="80" w:after="80"/>
            </w:pPr>
            <w:r>
              <w:t>William Porter</w:t>
            </w:r>
          </w:p>
        </w:tc>
        <w:tc>
          <w:tcPr>
            <w:tcW w:w="9450" w:type="dxa"/>
          </w:tcPr>
          <w:p w14:paraId="36325D80" w14:textId="77777777" w:rsidR="00DA25F7" w:rsidRDefault="0065009B" w:rsidP="0098001E">
            <w:pPr>
              <w:autoSpaceDE w:val="0"/>
              <w:autoSpaceDN w:val="0"/>
              <w:adjustRightInd w:val="0"/>
              <w:spacing w:before="80" w:after="80"/>
            </w:pPr>
            <w:r>
              <w:t xml:space="preserve">a) </w:t>
            </w:r>
            <w:r w:rsidRPr="0065009B">
              <w:t xml:space="preserve">The </w:t>
            </w:r>
            <w:proofErr w:type="spellStart"/>
            <w:r w:rsidRPr="0065009B">
              <w:t>NYISO</w:t>
            </w:r>
            <w:proofErr w:type="spellEnd"/>
            <w:r w:rsidRPr="0065009B">
              <w:t xml:space="preserve"> does not identify any additional stakeholder registration categories.</w:t>
            </w:r>
          </w:p>
          <w:p w14:paraId="5EDFEBCF" w14:textId="2219D604" w:rsidR="0065009B" w:rsidRDefault="0065009B" w:rsidP="0098001E">
            <w:pPr>
              <w:autoSpaceDE w:val="0"/>
              <w:autoSpaceDN w:val="0"/>
              <w:adjustRightInd w:val="0"/>
              <w:spacing w:before="80" w:after="80"/>
            </w:pPr>
            <w:r>
              <w:t xml:space="preserve">b) </w:t>
            </w:r>
            <w:r w:rsidRPr="0065009B">
              <w:t xml:space="preserve">The </w:t>
            </w:r>
            <w:proofErr w:type="spellStart"/>
            <w:r w:rsidRPr="0065009B">
              <w:t>NYISO</w:t>
            </w:r>
            <w:proofErr w:type="spellEnd"/>
            <w:r w:rsidRPr="0065009B">
              <w:t xml:space="preserve"> does not identify any stakeholder registration categories that are not needed.</w:t>
            </w:r>
          </w:p>
        </w:tc>
      </w:tr>
      <w:tr w:rsidR="00D87BE8" w14:paraId="02D62DF4" w14:textId="77777777" w:rsidTr="00F502F3">
        <w:tc>
          <w:tcPr>
            <w:tcW w:w="265" w:type="dxa"/>
          </w:tcPr>
          <w:p w14:paraId="622097BC" w14:textId="35B3F921" w:rsidR="00D87BE8" w:rsidRDefault="00D87BE8" w:rsidP="00EA5E39">
            <w:pPr>
              <w:autoSpaceDE w:val="0"/>
              <w:autoSpaceDN w:val="0"/>
              <w:adjustRightInd w:val="0"/>
              <w:spacing w:before="80" w:after="80"/>
              <w:ind w:left="-112" w:right="-107"/>
              <w:jc w:val="center"/>
            </w:pPr>
            <w:r>
              <w:t>6.</w:t>
            </w:r>
          </w:p>
        </w:tc>
        <w:tc>
          <w:tcPr>
            <w:tcW w:w="1440" w:type="dxa"/>
          </w:tcPr>
          <w:p w14:paraId="1769E2DD" w14:textId="02A60D33" w:rsidR="00D87BE8" w:rsidRDefault="00D87BE8" w:rsidP="00EA5E39">
            <w:pPr>
              <w:autoSpaceDE w:val="0"/>
              <w:autoSpaceDN w:val="0"/>
              <w:adjustRightInd w:val="0"/>
              <w:spacing w:before="80" w:after="80"/>
            </w:pPr>
            <w:r>
              <w:t>Entergy</w:t>
            </w:r>
          </w:p>
        </w:tc>
        <w:tc>
          <w:tcPr>
            <w:tcW w:w="1890" w:type="dxa"/>
          </w:tcPr>
          <w:p w14:paraId="5430EA69" w14:textId="6DC18052" w:rsidR="00D87BE8" w:rsidRDefault="00D87BE8" w:rsidP="00EA5E39">
            <w:pPr>
              <w:autoSpaceDE w:val="0"/>
              <w:autoSpaceDN w:val="0"/>
              <w:adjustRightInd w:val="0"/>
              <w:spacing w:before="80" w:after="80"/>
            </w:pPr>
            <w:r>
              <w:t>Thomas Chamberlain</w:t>
            </w:r>
          </w:p>
        </w:tc>
        <w:tc>
          <w:tcPr>
            <w:tcW w:w="9450" w:type="dxa"/>
          </w:tcPr>
          <w:p w14:paraId="5C7E9ECE" w14:textId="6E571B1E" w:rsidR="00D87BE8" w:rsidRDefault="00D87BE8" w:rsidP="00D87BE8">
            <w:pPr>
              <w:autoSpaceDE w:val="0"/>
              <w:autoSpaceDN w:val="0"/>
              <w:adjustRightInd w:val="0"/>
              <w:spacing w:before="80" w:after="80"/>
            </w:pPr>
            <w:r>
              <w:t>a) The stakeholder categories identified in the concept paper generally appear appropriate. However, Entergy recommends consideration of an additional category:</w:t>
            </w:r>
          </w:p>
          <w:p w14:paraId="74FB1269" w14:textId="1EB83C32" w:rsidR="00D87BE8" w:rsidRPr="00D87BE8" w:rsidRDefault="00D87BE8" w:rsidP="00D87BE8">
            <w:pPr>
              <w:autoSpaceDE w:val="0"/>
              <w:autoSpaceDN w:val="0"/>
              <w:adjustRightInd w:val="0"/>
              <w:spacing w:before="80" w:after="80"/>
              <w:rPr>
                <w:b/>
                <w:bCs/>
              </w:rPr>
            </w:pPr>
            <w:r w:rsidRPr="00D87BE8">
              <w:rPr>
                <w:b/>
                <w:bCs/>
              </w:rPr>
              <w:lastRenderedPageBreak/>
              <w:t>DER Owner</w:t>
            </w:r>
          </w:p>
          <w:p w14:paraId="5B92E4FB" w14:textId="1CEA0C07" w:rsidR="00D87BE8" w:rsidRDefault="00D87BE8" w:rsidP="00D87BE8">
            <w:pPr>
              <w:autoSpaceDE w:val="0"/>
              <w:autoSpaceDN w:val="0"/>
              <w:adjustRightInd w:val="0"/>
              <w:spacing w:before="80" w:after="80"/>
            </w:pPr>
            <w:r>
              <w:t>In some cases, the entity that owns the DER asset may be different from the entity that aggregates or represents those resources in wholesale markets. Recognizing the DER owner as a distinct category may provide better visibility into asset ownership and responsibilities within the aggregation structure.</w:t>
            </w:r>
          </w:p>
          <w:p w14:paraId="739DABD6" w14:textId="2D67488D" w:rsidR="00D87BE8" w:rsidRDefault="00D87BE8" w:rsidP="00D87BE8">
            <w:pPr>
              <w:autoSpaceDE w:val="0"/>
              <w:autoSpaceDN w:val="0"/>
              <w:adjustRightInd w:val="0"/>
              <w:spacing w:before="80" w:after="80"/>
            </w:pPr>
            <w:r>
              <w:t>Otherwise, the listed entities—including aggregators, distribution system providers, market operators, reliability coordinators, and regulators—appear appropriate.</w:t>
            </w:r>
          </w:p>
        </w:tc>
      </w:tr>
      <w:tr w:rsidR="0061230E" w14:paraId="3A194410" w14:textId="77777777" w:rsidTr="00F502F3">
        <w:tc>
          <w:tcPr>
            <w:tcW w:w="265" w:type="dxa"/>
          </w:tcPr>
          <w:p w14:paraId="2B166D77" w14:textId="32EEEC88" w:rsidR="0061230E" w:rsidRDefault="0061230E" w:rsidP="00EA5E39">
            <w:pPr>
              <w:autoSpaceDE w:val="0"/>
              <w:autoSpaceDN w:val="0"/>
              <w:adjustRightInd w:val="0"/>
              <w:spacing w:before="80" w:after="80"/>
              <w:ind w:left="-112" w:right="-107"/>
              <w:jc w:val="center"/>
            </w:pPr>
            <w:r>
              <w:lastRenderedPageBreak/>
              <w:t>7.</w:t>
            </w:r>
          </w:p>
        </w:tc>
        <w:tc>
          <w:tcPr>
            <w:tcW w:w="1440" w:type="dxa"/>
          </w:tcPr>
          <w:p w14:paraId="16722A8D" w14:textId="63D37C33" w:rsidR="0061230E" w:rsidRDefault="0061230E" w:rsidP="00EA5E39">
            <w:pPr>
              <w:autoSpaceDE w:val="0"/>
              <w:autoSpaceDN w:val="0"/>
              <w:adjustRightInd w:val="0"/>
              <w:spacing w:before="80" w:after="80"/>
            </w:pPr>
            <w:r>
              <w:t>Organization of MISO States</w:t>
            </w:r>
          </w:p>
        </w:tc>
        <w:tc>
          <w:tcPr>
            <w:tcW w:w="1890" w:type="dxa"/>
          </w:tcPr>
          <w:p w14:paraId="34D71F2B" w14:textId="1A063883" w:rsidR="0061230E" w:rsidRDefault="0061230E" w:rsidP="00EA5E39">
            <w:pPr>
              <w:autoSpaceDE w:val="0"/>
              <w:autoSpaceDN w:val="0"/>
              <w:adjustRightInd w:val="0"/>
              <w:spacing w:before="80" w:after="80"/>
            </w:pPr>
            <w:r>
              <w:t>Brad Pope</w:t>
            </w:r>
          </w:p>
        </w:tc>
        <w:tc>
          <w:tcPr>
            <w:tcW w:w="9450" w:type="dxa"/>
          </w:tcPr>
          <w:p w14:paraId="60B2C085" w14:textId="31BEABFD" w:rsidR="0061230E" w:rsidRDefault="0061230E" w:rsidP="0061230E">
            <w:pPr>
              <w:autoSpaceDE w:val="0"/>
              <w:autoSpaceDN w:val="0"/>
              <w:adjustRightInd w:val="0"/>
              <w:spacing w:before="80" w:after="80"/>
            </w:pPr>
            <w:r>
              <w:t>a) The OMS DER Work Group would like to clarify that the registration category of “Aggregator” includes individual DERs of sufficient size that are participating as a single resource aggregation</w:t>
            </w:r>
            <w:r w:rsidR="00895850">
              <w:rPr>
                <w:rStyle w:val="FootnoteReference"/>
              </w:rPr>
              <w:footnoteReference w:id="1"/>
            </w:r>
            <w:r>
              <w:t xml:space="preserve"> and acting as their own aggregator.</w:t>
            </w:r>
          </w:p>
          <w:p w14:paraId="3BD37416" w14:textId="1BE10E5B" w:rsidR="0061230E" w:rsidRDefault="0061230E" w:rsidP="0061230E">
            <w:pPr>
              <w:autoSpaceDE w:val="0"/>
              <w:autoSpaceDN w:val="0"/>
              <w:adjustRightInd w:val="0"/>
              <w:spacing w:before="80" w:after="80"/>
            </w:pPr>
            <w:r>
              <w:t xml:space="preserve">b) No, the OMS DER Work Group does not recommend removal of any of the proposed registration categories. However, we would like to stress the “Applicable Regulatory Authority” category is essential, as </w:t>
            </w:r>
            <w:proofErr w:type="spellStart"/>
            <w:r>
              <w:t>RERRAs</w:t>
            </w:r>
            <w:proofErr w:type="spellEnd"/>
            <w:r>
              <w:t xml:space="preserve"> will play a central role in FERC Order No. 2222 implementation.</w:t>
            </w:r>
          </w:p>
        </w:tc>
      </w:tr>
      <w:tr w:rsidR="00E36B3B" w14:paraId="1E87B222" w14:textId="77777777" w:rsidTr="00F502F3">
        <w:tc>
          <w:tcPr>
            <w:tcW w:w="265" w:type="dxa"/>
          </w:tcPr>
          <w:p w14:paraId="6CC1FF13" w14:textId="7B63C215" w:rsidR="00E36B3B" w:rsidRDefault="0059482C" w:rsidP="00EA5E39">
            <w:pPr>
              <w:autoSpaceDE w:val="0"/>
              <w:autoSpaceDN w:val="0"/>
              <w:adjustRightInd w:val="0"/>
              <w:spacing w:before="80" w:after="80"/>
              <w:ind w:left="-112" w:right="-107"/>
              <w:jc w:val="center"/>
            </w:pPr>
            <w:r>
              <w:t>8.</w:t>
            </w:r>
          </w:p>
        </w:tc>
        <w:tc>
          <w:tcPr>
            <w:tcW w:w="1440" w:type="dxa"/>
          </w:tcPr>
          <w:p w14:paraId="69637F19" w14:textId="4B146316" w:rsidR="00E36B3B" w:rsidRDefault="0059482C" w:rsidP="00EA5E39">
            <w:pPr>
              <w:autoSpaceDE w:val="0"/>
              <w:autoSpaceDN w:val="0"/>
              <w:adjustRightInd w:val="0"/>
              <w:spacing w:before="80" w:after="80"/>
            </w:pPr>
            <w:r>
              <w:t>Southwest Power Pool</w:t>
            </w:r>
          </w:p>
        </w:tc>
        <w:tc>
          <w:tcPr>
            <w:tcW w:w="1890" w:type="dxa"/>
          </w:tcPr>
          <w:p w14:paraId="290FE462" w14:textId="0AE6688C" w:rsidR="00E36B3B" w:rsidRDefault="0059482C" w:rsidP="00EA5E39">
            <w:pPr>
              <w:autoSpaceDE w:val="0"/>
              <w:autoSpaceDN w:val="0"/>
              <w:adjustRightInd w:val="0"/>
              <w:spacing w:before="80" w:after="80"/>
            </w:pPr>
            <w:r>
              <w:t>Joshua Phillips</w:t>
            </w:r>
          </w:p>
        </w:tc>
        <w:tc>
          <w:tcPr>
            <w:tcW w:w="9450" w:type="dxa"/>
          </w:tcPr>
          <w:p w14:paraId="61B95892" w14:textId="47D3CDFC" w:rsidR="00E36B3B" w:rsidRDefault="0059482C" w:rsidP="0061230E">
            <w:pPr>
              <w:autoSpaceDE w:val="0"/>
              <w:autoSpaceDN w:val="0"/>
              <w:adjustRightInd w:val="0"/>
              <w:spacing w:before="80" w:after="80"/>
            </w:pPr>
            <w:r w:rsidRPr="0059482C">
              <w:t>Entities already registered within the NAESB EIR should not be duplicated within a separate registry.</w:t>
            </w:r>
          </w:p>
        </w:tc>
      </w:tr>
      <w:tr w:rsidR="00BF3592" w14:paraId="24FA090C" w14:textId="77777777" w:rsidTr="00F502F3">
        <w:tc>
          <w:tcPr>
            <w:tcW w:w="265" w:type="dxa"/>
          </w:tcPr>
          <w:p w14:paraId="0B2799C6" w14:textId="6E4C96E5" w:rsidR="00BF3592" w:rsidRDefault="00BF3592" w:rsidP="00EA5E39">
            <w:pPr>
              <w:autoSpaceDE w:val="0"/>
              <w:autoSpaceDN w:val="0"/>
              <w:adjustRightInd w:val="0"/>
              <w:spacing w:before="80" w:after="80"/>
              <w:ind w:left="-112" w:right="-107"/>
              <w:jc w:val="center"/>
            </w:pPr>
            <w:r>
              <w:t>9.</w:t>
            </w:r>
          </w:p>
        </w:tc>
        <w:tc>
          <w:tcPr>
            <w:tcW w:w="1440" w:type="dxa"/>
          </w:tcPr>
          <w:p w14:paraId="094302F2" w14:textId="5A31F49C" w:rsidR="00BF3592" w:rsidRDefault="00BF3592" w:rsidP="00EA5E39">
            <w:pPr>
              <w:autoSpaceDE w:val="0"/>
              <w:autoSpaceDN w:val="0"/>
              <w:adjustRightInd w:val="0"/>
              <w:spacing w:before="80" w:after="80"/>
            </w:pPr>
            <w:r>
              <w:t>Tri-State Generation &amp; Transmission</w:t>
            </w:r>
          </w:p>
        </w:tc>
        <w:tc>
          <w:tcPr>
            <w:tcW w:w="1890" w:type="dxa"/>
          </w:tcPr>
          <w:p w14:paraId="6AD4B25D" w14:textId="1111B236" w:rsidR="00BF3592" w:rsidRDefault="00BF3592" w:rsidP="00EA5E39">
            <w:pPr>
              <w:autoSpaceDE w:val="0"/>
              <w:autoSpaceDN w:val="0"/>
              <w:adjustRightInd w:val="0"/>
              <w:spacing w:before="80" w:after="80"/>
            </w:pPr>
            <w:r>
              <w:t xml:space="preserve">Igor </w:t>
            </w:r>
            <w:proofErr w:type="spellStart"/>
            <w:r>
              <w:t>Kormaz</w:t>
            </w:r>
            <w:proofErr w:type="spellEnd"/>
          </w:p>
        </w:tc>
        <w:tc>
          <w:tcPr>
            <w:tcW w:w="9450" w:type="dxa"/>
          </w:tcPr>
          <w:p w14:paraId="27B190E1" w14:textId="77777777" w:rsidR="00BF3592" w:rsidRDefault="00BF3592" w:rsidP="0061230E">
            <w:pPr>
              <w:autoSpaceDE w:val="0"/>
              <w:autoSpaceDN w:val="0"/>
              <w:adjustRightInd w:val="0"/>
              <w:spacing w:before="80" w:after="80"/>
            </w:pPr>
            <w:r>
              <w:t xml:space="preserve">a) </w:t>
            </w:r>
            <w:r w:rsidRPr="00BF3592">
              <w:t>As mentioned, the existing NAESB Electric Industry Registry (EIR) has been successfully managed and operated by NAESB on behalf of the wholesale electric industry as the central repository for information needed to carry out commercial scheduling and transmission management operations, including identification of relevant market participants and the interchange information necessary to populate e-Tags. The EIR has industry accepted and defined “Entity” roles that could be similarly used in the DER Entity Registry to establish a consistency of defined terms and roles within the NAESB BPSs and industry use.</w:t>
            </w:r>
          </w:p>
          <w:tbl>
            <w:tblPr>
              <w:tblStyle w:val="TableGrid"/>
              <w:tblW w:w="9355" w:type="dxa"/>
              <w:tblLook w:val="04A0" w:firstRow="1" w:lastRow="0" w:firstColumn="1" w:lastColumn="0" w:noHBand="0" w:noVBand="1"/>
            </w:tblPr>
            <w:tblGrid>
              <w:gridCol w:w="2695"/>
              <w:gridCol w:w="6660"/>
            </w:tblGrid>
            <w:tr w:rsidR="0049406A" w:rsidRPr="008C4A8D" w14:paraId="0B340842" w14:textId="77777777" w:rsidTr="00574CC1">
              <w:tc>
                <w:tcPr>
                  <w:tcW w:w="2695" w:type="dxa"/>
                  <w:tcBorders>
                    <w:top w:val="single" w:sz="4" w:space="0" w:color="auto"/>
                    <w:left w:val="single" w:sz="4" w:space="0" w:color="auto"/>
                    <w:bottom w:val="single" w:sz="4" w:space="0" w:color="auto"/>
                    <w:right w:val="single" w:sz="4" w:space="0" w:color="auto"/>
                  </w:tcBorders>
                  <w:shd w:val="clear" w:color="000000" w:fill="D6DCE4"/>
                  <w:vAlign w:val="center"/>
                </w:tcPr>
                <w:p w14:paraId="48EEED79" w14:textId="77777777" w:rsidR="0049406A" w:rsidRPr="008C4A8D" w:rsidRDefault="0049406A" w:rsidP="0049406A">
                  <w:pPr>
                    <w:spacing w:before="40" w:after="40"/>
                    <w:jc w:val="center"/>
                    <w:rPr>
                      <w:rFonts w:ascii="Aptos" w:hAnsi="Aptos"/>
                    </w:rPr>
                  </w:pPr>
                  <w:r w:rsidRPr="008C4A8D">
                    <w:rPr>
                      <w:rFonts w:ascii="Aptos" w:hAnsi="Aptos"/>
                      <w:b/>
                      <w:bCs/>
                      <w:color w:val="000000"/>
                    </w:rPr>
                    <w:t>Registration Category</w:t>
                  </w:r>
                </w:p>
              </w:tc>
              <w:tc>
                <w:tcPr>
                  <w:tcW w:w="6660" w:type="dxa"/>
                  <w:tcBorders>
                    <w:top w:val="single" w:sz="4" w:space="0" w:color="auto"/>
                    <w:left w:val="nil"/>
                    <w:bottom w:val="single" w:sz="4" w:space="0" w:color="auto"/>
                    <w:right w:val="single" w:sz="4" w:space="0" w:color="auto"/>
                  </w:tcBorders>
                  <w:shd w:val="clear" w:color="000000" w:fill="D6DCE4"/>
                  <w:vAlign w:val="center"/>
                </w:tcPr>
                <w:p w14:paraId="11191B2B" w14:textId="77777777" w:rsidR="0049406A" w:rsidRPr="008C4A8D" w:rsidRDefault="0049406A" w:rsidP="0049406A">
                  <w:pPr>
                    <w:spacing w:before="40" w:after="40"/>
                    <w:jc w:val="center"/>
                    <w:rPr>
                      <w:rFonts w:ascii="Aptos" w:hAnsi="Aptos"/>
                    </w:rPr>
                  </w:pPr>
                  <w:r w:rsidRPr="008C4A8D">
                    <w:rPr>
                      <w:rFonts w:ascii="Aptos" w:hAnsi="Aptos"/>
                      <w:b/>
                      <w:bCs/>
                      <w:color w:val="000000"/>
                    </w:rPr>
                    <w:t>Description</w:t>
                  </w:r>
                </w:p>
              </w:tc>
            </w:tr>
            <w:tr w:rsidR="0049406A" w:rsidRPr="008C4A8D" w14:paraId="78AFCEA1"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662D71F7" w14:textId="77777777" w:rsidR="0049406A" w:rsidRPr="008C4A8D" w:rsidRDefault="0049406A" w:rsidP="0049406A">
                  <w:pPr>
                    <w:spacing w:before="40" w:after="40"/>
                    <w:rPr>
                      <w:rFonts w:ascii="Aptos" w:hAnsi="Aptos"/>
                    </w:rPr>
                  </w:pPr>
                  <w:r w:rsidRPr="008C4A8D">
                    <w:rPr>
                      <w:rFonts w:ascii="Aptos" w:hAnsi="Aptos"/>
                      <w:color w:val="000000"/>
                    </w:rPr>
                    <w:t>Aggregator</w:t>
                  </w:r>
                </w:p>
              </w:tc>
              <w:tc>
                <w:tcPr>
                  <w:tcW w:w="6660" w:type="dxa"/>
                  <w:tcBorders>
                    <w:top w:val="nil"/>
                    <w:left w:val="nil"/>
                    <w:bottom w:val="single" w:sz="4" w:space="0" w:color="auto"/>
                    <w:right w:val="single" w:sz="4" w:space="0" w:color="auto"/>
                  </w:tcBorders>
                  <w:shd w:val="clear" w:color="000000" w:fill="E7E6E6"/>
                </w:tcPr>
                <w:p w14:paraId="7879EE17" w14:textId="77777777" w:rsidR="0049406A" w:rsidRPr="008C4A8D" w:rsidRDefault="0049406A" w:rsidP="0049406A">
                  <w:pPr>
                    <w:spacing w:before="40" w:after="40"/>
                    <w:rPr>
                      <w:rFonts w:ascii="Aptos" w:hAnsi="Aptos"/>
                    </w:rPr>
                  </w:pPr>
                  <w:r w:rsidRPr="008C4A8D">
                    <w:rPr>
                      <w:rFonts w:ascii="Aptos" w:hAnsi="Aptos"/>
                      <w:color w:val="000000"/>
                    </w:rPr>
                    <w:t>Entity that aggregates DER devices for usage by other market participants</w:t>
                  </w:r>
                </w:p>
              </w:tc>
            </w:tr>
            <w:tr w:rsidR="0049406A" w:rsidRPr="008C4A8D" w14:paraId="7A4E61FE" w14:textId="77777777" w:rsidTr="00574CC1">
              <w:tc>
                <w:tcPr>
                  <w:tcW w:w="2695" w:type="dxa"/>
                  <w:tcBorders>
                    <w:top w:val="nil"/>
                    <w:left w:val="single" w:sz="4" w:space="0" w:color="auto"/>
                    <w:bottom w:val="single" w:sz="4" w:space="0" w:color="auto"/>
                    <w:right w:val="single" w:sz="4" w:space="0" w:color="auto"/>
                  </w:tcBorders>
                </w:tcPr>
                <w:p w14:paraId="0B96F472" w14:textId="77777777" w:rsidR="0049406A" w:rsidRPr="008C4A8D" w:rsidRDefault="0049406A" w:rsidP="0049406A">
                  <w:pPr>
                    <w:spacing w:before="40" w:after="40"/>
                    <w:rPr>
                      <w:rFonts w:ascii="Aptos" w:hAnsi="Aptos"/>
                    </w:rPr>
                  </w:pPr>
                  <w:r w:rsidRPr="008C4A8D">
                    <w:rPr>
                      <w:rFonts w:ascii="Aptos" w:hAnsi="Aptos"/>
                      <w:color w:val="000000"/>
                    </w:rPr>
                    <w:t>Distribution System Provider</w:t>
                  </w:r>
                </w:p>
              </w:tc>
              <w:tc>
                <w:tcPr>
                  <w:tcW w:w="6660" w:type="dxa"/>
                  <w:tcBorders>
                    <w:top w:val="nil"/>
                    <w:left w:val="nil"/>
                    <w:bottom w:val="single" w:sz="4" w:space="0" w:color="auto"/>
                    <w:right w:val="single" w:sz="4" w:space="0" w:color="auto"/>
                  </w:tcBorders>
                </w:tcPr>
                <w:p w14:paraId="392C79EE" w14:textId="77777777" w:rsidR="0049406A" w:rsidRPr="008C4A8D" w:rsidRDefault="0049406A" w:rsidP="0049406A">
                  <w:pPr>
                    <w:spacing w:before="40" w:after="40"/>
                    <w:rPr>
                      <w:rFonts w:ascii="Aptos" w:hAnsi="Aptos"/>
                    </w:rPr>
                  </w:pPr>
                  <w:r w:rsidRPr="008C4A8D">
                    <w:rPr>
                      <w:rFonts w:ascii="Aptos" w:hAnsi="Aptos"/>
                      <w:color w:val="000000"/>
                    </w:rPr>
                    <w:t>Entity that operates a distribution system or local transmission system</w:t>
                  </w:r>
                </w:p>
              </w:tc>
            </w:tr>
            <w:tr w:rsidR="0049406A" w:rsidRPr="008C4A8D" w14:paraId="1D3E32EB"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2C1258DE" w14:textId="77777777" w:rsidR="0049406A" w:rsidRPr="008C4A8D" w:rsidRDefault="0049406A" w:rsidP="0049406A">
                  <w:pPr>
                    <w:spacing w:before="40" w:after="40"/>
                    <w:rPr>
                      <w:rFonts w:ascii="Aptos" w:hAnsi="Aptos"/>
                    </w:rPr>
                  </w:pPr>
                  <w:r w:rsidRPr="008C4A8D">
                    <w:rPr>
                      <w:rFonts w:ascii="Aptos" w:hAnsi="Aptos"/>
                      <w:color w:val="000000"/>
                    </w:rPr>
                    <w:t>Supplier</w:t>
                  </w:r>
                </w:p>
              </w:tc>
              <w:tc>
                <w:tcPr>
                  <w:tcW w:w="6660" w:type="dxa"/>
                  <w:tcBorders>
                    <w:top w:val="nil"/>
                    <w:left w:val="nil"/>
                    <w:bottom w:val="single" w:sz="4" w:space="0" w:color="auto"/>
                    <w:right w:val="single" w:sz="4" w:space="0" w:color="auto"/>
                  </w:tcBorders>
                  <w:shd w:val="clear" w:color="000000" w:fill="E7E6E6"/>
                </w:tcPr>
                <w:p w14:paraId="56E7FF69" w14:textId="77777777" w:rsidR="0049406A" w:rsidRPr="008C4A8D" w:rsidRDefault="0049406A" w:rsidP="0049406A">
                  <w:pPr>
                    <w:spacing w:before="40" w:after="40"/>
                    <w:rPr>
                      <w:rFonts w:ascii="Aptos" w:hAnsi="Aptos"/>
                    </w:rPr>
                  </w:pPr>
                  <w:r w:rsidRPr="008C4A8D">
                    <w:rPr>
                      <w:rFonts w:ascii="Aptos" w:hAnsi="Aptos"/>
                      <w:color w:val="000000"/>
                    </w:rPr>
                    <w:t>Entity that provides competitive retail electric services to customers</w:t>
                  </w:r>
                </w:p>
              </w:tc>
            </w:tr>
            <w:tr w:rsidR="0049406A" w:rsidRPr="008C4A8D" w14:paraId="2DAA138C" w14:textId="77777777" w:rsidTr="00574CC1">
              <w:tc>
                <w:tcPr>
                  <w:tcW w:w="2695" w:type="dxa"/>
                  <w:tcBorders>
                    <w:top w:val="nil"/>
                    <w:left w:val="single" w:sz="4" w:space="0" w:color="auto"/>
                    <w:bottom w:val="single" w:sz="4" w:space="0" w:color="auto"/>
                    <w:right w:val="single" w:sz="4" w:space="0" w:color="auto"/>
                  </w:tcBorders>
                </w:tcPr>
                <w:p w14:paraId="763417B1" w14:textId="77777777" w:rsidR="0049406A" w:rsidRDefault="0049406A" w:rsidP="0049406A">
                  <w:pPr>
                    <w:spacing w:before="40" w:after="40"/>
                    <w:rPr>
                      <w:rFonts w:ascii="Aptos" w:hAnsi="Aptos"/>
                      <w:strike/>
                      <w:color w:val="000000"/>
                    </w:rPr>
                  </w:pPr>
                  <w:r w:rsidRPr="00F45135">
                    <w:rPr>
                      <w:rFonts w:ascii="Aptos" w:hAnsi="Aptos"/>
                      <w:strike/>
                      <w:color w:val="000000"/>
                    </w:rPr>
                    <w:lastRenderedPageBreak/>
                    <w:t>Scheduling Entity</w:t>
                  </w:r>
                </w:p>
                <w:p w14:paraId="477DD597" w14:textId="77777777" w:rsidR="0049406A" w:rsidRPr="00F45135" w:rsidRDefault="0049406A" w:rsidP="0049406A">
                  <w:pPr>
                    <w:spacing w:before="40" w:after="40"/>
                    <w:rPr>
                      <w:rFonts w:ascii="Aptos" w:hAnsi="Aptos"/>
                    </w:rPr>
                  </w:pPr>
                  <w:r w:rsidRPr="00F45135">
                    <w:rPr>
                      <w:rFonts w:ascii="Aptos" w:hAnsi="Aptos"/>
                      <w:color w:val="E36C0A" w:themeColor="accent6" w:themeShade="BF"/>
                    </w:rPr>
                    <w:t>Purchase-Selling Entities</w:t>
                  </w:r>
                </w:p>
              </w:tc>
              <w:tc>
                <w:tcPr>
                  <w:tcW w:w="6660" w:type="dxa"/>
                  <w:tcBorders>
                    <w:top w:val="nil"/>
                    <w:left w:val="nil"/>
                    <w:bottom w:val="single" w:sz="4" w:space="0" w:color="auto"/>
                    <w:right w:val="single" w:sz="4" w:space="0" w:color="auto"/>
                  </w:tcBorders>
                </w:tcPr>
                <w:p w14:paraId="4177D819" w14:textId="77777777" w:rsidR="0049406A" w:rsidRPr="008C4A8D" w:rsidRDefault="0049406A" w:rsidP="0049406A">
                  <w:pPr>
                    <w:spacing w:before="40" w:after="40"/>
                    <w:rPr>
                      <w:rFonts w:ascii="Aptos" w:hAnsi="Aptos"/>
                    </w:rPr>
                  </w:pPr>
                  <w:r w:rsidRPr="008C4A8D">
                    <w:rPr>
                      <w:rFonts w:ascii="Aptos" w:hAnsi="Aptos"/>
                      <w:color w:val="000000"/>
                    </w:rPr>
                    <w:t>Entity responsible for submitting bids or offers and receiving schedules and awards</w:t>
                  </w:r>
                </w:p>
              </w:tc>
            </w:tr>
            <w:tr w:rsidR="0049406A" w:rsidRPr="008C4A8D" w14:paraId="70788548"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70BC9AE1" w14:textId="77777777" w:rsidR="0049406A" w:rsidRPr="00F45135" w:rsidRDefault="0049406A" w:rsidP="0049406A">
                  <w:pPr>
                    <w:spacing w:before="40" w:after="40"/>
                    <w:rPr>
                      <w:rFonts w:ascii="Aptos" w:hAnsi="Aptos"/>
                      <w:strike/>
                      <w:color w:val="000000"/>
                    </w:rPr>
                  </w:pPr>
                  <w:r w:rsidRPr="00F45135">
                    <w:rPr>
                      <w:rFonts w:ascii="Aptos" w:hAnsi="Aptos"/>
                      <w:strike/>
                      <w:color w:val="000000"/>
                    </w:rPr>
                    <w:t>Bulk Power System Operator</w:t>
                  </w:r>
                </w:p>
                <w:p w14:paraId="0E8E8C59" w14:textId="77777777" w:rsidR="0049406A" w:rsidRPr="008C4A8D" w:rsidRDefault="0049406A" w:rsidP="0049406A">
                  <w:pPr>
                    <w:spacing w:before="40" w:after="40"/>
                    <w:rPr>
                      <w:rFonts w:ascii="Aptos" w:hAnsi="Aptos"/>
                    </w:rPr>
                  </w:pPr>
                  <w:r w:rsidRPr="00F45135">
                    <w:rPr>
                      <w:rFonts w:ascii="Aptos" w:hAnsi="Aptos"/>
                      <w:color w:val="E36C0A" w:themeColor="accent6" w:themeShade="BF"/>
                    </w:rPr>
                    <w:t>Transmission Service Providers</w:t>
                  </w:r>
                </w:p>
              </w:tc>
              <w:tc>
                <w:tcPr>
                  <w:tcW w:w="6660" w:type="dxa"/>
                  <w:tcBorders>
                    <w:top w:val="nil"/>
                    <w:left w:val="nil"/>
                    <w:bottom w:val="single" w:sz="4" w:space="0" w:color="auto"/>
                    <w:right w:val="single" w:sz="4" w:space="0" w:color="auto"/>
                  </w:tcBorders>
                  <w:shd w:val="clear" w:color="000000" w:fill="E7E6E6"/>
                </w:tcPr>
                <w:p w14:paraId="0DAAE74F" w14:textId="77777777" w:rsidR="0049406A" w:rsidRPr="008C4A8D" w:rsidRDefault="0049406A" w:rsidP="0049406A">
                  <w:pPr>
                    <w:spacing w:before="40" w:after="40"/>
                    <w:rPr>
                      <w:rFonts w:ascii="Aptos" w:hAnsi="Aptos"/>
                    </w:rPr>
                  </w:pPr>
                  <w:r w:rsidRPr="008C4A8D">
                    <w:rPr>
                      <w:rFonts w:ascii="Aptos" w:hAnsi="Aptos"/>
                      <w:color w:val="000000"/>
                    </w:rPr>
                    <w:t>Entity responsible for monitoring and controlling a bulk electric system</w:t>
                  </w:r>
                </w:p>
              </w:tc>
            </w:tr>
            <w:tr w:rsidR="0049406A" w:rsidRPr="008C4A8D" w14:paraId="5D4C5DA9" w14:textId="77777777" w:rsidTr="00574CC1">
              <w:tc>
                <w:tcPr>
                  <w:tcW w:w="2695" w:type="dxa"/>
                  <w:tcBorders>
                    <w:top w:val="nil"/>
                    <w:left w:val="single" w:sz="4" w:space="0" w:color="auto"/>
                    <w:bottom w:val="single" w:sz="4" w:space="0" w:color="auto"/>
                    <w:right w:val="single" w:sz="4" w:space="0" w:color="auto"/>
                  </w:tcBorders>
                </w:tcPr>
                <w:p w14:paraId="5A9E1537" w14:textId="77777777" w:rsidR="0049406A" w:rsidRDefault="0049406A" w:rsidP="0049406A">
                  <w:pPr>
                    <w:spacing w:before="40" w:after="40"/>
                    <w:rPr>
                      <w:rFonts w:ascii="Aptos" w:hAnsi="Aptos"/>
                      <w:strike/>
                      <w:color w:val="000000"/>
                    </w:rPr>
                  </w:pPr>
                  <w:r w:rsidRPr="00F45135">
                    <w:rPr>
                      <w:rFonts w:ascii="Aptos" w:hAnsi="Aptos"/>
                      <w:strike/>
                      <w:color w:val="000000"/>
                    </w:rPr>
                    <w:t>Bulk Power Reliability Coordinator</w:t>
                  </w:r>
                </w:p>
                <w:p w14:paraId="7DA0B4C5" w14:textId="77777777" w:rsidR="0049406A" w:rsidRPr="00F45135" w:rsidRDefault="0049406A" w:rsidP="0049406A">
                  <w:pPr>
                    <w:spacing w:before="40" w:after="40"/>
                    <w:rPr>
                      <w:rFonts w:ascii="Aptos" w:hAnsi="Aptos"/>
                    </w:rPr>
                  </w:pPr>
                  <w:r w:rsidRPr="00F45135">
                    <w:rPr>
                      <w:rFonts w:ascii="Aptos" w:hAnsi="Aptos"/>
                      <w:color w:val="E36C0A" w:themeColor="accent6" w:themeShade="BF"/>
                    </w:rPr>
                    <w:t>Reliability Coordinators</w:t>
                  </w:r>
                </w:p>
              </w:tc>
              <w:tc>
                <w:tcPr>
                  <w:tcW w:w="6660" w:type="dxa"/>
                  <w:tcBorders>
                    <w:top w:val="nil"/>
                    <w:left w:val="nil"/>
                    <w:bottom w:val="single" w:sz="4" w:space="0" w:color="auto"/>
                    <w:right w:val="single" w:sz="4" w:space="0" w:color="auto"/>
                  </w:tcBorders>
                </w:tcPr>
                <w:p w14:paraId="1943E8F2" w14:textId="77777777" w:rsidR="0049406A" w:rsidRPr="008C4A8D" w:rsidRDefault="0049406A" w:rsidP="0049406A">
                  <w:pPr>
                    <w:spacing w:before="40" w:after="40"/>
                    <w:rPr>
                      <w:rFonts w:ascii="Aptos" w:hAnsi="Aptos"/>
                    </w:rPr>
                  </w:pPr>
                  <w:r w:rsidRPr="008C4A8D">
                    <w:rPr>
                      <w:rFonts w:ascii="Aptos" w:hAnsi="Aptos"/>
                      <w:color w:val="000000"/>
                    </w:rPr>
                    <w:t>Entity responsible for the reliable operation of the bulk power system</w:t>
                  </w:r>
                </w:p>
              </w:tc>
            </w:tr>
            <w:tr w:rsidR="0049406A" w:rsidRPr="008C4A8D" w14:paraId="6D692C69"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55B1FCC0" w14:textId="77777777" w:rsidR="0049406A" w:rsidRPr="00F45135" w:rsidRDefault="0049406A" w:rsidP="0049406A">
                  <w:pPr>
                    <w:spacing w:before="40" w:after="40"/>
                    <w:rPr>
                      <w:rFonts w:ascii="Aptos" w:hAnsi="Aptos"/>
                      <w:strike/>
                      <w:color w:val="000000"/>
                    </w:rPr>
                  </w:pPr>
                  <w:r w:rsidRPr="00F45135">
                    <w:rPr>
                      <w:rFonts w:ascii="Aptos" w:hAnsi="Aptos"/>
                      <w:strike/>
                      <w:color w:val="000000"/>
                    </w:rPr>
                    <w:t>Bulk Power Market Operator</w:t>
                  </w:r>
                </w:p>
                <w:p w14:paraId="283A4238" w14:textId="77777777" w:rsidR="0049406A" w:rsidRPr="008C4A8D" w:rsidRDefault="0049406A" w:rsidP="0049406A">
                  <w:pPr>
                    <w:spacing w:before="40" w:after="40"/>
                    <w:rPr>
                      <w:rFonts w:ascii="Aptos" w:hAnsi="Aptos"/>
                    </w:rPr>
                  </w:pPr>
                  <w:r w:rsidRPr="00F45135">
                    <w:rPr>
                      <w:rFonts w:ascii="Aptos" w:hAnsi="Aptos"/>
                      <w:color w:val="E36C0A" w:themeColor="accent6" w:themeShade="BF"/>
                    </w:rPr>
                    <w:t>Market Operators</w:t>
                  </w:r>
                </w:p>
              </w:tc>
              <w:tc>
                <w:tcPr>
                  <w:tcW w:w="6660" w:type="dxa"/>
                  <w:tcBorders>
                    <w:top w:val="nil"/>
                    <w:left w:val="nil"/>
                    <w:bottom w:val="single" w:sz="4" w:space="0" w:color="auto"/>
                    <w:right w:val="single" w:sz="4" w:space="0" w:color="auto"/>
                  </w:tcBorders>
                  <w:shd w:val="clear" w:color="000000" w:fill="E7E6E6"/>
                </w:tcPr>
                <w:p w14:paraId="5E0B2A78" w14:textId="77777777" w:rsidR="0049406A" w:rsidRPr="008C4A8D" w:rsidRDefault="0049406A" w:rsidP="0049406A">
                  <w:pPr>
                    <w:spacing w:before="40" w:after="40"/>
                    <w:rPr>
                      <w:rFonts w:ascii="Aptos" w:hAnsi="Aptos"/>
                    </w:rPr>
                  </w:pPr>
                  <w:r w:rsidRPr="008C4A8D">
                    <w:rPr>
                      <w:rFonts w:ascii="Aptos" w:hAnsi="Aptos"/>
                      <w:color w:val="000000"/>
                    </w:rPr>
                    <w:t>Entity responsible for implementation of an organized market</w:t>
                  </w:r>
                </w:p>
              </w:tc>
            </w:tr>
            <w:tr w:rsidR="0049406A" w:rsidRPr="008C4A8D" w14:paraId="65695C4A" w14:textId="77777777" w:rsidTr="00574CC1">
              <w:tc>
                <w:tcPr>
                  <w:tcW w:w="2695" w:type="dxa"/>
                  <w:tcBorders>
                    <w:top w:val="nil"/>
                    <w:left w:val="single" w:sz="4" w:space="0" w:color="auto"/>
                    <w:bottom w:val="single" w:sz="4" w:space="0" w:color="auto"/>
                    <w:right w:val="single" w:sz="4" w:space="0" w:color="auto"/>
                  </w:tcBorders>
                </w:tcPr>
                <w:p w14:paraId="76D9AAC8" w14:textId="77777777" w:rsidR="0049406A" w:rsidRPr="00F45135" w:rsidRDefault="0049406A" w:rsidP="0049406A">
                  <w:pPr>
                    <w:spacing w:before="40" w:after="40"/>
                    <w:rPr>
                      <w:rFonts w:ascii="Aptos" w:hAnsi="Aptos"/>
                      <w:strike/>
                      <w:color w:val="000000"/>
                    </w:rPr>
                  </w:pPr>
                  <w:r w:rsidRPr="00F45135">
                    <w:rPr>
                      <w:rFonts w:ascii="Aptos" w:hAnsi="Aptos"/>
                      <w:strike/>
                      <w:color w:val="000000"/>
                    </w:rPr>
                    <w:t>Electric Reliability Organization</w:t>
                  </w:r>
                </w:p>
                <w:p w14:paraId="1779B791" w14:textId="77777777" w:rsidR="0049406A" w:rsidRPr="008C4A8D" w:rsidRDefault="0049406A" w:rsidP="0049406A">
                  <w:pPr>
                    <w:spacing w:before="40" w:after="40"/>
                    <w:rPr>
                      <w:rFonts w:ascii="Aptos" w:hAnsi="Aptos"/>
                    </w:rPr>
                  </w:pPr>
                  <w:r w:rsidRPr="00F45135">
                    <w:rPr>
                      <w:rFonts w:ascii="Aptos" w:hAnsi="Aptos"/>
                      <w:color w:val="E36C0A" w:themeColor="accent6" w:themeShade="BF"/>
                    </w:rPr>
                    <w:t>Regional Reliability Organizations</w:t>
                  </w:r>
                </w:p>
              </w:tc>
              <w:tc>
                <w:tcPr>
                  <w:tcW w:w="6660" w:type="dxa"/>
                  <w:tcBorders>
                    <w:top w:val="nil"/>
                    <w:left w:val="nil"/>
                    <w:bottom w:val="single" w:sz="4" w:space="0" w:color="auto"/>
                    <w:right w:val="single" w:sz="4" w:space="0" w:color="auto"/>
                  </w:tcBorders>
                </w:tcPr>
                <w:p w14:paraId="3383E15C" w14:textId="77777777" w:rsidR="0049406A" w:rsidRPr="008C4A8D" w:rsidRDefault="0049406A" w:rsidP="0049406A">
                  <w:pPr>
                    <w:spacing w:before="40" w:after="40"/>
                    <w:rPr>
                      <w:rFonts w:ascii="Aptos" w:hAnsi="Aptos"/>
                    </w:rPr>
                  </w:pPr>
                  <w:r w:rsidRPr="008C4A8D">
                    <w:rPr>
                      <w:rFonts w:ascii="Aptos" w:hAnsi="Aptos"/>
                      <w:color w:val="000000"/>
                    </w:rPr>
                    <w:t>Entity certified by FERC to establish and enforce reliability standards for the bulk-power system (e.g., NERC)</w:t>
                  </w:r>
                </w:p>
              </w:tc>
            </w:tr>
            <w:tr w:rsidR="0049406A" w:rsidRPr="008C4A8D" w14:paraId="70DCDA29" w14:textId="77777777" w:rsidTr="00574CC1">
              <w:tc>
                <w:tcPr>
                  <w:tcW w:w="2695" w:type="dxa"/>
                  <w:tcBorders>
                    <w:top w:val="nil"/>
                    <w:left w:val="single" w:sz="4" w:space="0" w:color="auto"/>
                    <w:bottom w:val="single" w:sz="4" w:space="0" w:color="auto"/>
                    <w:right w:val="single" w:sz="4" w:space="0" w:color="auto"/>
                  </w:tcBorders>
                </w:tcPr>
                <w:p w14:paraId="160662DE" w14:textId="77777777" w:rsidR="0049406A" w:rsidRPr="00F45135" w:rsidRDefault="0049406A" w:rsidP="0049406A">
                  <w:pPr>
                    <w:spacing w:before="40" w:after="40"/>
                    <w:rPr>
                      <w:rFonts w:ascii="Aptos" w:hAnsi="Aptos"/>
                      <w:color w:val="000000"/>
                    </w:rPr>
                  </w:pPr>
                  <w:r w:rsidRPr="002A0A5C">
                    <w:rPr>
                      <w:rFonts w:ascii="Aptos" w:hAnsi="Aptos"/>
                      <w:color w:val="E36C0A" w:themeColor="accent6" w:themeShade="BF"/>
                    </w:rPr>
                    <w:t xml:space="preserve">Balancing Authorities </w:t>
                  </w:r>
                </w:p>
              </w:tc>
              <w:tc>
                <w:tcPr>
                  <w:tcW w:w="6660" w:type="dxa"/>
                  <w:tcBorders>
                    <w:top w:val="nil"/>
                    <w:left w:val="nil"/>
                    <w:bottom w:val="single" w:sz="4" w:space="0" w:color="auto"/>
                    <w:right w:val="single" w:sz="4" w:space="0" w:color="auto"/>
                  </w:tcBorders>
                </w:tcPr>
                <w:p w14:paraId="0E0BAC47" w14:textId="77777777" w:rsidR="0049406A" w:rsidRPr="008C4A8D" w:rsidRDefault="0049406A" w:rsidP="0049406A">
                  <w:pPr>
                    <w:spacing w:before="40" w:after="40"/>
                    <w:rPr>
                      <w:rFonts w:ascii="Aptos" w:hAnsi="Aptos"/>
                      <w:color w:val="000000"/>
                    </w:rPr>
                  </w:pPr>
                  <w:r w:rsidRPr="002A0A5C">
                    <w:rPr>
                      <w:rFonts w:ascii="Aptos" w:hAnsi="Aptos"/>
                      <w:color w:val="E36C0A" w:themeColor="accent6" w:themeShade="BF"/>
                    </w:rPr>
                    <w:t>Entity responsible for balancing resources and load withing a metered boundary.</w:t>
                  </w:r>
                </w:p>
              </w:tc>
            </w:tr>
            <w:tr w:rsidR="0049406A" w:rsidRPr="008C4A8D" w14:paraId="1CDCD659" w14:textId="77777777" w:rsidTr="00574CC1">
              <w:tc>
                <w:tcPr>
                  <w:tcW w:w="2695" w:type="dxa"/>
                  <w:tcBorders>
                    <w:top w:val="nil"/>
                    <w:left w:val="single" w:sz="4" w:space="0" w:color="auto"/>
                    <w:bottom w:val="single" w:sz="4" w:space="0" w:color="auto"/>
                    <w:right w:val="single" w:sz="4" w:space="0" w:color="auto"/>
                  </w:tcBorders>
                  <w:shd w:val="clear" w:color="000000" w:fill="E7E6E6"/>
                </w:tcPr>
                <w:p w14:paraId="63AA43D7" w14:textId="77777777" w:rsidR="0049406A" w:rsidRPr="008C4A8D" w:rsidRDefault="0049406A" w:rsidP="0049406A">
                  <w:pPr>
                    <w:spacing w:before="40" w:after="40"/>
                    <w:rPr>
                      <w:rFonts w:ascii="Aptos" w:hAnsi="Aptos"/>
                    </w:rPr>
                  </w:pPr>
                  <w:r w:rsidRPr="008C4A8D">
                    <w:rPr>
                      <w:rFonts w:ascii="Aptos" w:hAnsi="Aptos"/>
                      <w:color w:val="000000"/>
                    </w:rPr>
                    <w:t>Applicable Regulatory Authority</w:t>
                  </w:r>
                </w:p>
              </w:tc>
              <w:tc>
                <w:tcPr>
                  <w:tcW w:w="6660" w:type="dxa"/>
                  <w:tcBorders>
                    <w:top w:val="nil"/>
                    <w:left w:val="nil"/>
                    <w:bottom w:val="single" w:sz="4" w:space="0" w:color="auto"/>
                    <w:right w:val="single" w:sz="4" w:space="0" w:color="auto"/>
                  </w:tcBorders>
                  <w:shd w:val="clear" w:color="000000" w:fill="E7E6E6"/>
                </w:tcPr>
                <w:p w14:paraId="15F96D25" w14:textId="77777777" w:rsidR="0049406A" w:rsidRPr="008C4A8D" w:rsidRDefault="0049406A" w:rsidP="0049406A">
                  <w:pPr>
                    <w:spacing w:before="40" w:after="40"/>
                    <w:rPr>
                      <w:rFonts w:ascii="Aptos" w:hAnsi="Aptos"/>
                    </w:rPr>
                  </w:pPr>
                  <w:r w:rsidRPr="008C4A8D">
                    <w:rPr>
                      <w:rFonts w:ascii="Aptos" w:hAnsi="Aptos"/>
                      <w:color w:val="000000"/>
                    </w:rPr>
                    <w:t xml:space="preserve">Local, state or federal regulator </w:t>
                  </w:r>
                </w:p>
              </w:tc>
            </w:tr>
          </w:tbl>
          <w:p w14:paraId="7CCB7951" w14:textId="5D3F0A15" w:rsidR="00BF3592" w:rsidRPr="0059482C" w:rsidRDefault="00BF3592" w:rsidP="0061230E">
            <w:pPr>
              <w:autoSpaceDE w:val="0"/>
              <w:autoSpaceDN w:val="0"/>
              <w:adjustRightInd w:val="0"/>
              <w:spacing w:before="80" w:after="80"/>
            </w:pPr>
          </w:p>
        </w:tc>
      </w:tr>
      <w:bookmarkEnd w:id="7"/>
    </w:tbl>
    <w:p w14:paraId="5EA5E6D8" w14:textId="0940AD6F" w:rsidR="00B61BDC" w:rsidRDefault="00B61BDC" w:rsidP="0064079D">
      <w:pPr>
        <w:autoSpaceDE w:val="0"/>
        <w:autoSpaceDN w:val="0"/>
        <w:adjustRightInd w:val="0"/>
        <w:spacing w:before="80" w:after="80"/>
      </w:pPr>
    </w:p>
    <w:p w14:paraId="114A327A"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B61BDC" w14:paraId="79CBC9C3" w14:textId="77777777" w:rsidTr="00EA5E39">
        <w:trPr>
          <w:trHeight w:val="414"/>
          <w:tblHeader/>
        </w:trPr>
        <w:tc>
          <w:tcPr>
            <w:tcW w:w="13045" w:type="dxa"/>
            <w:gridSpan w:val="4"/>
            <w:tcBorders>
              <w:bottom w:val="double" w:sz="4" w:space="0" w:color="auto"/>
            </w:tcBorders>
            <w:shd w:val="pct10" w:color="auto" w:fill="auto"/>
          </w:tcPr>
          <w:p w14:paraId="5BA4B429" w14:textId="77777777" w:rsidR="00725595" w:rsidRDefault="00725595" w:rsidP="00725595">
            <w:pPr>
              <w:pStyle w:val="BodyText"/>
              <w:tabs>
                <w:tab w:val="center" w:pos="4569"/>
              </w:tabs>
              <w:spacing w:before="60" w:after="60"/>
              <w:jc w:val="center"/>
              <w:rPr>
                <w:b/>
                <w:bCs/>
                <w:smallCaps/>
                <w:sz w:val="20"/>
              </w:rPr>
            </w:pPr>
            <w:r>
              <w:rPr>
                <w:b/>
                <w:bCs/>
                <w:smallCaps/>
                <w:sz w:val="20"/>
              </w:rPr>
              <w:lastRenderedPageBreak/>
              <w:t>Responses Submitted in Response to WEQ/RMQ BPS Informal Comment Request Ending March 10, 2026</w:t>
            </w:r>
          </w:p>
          <w:p w14:paraId="328D8248" w14:textId="45E73CDD" w:rsidR="00B61BDC" w:rsidRDefault="00725595" w:rsidP="00725595">
            <w:pPr>
              <w:pStyle w:val="BodyText"/>
              <w:tabs>
                <w:tab w:val="center" w:pos="4569"/>
              </w:tabs>
              <w:spacing w:before="60" w:after="60"/>
              <w:jc w:val="center"/>
            </w:pPr>
            <w:r>
              <w:rPr>
                <w:b/>
                <w:bCs/>
                <w:smallCaps/>
                <w:sz w:val="20"/>
              </w:rPr>
              <w:t>Question 3</w:t>
            </w:r>
          </w:p>
        </w:tc>
      </w:tr>
      <w:tr w:rsidR="00B61BDC" w:rsidRPr="00DF0B88" w14:paraId="6F4832D5" w14:textId="77777777" w:rsidTr="00EA5E39">
        <w:trPr>
          <w:tblHeader/>
        </w:trPr>
        <w:tc>
          <w:tcPr>
            <w:tcW w:w="1705" w:type="dxa"/>
            <w:gridSpan w:val="2"/>
            <w:tcBorders>
              <w:top w:val="double" w:sz="4" w:space="0" w:color="auto"/>
              <w:bottom w:val="single" w:sz="4" w:space="0" w:color="auto"/>
            </w:tcBorders>
            <w:shd w:val="pct10" w:color="auto" w:fill="auto"/>
          </w:tcPr>
          <w:p w14:paraId="1A08343B" w14:textId="77777777" w:rsidR="00B61BDC" w:rsidRPr="007A306B" w:rsidRDefault="00B61BDC" w:rsidP="00EA5E39">
            <w:pPr>
              <w:autoSpaceDE w:val="0"/>
              <w:autoSpaceDN w:val="0"/>
              <w:adjustRightInd w:val="0"/>
              <w:spacing w:before="80" w:after="80"/>
              <w:rPr>
                <w:b/>
                <w:bCs/>
              </w:rPr>
            </w:pPr>
            <w:r>
              <w:rPr>
                <w:b/>
                <w:bCs/>
              </w:rPr>
              <w:t>Question 3</w:t>
            </w:r>
          </w:p>
        </w:tc>
        <w:tc>
          <w:tcPr>
            <w:tcW w:w="11340" w:type="dxa"/>
            <w:gridSpan w:val="2"/>
            <w:tcBorders>
              <w:top w:val="double" w:sz="4" w:space="0" w:color="auto"/>
              <w:bottom w:val="single" w:sz="4" w:space="0" w:color="auto"/>
            </w:tcBorders>
            <w:shd w:val="pct10" w:color="auto" w:fill="auto"/>
          </w:tcPr>
          <w:p w14:paraId="47C86E9C" w14:textId="6DAFF41D" w:rsidR="00B61BDC" w:rsidRPr="00DF0B88" w:rsidRDefault="00F502F3" w:rsidP="00EA5E39">
            <w:pPr>
              <w:autoSpaceDE w:val="0"/>
              <w:autoSpaceDN w:val="0"/>
              <w:adjustRightInd w:val="0"/>
              <w:spacing w:before="80" w:after="80"/>
            </w:pPr>
            <w:r>
              <w:t xml:space="preserve">Would </w:t>
            </w:r>
            <w:r w:rsidRPr="00F502F3">
              <w:t>NAESB Business Practice Standards to facilitate interoperability between existing and future DER and aggregation registries and other industry tools be beneficial? Why or why not</w:t>
            </w:r>
            <w:r>
              <w:t>?</w:t>
            </w:r>
          </w:p>
        </w:tc>
      </w:tr>
      <w:tr w:rsidR="00F502F3" w14:paraId="37803111" w14:textId="77777777" w:rsidTr="005E0EFC">
        <w:trPr>
          <w:tblHeader/>
        </w:trPr>
        <w:tc>
          <w:tcPr>
            <w:tcW w:w="265" w:type="dxa"/>
            <w:tcBorders>
              <w:top w:val="single" w:sz="4" w:space="0" w:color="auto"/>
              <w:bottom w:val="single" w:sz="4" w:space="0" w:color="auto"/>
            </w:tcBorders>
          </w:tcPr>
          <w:p w14:paraId="3FD2FF41" w14:textId="77777777" w:rsidR="00F502F3" w:rsidRDefault="00F502F3"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1C972D6B" w14:textId="77777777" w:rsidR="00F502F3" w:rsidRDefault="00F502F3" w:rsidP="00EA5E39">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5B691CFA" w14:textId="56A45209" w:rsidR="00F502F3" w:rsidRDefault="00F502F3" w:rsidP="00EA5E39">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6A897CA8" w14:textId="2BAC91AB" w:rsidR="00F502F3" w:rsidRDefault="00F502F3" w:rsidP="00EA5E39">
            <w:pPr>
              <w:autoSpaceDE w:val="0"/>
              <w:autoSpaceDN w:val="0"/>
              <w:adjustRightInd w:val="0"/>
              <w:spacing w:before="80" w:after="80"/>
              <w:rPr>
                <w:b/>
                <w:bCs/>
              </w:rPr>
            </w:pPr>
            <w:r>
              <w:rPr>
                <w:b/>
                <w:bCs/>
              </w:rPr>
              <w:t xml:space="preserve">Comment </w:t>
            </w:r>
          </w:p>
        </w:tc>
      </w:tr>
      <w:tr w:rsidR="00F502F3" w14:paraId="017E4C8D" w14:textId="77777777" w:rsidTr="005E0EFC">
        <w:tc>
          <w:tcPr>
            <w:tcW w:w="265" w:type="dxa"/>
          </w:tcPr>
          <w:p w14:paraId="3728F506" w14:textId="3250CF41" w:rsidR="00F502F3" w:rsidRPr="00CC5097" w:rsidRDefault="0098001E" w:rsidP="009524F6">
            <w:pPr>
              <w:autoSpaceDE w:val="0"/>
              <w:autoSpaceDN w:val="0"/>
              <w:adjustRightInd w:val="0"/>
              <w:spacing w:before="80" w:after="80"/>
              <w:ind w:left="-112" w:right="-107"/>
              <w:jc w:val="center"/>
            </w:pPr>
            <w:r>
              <w:t>1.</w:t>
            </w:r>
          </w:p>
        </w:tc>
        <w:tc>
          <w:tcPr>
            <w:tcW w:w="1440" w:type="dxa"/>
          </w:tcPr>
          <w:p w14:paraId="394CCAC3" w14:textId="18917EC3" w:rsidR="00F502F3" w:rsidRPr="00CC5097" w:rsidRDefault="0098001E" w:rsidP="009524F6">
            <w:pPr>
              <w:autoSpaceDE w:val="0"/>
              <w:autoSpaceDN w:val="0"/>
              <w:adjustRightInd w:val="0"/>
              <w:spacing w:before="80" w:after="80"/>
            </w:pPr>
            <w:r>
              <w:t>MISO</w:t>
            </w:r>
          </w:p>
        </w:tc>
        <w:tc>
          <w:tcPr>
            <w:tcW w:w="1890" w:type="dxa"/>
          </w:tcPr>
          <w:p w14:paraId="19159097" w14:textId="4637C1BF" w:rsidR="00F502F3" w:rsidRPr="00CC5097" w:rsidRDefault="0098001E" w:rsidP="009524F6">
            <w:pPr>
              <w:autoSpaceDE w:val="0"/>
              <w:autoSpaceDN w:val="0"/>
              <w:adjustRightInd w:val="0"/>
              <w:spacing w:before="80" w:after="80"/>
            </w:pPr>
            <w:r>
              <w:t>Kristen Rowley</w:t>
            </w:r>
          </w:p>
        </w:tc>
        <w:tc>
          <w:tcPr>
            <w:tcW w:w="9450" w:type="dxa"/>
          </w:tcPr>
          <w:p w14:paraId="427444C0" w14:textId="71D8FCC2" w:rsidR="00F502F3" w:rsidRPr="00CC5097" w:rsidRDefault="0098001E" w:rsidP="009524F6">
            <w:pPr>
              <w:autoSpaceDE w:val="0"/>
              <w:autoSpaceDN w:val="0"/>
              <w:adjustRightInd w:val="0"/>
              <w:spacing w:before="120" w:after="120"/>
            </w:pPr>
            <w:r w:rsidRPr="0098001E">
              <w:t xml:space="preserve">Yes, because some market participants or aggregators may participate in multiple ISOs.  The Market Participants or aggregators may select different vendors.  The standards would need to provide flexibility to align with the data that may be unique between the various ISOs.  </w:t>
            </w:r>
          </w:p>
        </w:tc>
      </w:tr>
      <w:tr w:rsidR="00766B40" w14:paraId="1E2BD2C4" w14:textId="77777777" w:rsidTr="005E0EFC">
        <w:tc>
          <w:tcPr>
            <w:tcW w:w="265" w:type="dxa"/>
          </w:tcPr>
          <w:p w14:paraId="5548AC70" w14:textId="71ACC3F3" w:rsidR="00766B40" w:rsidRDefault="00766B40" w:rsidP="009524F6">
            <w:pPr>
              <w:autoSpaceDE w:val="0"/>
              <w:autoSpaceDN w:val="0"/>
              <w:adjustRightInd w:val="0"/>
              <w:spacing w:before="80" w:after="80"/>
              <w:ind w:left="-112" w:right="-107"/>
              <w:jc w:val="center"/>
            </w:pPr>
            <w:r>
              <w:t>2.</w:t>
            </w:r>
          </w:p>
        </w:tc>
        <w:tc>
          <w:tcPr>
            <w:tcW w:w="1440" w:type="dxa"/>
          </w:tcPr>
          <w:p w14:paraId="600C2CC3" w14:textId="0E353C3B" w:rsidR="00766B40" w:rsidRDefault="00766B40" w:rsidP="009524F6">
            <w:pPr>
              <w:autoSpaceDE w:val="0"/>
              <w:autoSpaceDN w:val="0"/>
              <w:adjustRightInd w:val="0"/>
              <w:spacing w:before="80" w:after="80"/>
            </w:pPr>
            <w:r>
              <w:t>PacifiCorp</w:t>
            </w:r>
          </w:p>
        </w:tc>
        <w:tc>
          <w:tcPr>
            <w:tcW w:w="1890" w:type="dxa"/>
          </w:tcPr>
          <w:p w14:paraId="4E1E1A24" w14:textId="49F6FB77" w:rsidR="00766B40" w:rsidRDefault="00766B40" w:rsidP="009524F6">
            <w:pPr>
              <w:autoSpaceDE w:val="0"/>
              <w:autoSpaceDN w:val="0"/>
              <w:adjustRightInd w:val="0"/>
              <w:spacing w:before="80" w:after="80"/>
            </w:pPr>
            <w:r>
              <w:t>Janice Bacon</w:t>
            </w:r>
          </w:p>
        </w:tc>
        <w:tc>
          <w:tcPr>
            <w:tcW w:w="9450" w:type="dxa"/>
          </w:tcPr>
          <w:p w14:paraId="73DDC718" w14:textId="3D1ABB25" w:rsidR="00766B40" w:rsidRPr="0098001E" w:rsidRDefault="00766B40" w:rsidP="009524F6">
            <w:pPr>
              <w:autoSpaceDE w:val="0"/>
              <w:autoSpaceDN w:val="0"/>
              <w:adjustRightInd w:val="0"/>
              <w:spacing w:before="120" w:after="120"/>
            </w:pPr>
            <w:r w:rsidRPr="00766B40">
              <w:t>If the NAESB Business Practice Standards are developed in a way that respects the regional differences, they will be beneficial, if they are not, and apply assumptions used in one regional area to others the changes will act as barr</w:t>
            </w:r>
            <w:r>
              <w:t>i</w:t>
            </w:r>
            <w:r w:rsidRPr="00766B40">
              <w:t>ers to development</w:t>
            </w:r>
            <w:r>
              <w:t>.</w:t>
            </w:r>
          </w:p>
        </w:tc>
      </w:tr>
      <w:tr w:rsidR="00942884" w14:paraId="6407BBBE" w14:textId="77777777" w:rsidTr="005E0EFC">
        <w:tc>
          <w:tcPr>
            <w:tcW w:w="265" w:type="dxa"/>
          </w:tcPr>
          <w:p w14:paraId="6276410C" w14:textId="61C232D5" w:rsidR="00942884" w:rsidRDefault="00942884" w:rsidP="009524F6">
            <w:pPr>
              <w:autoSpaceDE w:val="0"/>
              <w:autoSpaceDN w:val="0"/>
              <w:adjustRightInd w:val="0"/>
              <w:spacing w:before="80" w:after="80"/>
              <w:ind w:left="-112" w:right="-107"/>
              <w:jc w:val="center"/>
            </w:pPr>
            <w:r>
              <w:t>3.</w:t>
            </w:r>
          </w:p>
        </w:tc>
        <w:tc>
          <w:tcPr>
            <w:tcW w:w="1440" w:type="dxa"/>
          </w:tcPr>
          <w:p w14:paraId="6DAA63DD" w14:textId="0CEDEFD0" w:rsidR="00942884" w:rsidRDefault="00942884" w:rsidP="009524F6">
            <w:pPr>
              <w:autoSpaceDE w:val="0"/>
              <w:autoSpaceDN w:val="0"/>
              <w:adjustRightInd w:val="0"/>
              <w:spacing w:before="80" w:after="80"/>
            </w:pPr>
            <w:r>
              <w:t>PJM</w:t>
            </w:r>
          </w:p>
        </w:tc>
        <w:tc>
          <w:tcPr>
            <w:tcW w:w="1890" w:type="dxa"/>
          </w:tcPr>
          <w:p w14:paraId="3CC614D0" w14:textId="64F4DE3B" w:rsidR="00942884" w:rsidRDefault="00942884" w:rsidP="009524F6">
            <w:pPr>
              <w:autoSpaceDE w:val="0"/>
              <w:autoSpaceDN w:val="0"/>
              <w:adjustRightInd w:val="0"/>
              <w:spacing w:before="80" w:after="80"/>
            </w:pPr>
            <w:r>
              <w:t>Diane Antonelli</w:t>
            </w:r>
          </w:p>
        </w:tc>
        <w:tc>
          <w:tcPr>
            <w:tcW w:w="9450" w:type="dxa"/>
          </w:tcPr>
          <w:p w14:paraId="16194F66" w14:textId="679AFC1B" w:rsidR="00942884" w:rsidRPr="00766B40" w:rsidRDefault="00CB69D5" w:rsidP="009524F6">
            <w:pPr>
              <w:autoSpaceDE w:val="0"/>
              <w:autoSpaceDN w:val="0"/>
              <w:adjustRightInd w:val="0"/>
              <w:spacing w:before="120" w:after="120"/>
            </w:pPr>
            <w:r w:rsidRPr="00CB69D5">
              <w:t xml:space="preserve">PJM leverages our existing systems and associated integrations, which already provide 85% of the functionality required to implement FERC Order 2222 and where most of that functionality has already been in place for over 15 years. Furthermore, existing PJM members are already familiar with the PJM systems and have built their own downstream systems to manage their business. An existing PJM system will collect the necessary information required for DER to participate in the wholesale market and leverage existing workflows to ensure that the electric distribution company can verify or provide the necessary information in an effective and transparent manner. PJM does not think NAESB Standards are needed for aggregation registries and other industry tools since the implementation of DER in each wholesale market can be unique based on the specific market rules. Further, a standard may, in effect, be disruptive to the existing implementation process which has been underway for several years and requires flexibility in the future to adapt to new opportunities.  </w:t>
            </w:r>
          </w:p>
        </w:tc>
      </w:tr>
      <w:tr w:rsidR="00942884" w14:paraId="41CFE290" w14:textId="77777777" w:rsidTr="005E0EFC">
        <w:tc>
          <w:tcPr>
            <w:tcW w:w="265" w:type="dxa"/>
          </w:tcPr>
          <w:p w14:paraId="6BA2200A" w14:textId="548599A0" w:rsidR="00942884" w:rsidRDefault="00942884" w:rsidP="009524F6">
            <w:pPr>
              <w:autoSpaceDE w:val="0"/>
              <w:autoSpaceDN w:val="0"/>
              <w:adjustRightInd w:val="0"/>
              <w:spacing w:before="80" w:after="80"/>
              <w:ind w:left="-112" w:right="-107"/>
              <w:jc w:val="center"/>
            </w:pPr>
            <w:r>
              <w:t>4.</w:t>
            </w:r>
          </w:p>
        </w:tc>
        <w:tc>
          <w:tcPr>
            <w:tcW w:w="1440" w:type="dxa"/>
          </w:tcPr>
          <w:p w14:paraId="45B40F93" w14:textId="3BAC4B14" w:rsidR="00942884" w:rsidRDefault="00942884" w:rsidP="009524F6">
            <w:pPr>
              <w:autoSpaceDE w:val="0"/>
              <w:autoSpaceDN w:val="0"/>
              <w:adjustRightInd w:val="0"/>
              <w:spacing w:before="80" w:after="80"/>
            </w:pPr>
            <w:proofErr w:type="spellStart"/>
            <w:r>
              <w:t>Evergy</w:t>
            </w:r>
            <w:proofErr w:type="spellEnd"/>
          </w:p>
        </w:tc>
        <w:tc>
          <w:tcPr>
            <w:tcW w:w="1890" w:type="dxa"/>
          </w:tcPr>
          <w:p w14:paraId="27C662A1" w14:textId="3B84DFD1" w:rsidR="00942884" w:rsidRDefault="00942884" w:rsidP="009524F6">
            <w:pPr>
              <w:autoSpaceDE w:val="0"/>
              <w:autoSpaceDN w:val="0"/>
              <w:adjustRightInd w:val="0"/>
              <w:spacing w:before="80" w:after="80"/>
            </w:pPr>
            <w:r>
              <w:t>Hayden Maples</w:t>
            </w:r>
          </w:p>
        </w:tc>
        <w:tc>
          <w:tcPr>
            <w:tcW w:w="9450" w:type="dxa"/>
          </w:tcPr>
          <w:p w14:paraId="00C2875E" w14:textId="45D4B564" w:rsidR="00942884" w:rsidRPr="00942884" w:rsidRDefault="00942884" w:rsidP="009524F6">
            <w:pPr>
              <w:autoSpaceDE w:val="0"/>
              <w:autoSpaceDN w:val="0"/>
              <w:adjustRightInd w:val="0"/>
              <w:spacing w:before="120" w:after="120"/>
            </w:pPr>
            <w:r w:rsidRPr="00942884">
              <w:t>Yes, anything to help provide cleaner data and/or easier access to the data will assist in using it in beneficial ways as described above.</w:t>
            </w:r>
          </w:p>
        </w:tc>
      </w:tr>
      <w:tr w:rsidR="00DA25F7" w14:paraId="09BB4D9A" w14:textId="77777777" w:rsidTr="005E0EFC">
        <w:tc>
          <w:tcPr>
            <w:tcW w:w="265" w:type="dxa"/>
          </w:tcPr>
          <w:p w14:paraId="58933F40" w14:textId="2842ECDD" w:rsidR="00DA25F7" w:rsidRDefault="00DA25F7" w:rsidP="009524F6">
            <w:pPr>
              <w:autoSpaceDE w:val="0"/>
              <w:autoSpaceDN w:val="0"/>
              <w:adjustRightInd w:val="0"/>
              <w:spacing w:before="80" w:after="80"/>
              <w:ind w:left="-112" w:right="-107"/>
              <w:jc w:val="center"/>
            </w:pPr>
            <w:r>
              <w:t>5.</w:t>
            </w:r>
          </w:p>
        </w:tc>
        <w:tc>
          <w:tcPr>
            <w:tcW w:w="1440" w:type="dxa"/>
          </w:tcPr>
          <w:p w14:paraId="23EE6DCB" w14:textId="57C1A674" w:rsidR="00DA25F7" w:rsidRDefault="00DA25F7" w:rsidP="009524F6">
            <w:pPr>
              <w:autoSpaceDE w:val="0"/>
              <w:autoSpaceDN w:val="0"/>
              <w:adjustRightInd w:val="0"/>
              <w:spacing w:before="80" w:after="80"/>
            </w:pPr>
            <w:r>
              <w:t>Seattle City Light</w:t>
            </w:r>
          </w:p>
        </w:tc>
        <w:tc>
          <w:tcPr>
            <w:tcW w:w="1890" w:type="dxa"/>
          </w:tcPr>
          <w:p w14:paraId="0CF6BBAC" w14:textId="11499311" w:rsidR="00DA25F7" w:rsidRDefault="00DA25F7" w:rsidP="009524F6">
            <w:pPr>
              <w:autoSpaceDE w:val="0"/>
              <w:autoSpaceDN w:val="0"/>
              <w:adjustRightInd w:val="0"/>
              <w:spacing w:before="80" w:after="80"/>
            </w:pPr>
            <w:r>
              <w:t>Michael Watkins</w:t>
            </w:r>
          </w:p>
        </w:tc>
        <w:tc>
          <w:tcPr>
            <w:tcW w:w="9450" w:type="dxa"/>
          </w:tcPr>
          <w:p w14:paraId="708A6E6D" w14:textId="25244C9F" w:rsidR="00DA25F7" w:rsidRPr="00942884" w:rsidRDefault="00DA25F7" w:rsidP="009524F6">
            <w:pPr>
              <w:autoSpaceDE w:val="0"/>
              <w:autoSpaceDN w:val="0"/>
              <w:adjustRightInd w:val="0"/>
              <w:spacing w:before="120" w:after="120"/>
            </w:pPr>
            <w:r>
              <w:t xml:space="preserve">Yes, </w:t>
            </w:r>
            <w:r w:rsidRPr="00DA25F7">
              <w:t>City Light recommends a single central DER registry would enable a standard for DER data and modeling. This would facilitate better interoperability and increase reliability.</w:t>
            </w:r>
          </w:p>
        </w:tc>
      </w:tr>
      <w:tr w:rsidR="0065009B" w14:paraId="6763F9E5" w14:textId="77777777" w:rsidTr="005E0EFC">
        <w:tc>
          <w:tcPr>
            <w:tcW w:w="265" w:type="dxa"/>
          </w:tcPr>
          <w:p w14:paraId="2E730203" w14:textId="439D6E43" w:rsidR="0065009B" w:rsidRDefault="0065009B" w:rsidP="009524F6">
            <w:pPr>
              <w:autoSpaceDE w:val="0"/>
              <w:autoSpaceDN w:val="0"/>
              <w:adjustRightInd w:val="0"/>
              <w:spacing w:before="80" w:after="80"/>
              <w:ind w:left="-112" w:right="-107"/>
              <w:jc w:val="center"/>
            </w:pPr>
            <w:r>
              <w:t>6.</w:t>
            </w:r>
          </w:p>
        </w:tc>
        <w:tc>
          <w:tcPr>
            <w:tcW w:w="1440" w:type="dxa"/>
          </w:tcPr>
          <w:p w14:paraId="0D20E7C3" w14:textId="1D3E58ED" w:rsidR="0065009B" w:rsidRDefault="0065009B" w:rsidP="009524F6">
            <w:pPr>
              <w:autoSpaceDE w:val="0"/>
              <w:autoSpaceDN w:val="0"/>
              <w:adjustRightInd w:val="0"/>
              <w:spacing w:before="80" w:after="80"/>
            </w:pPr>
            <w:proofErr w:type="spellStart"/>
            <w:r>
              <w:t>NYISO</w:t>
            </w:r>
            <w:proofErr w:type="spellEnd"/>
          </w:p>
        </w:tc>
        <w:tc>
          <w:tcPr>
            <w:tcW w:w="1890" w:type="dxa"/>
          </w:tcPr>
          <w:p w14:paraId="4267DFEF" w14:textId="25CD03A2" w:rsidR="0065009B" w:rsidRDefault="0065009B" w:rsidP="009524F6">
            <w:pPr>
              <w:autoSpaceDE w:val="0"/>
              <w:autoSpaceDN w:val="0"/>
              <w:adjustRightInd w:val="0"/>
              <w:spacing w:before="80" w:after="80"/>
            </w:pPr>
            <w:r>
              <w:t>William Porter</w:t>
            </w:r>
          </w:p>
        </w:tc>
        <w:tc>
          <w:tcPr>
            <w:tcW w:w="9450" w:type="dxa"/>
          </w:tcPr>
          <w:p w14:paraId="2606A13A" w14:textId="16428457" w:rsidR="0065009B" w:rsidRDefault="0065009B" w:rsidP="009524F6">
            <w:pPr>
              <w:autoSpaceDE w:val="0"/>
              <w:autoSpaceDN w:val="0"/>
              <w:adjustRightInd w:val="0"/>
              <w:spacing w:before="120" w:after="120"/>
            </w:pPr>
            <w:r w:rsidRPr="0065009B">
              <w:t xml:space="preserve">The </w:t>
            </w:r>
            <w:proofErr w:type="spellStart"/>
            <w:r w:rsidRPr="0065009B">
              <w:t>NYISO</w:t>
            </w:r>
            <w:proofErr w:type="spellEnd"/>
            <w:r w:rsidRPr="0065009B">
              <w:t xml:space="preserve"> is unlikely to use such a registry for the administration of the DER participation model, as the current NAESB digital certificate process is already used for access.</w:t>
            </w:r>
          </w:p>
        </w:tc>
      </w:tr>
      <w:tr w:rsidR="00D87BE8" w14:paraId="4B7EC067" w14:textId="77777777" w:rsidTr="005E0EFC">
        <w:tc>
          <w:tcPr>
            <w:tcW w:w="265" w:type="dxa"/>
          </w:tcPr>
          <w:p w14:paraId="4E6A63F2" w14:textId="408F2520" w:rsidR="00D87BE8" w:rsidRDefault="00D87BE8" w:rsidP="009524F6">
            <w:pPr>
              <w:autoSpaceDE w:val="0"/>
              <w:autoSpaceDN w:val="0"/>
              <w:adjustRightInd w:val="0"/>
              <w:spacing w:before="80" w:after="80"/>
              <w:ind w:left="-112" w:right="-107"/>
              <w:jc w:val="center"/>
            </w:pPr>
            <w:r>
              <w:t>7.</w:t>
            </w:r>
          </w:p>
        </w:tc>
        <w:tc>
          <w:tcPr>
            <w:tcW w:w="1440" w:type="dxa"/>
          </w:tcPr>
          <w:p w14:paraId="62890AC9" w14:textId="665EDB11" w:rsidR="00D87BE8" w:rsidRDefault="00D87BE8" w:rsidP="009524F6">
            <w:pPr>
              <w:autoSpaceDE w:val="0"/>
              <w:autoSpaceDN w:val="0"/>
              <w:adjustRightInd w:val="0"/>
              <w:spacing w:before="80" w:after="80"/>
            </w:pPr>
            <w:r>
              <w:t>Entergy</w:t>
            </w:r>
          </w:p>
        </w:tc>
        <w:tc>
          <w:tcPr>
            <w:tcW w:w="1890" w:type="dxa"/>
          </w:tcPr>
          <w:p w14:paraId="3E6FB2FC" w14:textId="4A707E74" w:rsidR="00D87BE8" w:rsidRDefault="00D87BE8" w:rsidP="009524F6">
            <w:pPr>
              <w:autoSpaceDE w:val="0"/>
              <w:autoSpaceDN w:val="0"/>
              <w:adjustRightInd w:val="0"/>
              <w:spacing w:before="80" w:after="80"/>
            </w:pPr>
            <w:r>
              <w:t>Thomas Chamberlain</w:t>
            </w:r>
          </w:p>
        </w:tc>
        <w:tc>
          <w:tcPr>
            <w:tcW w:w="9450" w:type="dxa"/>
          </w:tcPr>
          <w:p w14:paraId="10B80B03" w14:textId="3E26D749" w:rsidR="00D87BE8" w:rsidRDefault="00D87BE8" w:rsidP="00D87BE8">
            <w:pPr>
              <w:autoSpaceDE w:val="0"/>
              <w:autoSpaceDN w:val="0"/>
              <w:adjustRightInd w:val="0"/>
              <w:spacing w:before="120" w:after="120"/>
            </w:pPr>
            <w:r>
              <w:t>Entergy supports the development of NAESB business practice standards to facilitate interoperability between DER registries and related industry systems.</w:t>
            </w:r>
          </w:p>
          <w:p w14:paraId="7F8B2D48" w14:textId="77777777" w:rsidR="00D87BE8" w:rsidRDefault="00D87BE8" w:rsidP="00D87BE8">
            <w:pPr>
              <w:autoSpaceDE w:val="0"/>
              <w:autoSpaceDN w:val="0"/>
              <w:adjustRightInd w:val="0"/>
              <w:spacing w:before="120" w:after="120"/>
            </w:pPr>
            <w:r>
              <w:lastRenderedPageBreak/>
              <w:t>DER participation will span multiple RTO/ISO regions, market platforms, and vendor systems. Standardized business practices could:</w:t>
            </w:r>
          </w:p>
          <w:p w14:paraId="19551008" w14:textId="5ED7B65E" w:rsidR="00D87BE8" w:rsidRPr="00D87BE8" w:rsidRDefault="00D87BE8" w:rsidP="00D87BE8">
            <w:pPr>
              <w:pStyle w:val="ListParagraph"/>
              <w:numPr>
                <w:ilvl w:val="0"/>
                <w:numId w:val="54"/>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Improve </w:t>
            </w:r>
            <w:r w:rsidRPr="00D87BE8">
              <w:rPr>
                <w:rFonts w:ascii="Times New Roman" w:hAnsi="Times New Roman" w:cs="Times New Roman"/>
                <w:b/>
                <w:bCs/>
                <w:sz w:val="20"/>
                <w:szCs w:val="20"/>
              </w:rPr>
              <w:t>interoperability across RTO/ISO marke</w:t>
            </w:r>
            <w:r w:rsidRPr="00D87BE8">
              <w:rPr>
                <w:rFonts w:ascii="Times New Roman" w:hAnsi="Times New Roman" w:cs="Times New Roman"/>
                <w:sz w:val="20"/>
                <w:szCs w:val="20"/>
              </w:rPr>
              <w:t>ts</w:t>
            </w:r>
          </w:p>
          <w:p w14:paraId="6F54B388" w14:textId="75E0F833" w:rsidR="00D87BE8" w:rsidRPr="00D87BE8" w:rsidRDefault="00D87BE8" w:rsidP="00D87BE8">
            <w:pPr>
              <w:pStyle w:val="ListParagraph"/>
              <w:numPr>
                <w:ilvl w:val="0"/>
                <w:numId w:val="54"/>
              </w:numPr>
              <w:autoSpaceDE w:val="0"/>
              <w:autoSpaceDN w:val="0"/>
              <w:adjustRightInd w:val="0"/>
              <w:spacing w:before="120" w:after="120"/>
              <w:rPr>
                <w:rFonts w:ascii="Times New Roman" w:hAnsi="Times New Roman" w:cs="Times New Roman"/>
                <w:b/>
                <w:bCs/>
                <w:sz w:val="20"/>
                <w:szCs w:val="20"/>
              </w:rPr>
            </w:pPr>
            <w:r w:rsidRPr="00D87BE8">
              <w:rPr>
                <w:rFonts w:ascii="Times New Roman" w:hAnsi="Times New Roman" w:cs="Times New Roman"/>
                <w:sz w:val="20"/>
                <w:szCs w:val="20"/>
              </w:rPr>
              <w:t xml:space="preserve">Allow aggregators and market participants operating in multiple regions to use </w:t>
            </w:r>
            <w:r w:rsidRPr="00D87BE8">
              <w:rPr>
                <w:rFonts w:ascii="Times New Roman" w:hAnsi="Times New Roman" w:cs="Times New Roman"/>
                <w:b/>
                <w:bCs/>
                <w:sz w:val="20"/>
                <w:szCs w:val="20"/>
              </w:rPr>
              <w:t>consistent data structures and processes</w:t>
            </w:r>
          </w:p>
          <w:p w14:paraId="1F786431" w14:textId="2EB563F1" w:rsidR="00D87BE8" w:rsidRPr="00D87BE8" w:rsidRDefault="00D87BE8" w:rsidP="00D87BE8">
            <w:pPr>
              <w:pStyle w:val="ListParagraph"/>
              <w:numPr>
                <w:ilvl w:val="0"/>
                <w:numId w:val="54"/>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Improve </w:t>
            </w:r>
            <w:r w:rsidRPr="00D87BE8">
              <w:rPr>
                <w:rFonts w:ascii="Times New Roman" w:hAnsi="Times New Roman" w:cs="Times New Roman"/>
                <w:b/>
                <w:bCs/>
                <w:sz w:val="20"/>
                <w:szCs w:val="20"/>
              </w:rPr>
              <w:t>data quality and standardization across systems</w:t>
            </w:r>
          </w:p>
          <w:p w14:paraId="1EC373D0" w14:textId="64C641E7" w:rsidR="00D87BE8" w:rsidRPr="00D87BE8" w:rsidRDefault="00D87BE8" w:rsidP="00D87BE8">
            <w:pPr>
              <w:pStyle w:val="ListParagraph"/>
              <w:numPr>
                <w:ilvl w:val="0"/>
                <w:numId w:val="54"/>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Support more efficient integration with existing market and operational tools</w:t>
            </w:r>
          </w:p>
          <w:p w14:paraId="5E3251F3" w14:textId="4B3EAAAF" w:rsidR="00D87BE8" w:rsidRPr="0065009B" w:rsidRDefault="00D87BE8" w:rsidP="00D87BE8">
            <w:pPr>
              <w:autoSpaceDE w:val="0"/>
              <w:autoSpaceDN w:val="0"/>
              <w:adjustRightInd w:val="0"/>
              <w:spacing w:before="120" w:after="120"/>
            </w:pPr>
            <w:r>
              <w:t>Flexibility will be important, however, as different regions may maintain unique data requirements and market rules.</w:t>
            </w:r>
          </w:p>
        </w:tc>
      </w:tr>
      <w:tr w:rsidR="0061230E" w14:paraId="0CABA27F" w14:textId="77777777" w:rsidTr="005E0EFC">
        <w:tc>
          <w:tcPr>
            <w:tcW w:w="265" w:type="dxa"/>
          </w:tcPr>
          <w:p w14:paraId="1C1ED078" w14:textId="30C9D0BA" w:rsidR="0061230E" w:rsidRDefault="0061230E" w:rsidP="009524F6">
            <w:pPr>
              <w:autoSpaceDE w:val="0"/>
              <w:autoSpaceDN w:val="0"/>
              <w:adjustRightInd w:val="0"/>
              <w:spacing w:before="80" w:after="80"/>
              <w:ind w:left="-112" w:right="-107"/>
              <w:jc w:val="center"/>
            </w:pPr>
            <w:r>
              <w:lastRenderedPageBreak/>
              <w:t>8.</w:t>
            </w:r>
          </w:p>
        </w:tc>
        <w:tc>
          <w:tcPr>
            <w:tcW w:w="1440" w:type="dxa"/>
          </w:tcPr>
          <w:p w14:paraId="65303D6B" w14:textId="155EF15F" w:rsidR="0061230E" w:rsidRDefault="0061230E" w:rsidP="009524F6">
            <w:pPr>
              <w:autoSpaceDE w:val="0"/>
              <w:autoSpaceDN w:val="0"/>
              <w:adjustRightInd w:val="0"/>
              <w:spacing w:before="80" w:after="80"/>
            </w:pPr>
            <w:r>
              <w:t>Organization of MISO States</w:t>
            </w:r>
          </w:p>
        </w:tc>
        <w:tc>
          <w:tcPr>
            <w:tcW w:w="1890" w:type="dxa"/>
          </w:tcPr>
          <w:p w14:paraId="06B12A0F" w14:textId="47DD9717" w:rsidR="0061230E" w:rsidRDefault="0061230E" w:rsidP="009524F6">
            <w:pPr>
              <w:autoSpaceDE w:val="0"/>
              <w:autoSpaceDN w:val="0"/>
              <w:adjustRightInd w:val="0"/>
              <w:spacing w:before="80" w:after="80"/>
            </w:pPr>
            <w:r>
              <w:t>Brad Pope</w:t>
            </w:r>
          </w:p>
        </w:tc>
        <w:tc>
          <w:tcPr>
            <w:tcW w:w="9450" w:type="dxa"/>
          </w:tcPr>
          <w:p w14:paraId="08C57AEA" w14:textId="0FF04A0C" w:rsidR="00923D13" w:rsidRDefault="00923D13" w:rsidP="00923D13">
            <w:pPr>
              <w:autoSpaceDE w:val="0"/>
              <w:autoSpaceDN w:val="0"/>
              <w:adjustRightInd w:val="0"/>
              <w:spacing w:before="120" w:after="120"/>
            </w:pPr>
            <w:r>
              <w:t>Yes, the OMS DER Work Group believes that interoperability is paramount to unlock the full potential of DERs and avoid unnecessary costs as the industry expands and evolves. The NAESB Business Practice Standards will be crucial to establishing consistency in data formatting and interface structures that will allow information to flow across multiple systems and entities, replacing the ad-hoc manual processes currently in place.</w:t>
            </w:r>
          </w:p>
          <w:p w14:paraId="55A74269" w14:textId="44E7A027" w:rsidR="0061230E" w:rsidRDefault="00923D13" w:rsidP="00923D13">
            <w:pPr>
              <w:autoSpaceDE w:val="0"/>
              <w:autoSpaceDN w:val="0"/>
              <w:adjustRightInd w:val="0"/>
              <w:spacing w:before="120" w:after="120"/>
            </w:pPr>
            <w:r>
              <w:t>The OMS DER Work Group appreciates that the concept paper acknowledges the need for optionality in the standards to accommodate specific jurisdictional needs. Standards that enable coordination without sacrificing existing regulatory structures should be the goal.</w:t>
            </w:r>
          </w:p>
        </w:tc>
      </w:tr>
      <w:tr w:rsidR="00E36B3B" w14:paraId="005FD6D2" w14:textId="77777777" w:rsidTr="005E0EFC">
        <w:tc>
          <w:tcPr>
            <w:tcW w:w="265" w:type="dxa"/>
          </w:tcPr>
          <w:p w14:paraId="7C3EE45C" w14:textId="3B87BBE6" w:rsidR="00E36B3B" w:rsidRDefault="00E36B3B" w:rsidP="009524F6">
            <w:pPr>
              <w:autoSpaceDE w:val="0"/>
              <w:autoSpaceDN w:val="0"/>
              <w:adjustRightInd w:val="0"/>
              <w:spacing w:before="80" w:after="80"/>
              <w:ind w:left="-112" w:right="-107"/>
              <w:jc w:val="center"/>
            </w:pPr>
            <w:r>
              <w:t>9.</w:t>
            </w:r>
          </w:p>
        </w:tc>
        <w:tc>
          <w:tcPr>
            <w:tcW w:w="1440" w:type="dxa"/>
          </w:tcPr>
          <w:p w14:paraId="13CBA86B" w14:textId="3FDF2FE3" w:rsidR="00E36B3B" w:rsidRDefault="00E36B3B" w:rsidP="009524F6">
            <w:pPr>
              <w:autoSpaceDE w:val="0"/>
              <w:autoSpaceDN w:val="0"/>
              <w:adjustRightInd w:val="0"/>
              <w:spacing w:before="80" w:after="80"/>
            </w:pPr>
            <w:r>
              <w:t>Portland General Electric</w:t>
            </w:r>
          </w:p>
        </w:tc>
        <w:tc>
          <w:tcPr>
            <w:tcW w:w="1890" w:type="dxa"/>
          </w:tcPr>
          <w:p w14:paraId="0708C241" w14:textId="7D2E167B" w:rsidR="00E36B3B" w:rsidRDefault="00E36B3B" w:rsidP="009524F6">
            <w:pPr>
              <w:autoSpaceDE w:val="0"/>
              <w:autoSpaceDN w:val="0"/>
              <w:adjustRightInd w:val="0"/>
              <w:spacing w:before="80" w:after="80"/>
            </w:pPr>
            <w:r>
              <w:t>Alexis Campbell</w:t>
            </w:r>
          </w:p>
        </w:tc>
        <w:tc>
          <w:tcPr>
            <w:tcW w:w="9450" w:type="dxa"/>
          </w:tcPr>
          <w:p w14:paraId="7610DF9F" w14:textId="048F0296" w:rsidR="00E36B3B" w:rsidRDefault="00E36B3B" w:rsidP="00923D13">
            <w:pPr>
              <w:autoSpaceDE w:val="0"/>
              <w:autoSpaceDN w:val="0"/>
              <w:adjustRightInd w:val="0"/>
              <w:spacing w:before="120" w:after="120"/>
            </w:pPr>
            <w:r w:rsidRPr="00E36B3B">
              <w:t>Has NAESB considered using a Common Information Model to support a shared semantic framework to bridge gaps between systems like ADMS, and outage management systems to help ensure that as-built data and real-time connectivity finally stay in sync?</w:t>
            </w:r>
          </w:p>
        </w:tc>
      </w:tr>
      <w:tr w:rsidR="0059482C" w14:paraId="33429FAB" w14:textId="77777777" w:rsidTr="005E0EFC">
        <w:tc>
          <w:tcPr>
            <w:tcW w:w="265" w:type="dxa"/>
          </w:tcPr>
          <w:p w14:paraId="36BCC8BD" w14:textId="5FBBC6E4" w:rsidR="0059482C" w:rsidRDefault="0059482C" w:rsidP="009524F6">
            <w:pPr>
              <w:autoSpaceDE w:val="0"/>
              <w:autoSpaceDN w:val="0"/>
              <w:adjustRightInd w:val="0"/>
              <w:spacing w:before="80" w:after="80"/>
              <w:ind w:left="-112" w:right="-107"/>
              <w:jc w:val="center"/>
            </w:pPr>
            <w:r>
              <w:t>10.</w:t>
            </w:r>
          </w:p>
        </w:tc>
        <w:tc>
          <w:tcPr>
            <w:tcW w:w="1440" w:type="dxa"/>
          </w:tcPr>
          <w:p w14:paraId="036DD39B" w14:textId="29AB1712" w:rsidR="0059482C" w:rsidRDefault="0059482C" w:rsidP="009524F6">
            <w:pPr>
              <w:autoSpaceDE w:val="0"/>
              <w:autoSpaceDN w:val="0"/>
              <w:adjustRightInd w:val="0"/>
              <w:spacing w:before="80" w:after="80"/>
            </w:pPr>
            <w:r>
              <w:t>Southwest Power Pool</w:t>
            </w:r>
          </w:p>
        </w:tc>
        <w:tc>
          <w:tcPr>
            <w:tcW w:w="1890" w:type="dxa"/>
          </w:tcPr>
          <w:p w14:paraId="275B85BA" w14:textId="197DFA10" w:rsidR="0059482C" w:rsidRDefault="0059482C" w:rsidP="009524F6">
            <w:pPr>
              <w:autoSpaceDE w:val="0"/>
              <w:autoSpaceDN w:val="0"/>
              <w:adjustRightInd w:val="0"/>
              <w:spacing w:before="80" w:after="80"/>
            </w:pPr>
            <w:r>
              <w:t>Joshua Phillips</w:t>
            </w:r>
          </w:p>
        </w:tc>
        <w:tc>
          <w:tcPr>
            <w:tcW w:w="9450" w:type="dxa"/>
          </w:tcPr>
          <w:p w14:paraId="7D25EEAF" w14:textId="7EC3843D" w:rsidR="0059482C" w:rsidRPr="00E36B3B" w:rsidRDefault="0059482C" w:rsidP="00923D13">
            <w:pPr>
              <w:autoSpaceDE w:val="0"/>
              <w:autoSpaceDN w:val="0"/>
              <w:adjustRightInd w:val="0"/>
              <w:spacing w:before="120" w:after="120"/>
            </w:pPr>
            <w:r w:rsidRPr="0059482C">
              <w:t>Organized wholesale electric markets have clear registration processes for participation.  Potential standards could focus on addressing gaps that may exist at the retail DER device or DER asset level with data collections focused upon identifying location, meter, and individual customer level.  This could provide the visibility of the DER assets to ensure there is no duplication of market registration or participation.  NAESB could also explore standards for distribution level assets migration into and out of a participation models to ensure common updates are made, assuming there is no conflicting requirement from the RTO.</w:t>
            </w:r>
          </w:p>
        </w:tc>
      </w:tr>
      <w:tr w:rsidR="0049406A" w14:paraId="5661B7BA" w14:textId="77777777" w:rsidTr="005E0EFC">
        <w:tc>
          <w:tcPr>
            <w:tcW w:w="265" w:type="dxa"/>
          </w:tcPr>
          <w:p w14:paraId="44C74255" w14:textId="19F87012" w:rsidR="0049406A" w:rsidRDefault="0049406A" w:rsidP="009524F6">
            <w:pPr>
              <w:autoSpaceDE w:val="0"/>
              <w:autoSpaceDN w:val="0"/>
              <w:adjustRightInd w:val="0"/>
              <w:spacing w:before="80" w:after="80"/>
              <w:ind w:left="-112" w:right="-107"/>
              <w:jc w:val="center"/>
            </w:pPr>
            <w:r>
              <w:lastRenderedPageBreak/>
              <w:t xml:space="preserve">11. </w:t>
            </w:r>
          </w:p>
        </w:tc>
        <w:tc>
          <w:tcPr>
            <w:tcW w:w="1440" w:type="dxa"/>
          </w:tcPr>
          <w:p w14:paraId="2B4899C9" w14:textId="40CEAD69" w:rsidR="0049406A" w:rsidRDefault="0049406A" w:rsidP="009524F6">
            <w:pPr>
              <w:autoSpaceDE w:val="0"/>
              <w:autoSpaceDN w:val="0"/>
              <w:adjustRightInd w:val="0"/>
              <w:spacing w:before="80" w:after="80"/>
            </w:pPr>
            <w:r>
              <w:t>Tri-State Generation &amp; Transmission</w:t>
            </w:r>
          </w:p>
        </w:tc>
        <w:tc>
          <w:tcPr>
            <w:tcW w:w="1890" w:type="dxa"/>
          </w:tcPr>
          <w:p w14:paraId="1B4084DF" w14:textId="507CCAB0" w:rsidR="0049406A" w:rsidRDefault="0049406A" w:rsidP="009524F6">
            <w:pPr>
              <w:autoSpaceDE w:val="0"/>
              <w:autoSpaceDN w:val="0"/>
              <w:adjustRightInd w:val="0"/>
              <w:spacing w:before="80" w:after="80"/>
            </w:pPr>
            <w:r>
              <w:t xml:space="preserve">Igor </w:t>
            </w:r>
            <w:proofErr w:type="spellStart"/>
            <w:r>
              <w:t>Kormaz</w:t>
            </w:r>
            <w:proofErr w:type="spellEnd"/>
          </w:p>
        </w:tc>
        <w:tc>
          <w:tcPr>
            <w:tcW w:w="9450" w:type="dxa"/>
          </w:tcPr>
          <w:p w14:paraId="1536121E" w14:textId="2B6A5570" w:rsidR="0049406A" w:rsidRPr="0059482C" w:rsidRDefault="0049406A" w:rsidP="00923D13">
            <w:pPr>
              <w:autoSpaceDE w:val="0"/>
              <w:autoSpaceDN w:val="0"/>
              <w:adjustRightInd w:val="0"/>
              <w:spacing w:before="120" w:after="120"/>
            </w:pPr>
            <w:r w:rsidRPr="0049406A">
              <w:t xml:space="preserve">Using NAESB BPSs would be beneficial as the approach would utilize existing constructs and industry accepted processes and practices to manage and operate the DER Entity Registry. Existing data formatting and exchange mediums could be leveraged to create consistency and utilization of existing data infrastructure. As well as the ability to use existing NAESB governance processes and NERC compliance enforcement. However, as experienced in the existing EIR, participation, consistent and accurate data is a challenge to achieve and has been shown to be elusive. Also, RTOs and Balancing Authority’s (BA) already have the ability to require DER information and data according to their identified business needs.  Nonetheless, as a TSP operating within the jurisdiction of multiple BAs, and soon to be RTO as well, we have observed a large variation in the level of oversight and MW threshold reporting criteria that is applied in each RTO and BA Area, such that our company can readily appreciate the benefit of the formation of a standardized reporting regime in the context of a DER Entity Registry which would establish a consistent MW reporting threshold that our company could apply across its footprint in the jurisdiction of numerous BAAs and a newly forming RTO.  </w:t>
            </w:r>
          </w:p>
        </w:tc>
      </w:tr>
    </w:tbl>
    <w:p w14:paraId="093A086E" w14:textId="77777777" w:rsidR="00D73054" w:rsidRDefault="00D73054">
      <w:pPr>
        <w:sectPr w:rsidR="00D73054" w:rsidSect="000E693B">
          <w:headerReference w:type="default" r:id="rId9"/>
          <w:footerReference w:type="default" r:id="rId10"/>
          <w:headerReference w:type="first" r:id="rId11"/>
          <w:footerReference w:type="first" r:id="rId12"/>
          <w:pgSz w:w="15840" w:h="12240" w:orient="landscape" w:code="1"/>
          <w:pgMar w:top="1440" w:right="1440" w:bottom="1440" w:left="1440" w:header="432" w:footer="432" w:gutter="0"/>
          <w:pgNumType w:start="1"/>
          <w:cols w:space="720"/>
          <w:titlePg/>
          <w:docGrid w:linePitch="272"/>
        </w:sect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3456E2" w14:paraId="5085D0A0" w14:textId="77777777" w:rsidTr="006D0862">
        <w:trPr>
          <w:trHeight w:val="414"/>
          <w:tblHeader/>
        </w:trPr>
        <w:tc>
          <w:tcPr>
            <w:tcW w:w="13045" w:type="dxa"/>
            <w:gridSpan w:val="4"/>
            <w:tcBorders>
              <w:bottom w:val="double" w:sz="4" w:space="0" w:color="auto"/>
            </w:tcBorders>
            <w:shd w:val="pct10" w:color="auto" w:fill="auto"/>
          </w:tcPr>
          <w:p w14:paraId="40E105C2" w14:textId="77777777" w:rsidR="00F502F3" w:rsidRDefault="003456E2" w:rsidP="00F502F3">
            <w:pPr>
              <w:pStyle w:val="BodyText"/>
              <w:tabs>
                <w:tab w:val="center" w:pos="4569"/>
              </w:tabs>
              <w:spacing w:before="60" w:after="60"/>
              <w:jc w:val="center"/>
              <w:rPr>
                <w:b/>
                <w:bCs/>
                <w:smallCaps/>
                <w:sz w:val="20"/>
              </w:rPr>
            </w:pPr>
            <w:r w:rsidRPr="007A306B">
              <w:rPr>
                <w:b/>
                <w:bCs/>
                <w:sz w:val="20"/>
              </w:rPr>
              <w:lastRenderedPageBreak/>
              <w:br w:type="page"/>
            </w:r>
            <w:r w:rsidR="00F502F3">
              <w:rPr>
                <w:b/>
                <w:bCs/>
                <w:smallCaps/>
                <w:sz w:val="20"/>
              </w:rPr>
              <w:t>Responses Submitted in Response to WEQ/RMQ BPS Informal Comment Request Ending March 10, 2026</w:t>
            </w:r>
          </w:p>
          <w:p w14:paraId="787C3839" w14:textId="0EDD2994" w:rsidR="003456E2" w:rsidRDefault="00F502F3" w:rsidP="00F502F3">
            <w:pPr>
              <w:pStyle w:val="BodyText"/>
              <w:tabs>
                <w:tab w:val="center" w:pos="4569"/>
              </w:tabs>
              <w:spacing w:before="60" w:after="60"/>
              <w:jc w:val="center"/>
            </w:pPr>
            <w:r>
              <w:rPr>
                <w:b/>
                <w:bCs/>
                <w:smallCaps/>
                <w:sz w:val="20"/>
              </w:rPr>
              <w:t>Question 4</w:t>
            </w:r>
          </w:p>
        </w:tc>
      </w:tr>
      <w:tr w:rsidR="003456E2" w:rsidRPr="00DF0B88" w14:paraId="3DA5AA91" w14:textId="77777777" w:rsidTr="006D0862">
        <w:trPr>
          <w:tblHeader/>
        </w:trPr>
        <w:tc>
          <w:tcPr>
            <w:tcW w:w="1705" w:type="dxa"/>
            <w:gridSpan w:val="2"/>
            <w:tcBorders>
              <w:top w:val="double" w:sz="4" w:space="0" w:color="auto"/>
              <w:bottom w:val="single" w:sz="4" w:space="0" w:color="auto"/>
            </w:tcBorders>
            <w:shd w:val="pct10" w:color="auto" w:fill="auto"/>
          </w:tcPr>
          <w:p w14:paraId="38A175F3" w14:textId="684C91CA" w:rsidR="003456E2" w:rsidRPr="007A306B" w:rsidRDefault="003456E2" w:rsidP="006D0862">
            <w:pPr>
              <w:autoSpaceDE w:val="0"/>
              <w:autoSpaceDN w:val="0"/>
              <w:adjustRightInd w:val="0"/>
              <w:spacing w:before="80" w:after="80"/>
              <w:rPr>
                <w:b/>
                <w:bCs/>
              </w:rPr>
            </w:pPr>
            <w:r>
              <w:rPr>
                <w:b/>
                <w:bCs/>
              </w:rPr>
              <w:t>Question 4</w:t>
            </w:r>
          </w:p>
        </w:tc>
        <w:tc>
          <w:tcPr>
            <w:tcW w:w="11340" w:type="dxa"/>
            <w:gridSpan w:val="2"/>
            <w:tcBorders>
              <w:top w:val="double" w:sz="4" w:space="0" w:color="auto"/>
              <w:bottom w:val="single" w:sz="4" w:space="0" w:color="auto"/>
            </w:tcBorders>
            <w:shd w:val="pct10" w:color="auto" w:fill="auto"/>
          </w:tcPr>
          <w:p w14:paraId="69A80B2C" w14:textId="77777777" w:rsidR="003456E2" w:rsidRDefault="005E0EFC" w:rsidP="006D0862">
            <w:pPr>
              <w:autoSpaceDE w:val="0"/>
              <w:autoSpaceDN w:val="0"/>
              <w:adjustRightInd w:val="0"/>
              <w:spacing w:before="80" w:after="80"/>
            </w:pPr>
            <w:r>
              <w:t>Would</w:t>
            </w:r>
            <w:r w:rsidRPr="005E0EFC">
              <w:t xml:space="preserve"> the creation of a DER Entity Registry and the development of NAESB Business Practice Standards to facilitate interoperability be beneficial to</w:t>
            </w:r>
            <w:r>
              <w:t>:</w:t>
            </w:r>
          </w:p>
          <w:p w14:paraId="7249BE9D" w14:textId="77777777" w:rsidR="005E0EFC" w:rsidRPr="005E0EFC" w:rsidRDefault="005E0EFC" w:rsidP="005E0EFC">
            <w:pPr>
              <w:numPr>
                <w:ilvl w:val="0"/>
                <w:numId w:val="48"/>
              </w:numPr>
              <w:spacing w:line="259" w:lineRule="auto"/>
              <w:ind w:left="346" w:hanging="270"/>
            </w:pPr>
            <w:r>
              <w:t xml:space="preserve">Support </w:t>
            </w:r>
            <w:r w:rsidRPr="005E0EFC">
              <w:t>broader integration of DERs and aggregations by industry? Why or why not?</w:t>
            </w:r>
          </w:p>
          <w:p w14:paraId="2536AD5E" w14:textId="31D856E2" w:rsidR="005E0EFC" w:rsidRPr="00DF0B88" w:rsidRDefault="005E0EFC" w:rsidP="005E0EFC">
            <w:pPr>
              <w:numPr>
                <w:ilvl w:val="0"/>
                <w:numId w:val="48"/>
              </w:numPr>
              <w:spacing w:line="259" w:lineRule="auto"/>
              <w:ind w:left="346" w:hanging="270"/>
            </w:pPr>
            <w:r>
              <w:t xml:space="preserve">Help </w:t>
            </w:r>
            <w:r w:rsidRPr="005E0EFC">
              <w:t>industry respond to FERC Order No. 2222, FERC Order No. 901, and/or needs for DER data?  Why or why not?</w:t>
            </w:r>
          </w:p>
        </w:tc>
      </w:tr>
      <w:tr w:rsidR="005E0EFC" w14:paraId="38D97A3E" w14:textId="77777777" w:rsidTr="005E0EFC">
        <w:trPr>
          <w:tblHeader/>
        </w:trPr>
        <w:tc>
          <w:tcPr>
            <w:tcW w:w="265" w:type="dxa"/>
            <w:tcBorders>
              <w:top w:val="single" w:sz="4" w:space="0" w:color="auto"/>
              <w:bottom w:val="single" w:sz="4" w:space="0" w:color="auto"/>
            </w:tcBorders>
          </w:tcPr>
          <w:p w14:paraId="178D5817" w14:textId="77777777" w:rsidR="005E0EFC" w:rsidRDefault="005E0EFC" w:rsidP="006D0862">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247934E9" w14:textId="77777777" w:rsidR="005E0EFC" w:rsidRDefault="005E0EFC" w:rsidP="006D0862">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7B95A06F" w14:textId="364DE592" w:rsidR="005E0EFC" w:rsidRDefault="005E0EFC" w:rsidP="006D0862">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3638B737" w14:textId="0F01DE9D" w:rsidR="005E0EFC" w:rsidRDefault="005E0EFC" w:rsidP="006D0862">
            <w:pPr>
              <w:autoSpaceDE w:val="0"/>
              <w:autoSpaceDN w:val="0"/>
              <w:adjustRightInd w:val="0"/>
              <w:spacing w:before="80" w:after="80"/>
              <w:rPr>
                <w:b/>
                <w:bCs/>
              </w:rPr>
            </w:pPr>
            <w:r>
              <w:rPr>
                <w:b/>
                <w:bCs/>
              </w:rPr>
              <w:t xml:space="preserve">Comment </w:t>
            </w:r>
          </w:p>
        </w:tc>
      </w:tr>
      <w:tr w:rsidR="005E0EFC" w14:paraId="71022CFA" w14:textId="77777777" w:rsidTr="005E0EFC">
        <w:tc>
          <w:tcPr>
            <w:tcW w:w="265" w:type="dxa"/>
          </w:tcPr>
          <w:p w14:paraId="60AE87A1" w14:textId="6287CCD2" w:rsidR="005E0EFC" w:rsidRPr="00CC5097" w:rsidRDefault="0098001E" w:rsidP="006D0862">
            <w:pPr>
              <w:autoSpaceDE w:val="0"/>
              <w:autoSpaceDN w:val="0"/>
              <w:adjustRightInd w:val="0"/>
              <w:spacing w:before="80" w:after="80"/>
              <w:ind w:left="-112" w:right="-107"/>
              <w:jc w:val="center"/>
            </w:pPr>
            <w:r>
              <w:t>1.</w:t>
            </w:r>
          </w:p>
        </w:tc>
        <w:tc>
          <w:tcPr>
            <w:tcW w:w="1440" w:type="dxa"/>
          </w:tcPr>
          <w:p w14:paraId="2296149D" w14:textId="6BED0D16" w:rsidR="005E0EFC" w:rsidRPr="00CC5097" w:rsidRDefault="0098001E" w:rsidP="006D0862">
            <w:pPr>
              <w:autoSpaceDE w:val="0"/>
              <w:autoSpaceDN w:val="0"/>
              <w:adjustRightInd w:val="0"/>
              <w:spacing w:before="80" w:after="80"/>
            </w:pPr>
            <w:r>
              <w:t>MISO</w:t>
            </w:r>
          </w:p>
        </w:tc>
        <w:tc>
          <w:tcPr>
            <w:tcW w:w="1890" w:type="dxa"/>
          </w:tcPr>
          <w:p w14:paraId="3D562186" w14:textId="1719B10E" w:rsidR="005E0EFC" w:rsidRPr="00CC5097" w:rsidRDefault="0098001E" w:rsidP="006D0862">
            <w:pPr>
              <w:autoSpaceDE w:val="0"/>
              <w:autoSpaceDN w:val="0"/>
              <w:adjustRightInd w:val="0"/>
              <w:spacing w:before="80" w:after="80"/>
            </w:pPr>
            <w:r>
              <w:t>Kristen Rowley</w:t>
            </w:r>
          </w:p>
        </w:tc>
        <w:tc>
          <w:tcPr>
            <w:tcW w:w="9450" w:type="dxa"/>
          </w:tcPr>
          <w:p w14:paraId="3D473D29" w14:textId="5322B895" w:rsidR="0098001E" w:rsidRPr="00CC5097" w:rsidRDefault="0098001E" w:rsidP="0098001E">
            <w:pPr>
              <w:autoSpaceDE w:val="0"/>
              <w:autoSpaceDN w:val="0"/>
              <w:adjustRightInd w:val="0"/>
              <w:spacing w:before="120" w:after="120"/>
            </w:pPr>
            <w:r>
              <w:t xml:space="preserve">a) </w:t>
            </w:r>
            <w:r w:rsidRPr="0098001E">
              <w:t>A DER entity registry and standards will lower the barrier to entry and will enable an entity to streamline their processes across the ISOs.</w:t>
            </w:r>
          </w:p>
        </w:tc>
      </w:tr>
      <w:tr w:rsidR="00766B40" w14:paraId="5C0FAD50" w14:textId="77777777" w:rsidTr="005E0EFC">
        <w:tc>
          <w:tcPr>
            <w:tcW w:w="265" w:type="dxa"/>
          </w:tcPr>
          <w:p w14:paraId="7FBF983C" w14:textId="158A4E58" w:rsidR="00766B40" w:rsidRDefault="00766B40" w:rsidP="006D0862">
            <w:pPr>
              <w:autoSpaceDE w:val="0"/>
              <w:autoSpaceDN w:val="0"/>
              <w:adjustRightInd w:val="0"/>
              <w:spacing w:before="80" w:after="80"/>
              <w:ind w:left="-112" w:right="-107"/>
              <w:jc w:val="center"/>
            </w:pPr>
            <w:r>
              <w:t>2.</w:t>
            </w:r>
          </w:p>
        </w:tc>
        <w:tc>
          <w:tcPr>
            <w:tcW w:w="1440" w:type="dxa"/>
          </w:tcPr>
          <w:p w14:paraId="74403F96" w14:textId="520FCECD" w:rsidR="00766B40" w:rsidRDefault="00766B40" w:rsidP="006D0862">
            <w:pPr>
              <w:autoSpaceDE w:val="0"/>
              <w:autoSpaceDN w:val="0"/>
              <w:adjustRightInd w:val="0"/>
              <w:spacing w:before="80" w:after="80"/>
            </w:pPr>
            <w:r>
              <w:t>PacifiCorp</w:t>
            </w:r>
          </w:p>
        </w:tc>
        <w:tc>
          <w:tcPr>
            <w:tcW w:w="1890" w:type="dxa"/>
          </w:tcPr>
          <w:p w14:paraId="5FD45F31" w14:textId="602F2CF7" w:rsidR="00766B40" w:rsidRDefault="00766B40" w:rsidP="006D0862">
            <w:pPr>
              <w:autoSpaceDE w:val="0"/>
              <w:autoSpaceDN w:val="0"/>
              <w:adjustRightInd w:val="0"/>
              <w:spacing w:before="80" w:after="80"/>
            </w:pPr>
            <w:r>
              <w:t>Janice Bacon</w:t>
            </w:r>
          </w:p>
        </w:tc>
        <w:tc>
          <w:tcPr>
            <w:tcW w:w="9450" w:type="dxa"/>
          </w:tcPr>
          <w:p w14:paraId="678AEE6E" w14:textId="77777777" w:rsidR="00766B40" w:rsidRDefault="00766B40" w:rsidP="0098001E">
            <w:pPr>
              <w:autoSpaceDE w:val="0"/>
              <w:autoSpaceDN w:val="0"/>
              <w:adjustRightInd w:val="0"/>
              <w:spacing w:before="120" w:after="120"/>
            </w:pPr>
            <w:r>
              <w:t>a) See above comment</w:t>
            </w:r>
          </w:p>
          <w:p w14:paraId="7154C4D2" w14:textId="5BB51A00" w:rsidR="00766B40" w:rsidRDefault="00766B40" w:rsidP="0098001E">
            <w:pPr>
              <w:autoSpaceDE w:val="0"/>
              <w:autoSpaceDN w:val="0"/>
              <w:adjustRightInd w:val="0"/>
              <w:spacing w:before="120" w:after="120"/>
            </w:pPr>
            <w:r>
              <w:t>b) No Comment</w:t>
            </w:r>
          </w:p>
        </w:tc>
      </w:tr>
      <w:tr w:rsidR="00942884" w14:paraId="40E74AA5" w14:textId="77777777" w:rsidTr="005E0EFC">
        <w:tc>
          <w:tcPr>
            <w:tcW w:w="265" w:type="dxa"/>
          </w:tcPr>
          <w:p w14:paraId="4060EC34" w14:textId="77E156B5" w:rsidR="00942884" w:rsidRDefault="00942884" w:rsidP="006D0862">
            <w:pPr>
              <w:autoSpaceDE w:val="0"/>
              <w:autoSpaceDN w:val="0"/>
              <w:adjustRightInd w:val="0"/>
              <w:spacing w:before="80" w:after="80"/>
              <w:ind w:left="-112" w:right="-107"/>
              <w:jc w:val="center"/>
            </w:pPr>
            <w:r>
              <w:t>3.</w:t>
            </w:r>
          </w:p>
        </w:tc>
        <w:tc>
          <w:tcPr>
            <w:tcW w:w="1440" w:type="dxa"/>
          </w:tcPr>
          <w:p w14:paraId="6152503E" w14:textId="7AA7C660" w:rsidR="00942884" w:rsidRDefault="00942884" w:rsidP="006D0862">
            <w:pPr>
              <w:autoSpaceDE w:val="0"/>
              <w:autoSpaceDN w:val="0"/>
              <w:adjustRightInd w:val="0"/>
              <w:spacing w:before="80" w:after="80"/>
            </w:pPr>
            <w:r>
              <w:t>PJM</w:t>
            </w:r>
          </w:p>
        </w:tc>
        <w:tc>
          <w:tcPr>
            <w:tcW w:w="1890" w:type="dxa"/>
          </w:tcPr>
          <w:p w14:paraId="2DDD540F" w14:textId="363B859D" w:rsidR="00942884" w:rsidRDefault="00942884" w:rsidP="006D0862">
            <w:pPr>
              <w:autoSpaceDE w:val="0"/>
              <w:autoSpaceDN w:val="0"/>
              <w:adjustRightInd w:val="0"/>
              <w:spacing w:before="80" w:after="80"/>
            </w:pPr>
            <w:r>
              <w:t>Diane Antonelli</w:t>
            </w:r>
          </w:p>
        </w:tc>
        <w:tc>
          <w:tcPr>
            <w:tcW w:w="9450" w:type="dxa"/>
          </w:tcPr>
          <w:p w14:paraId="507BAAF4" w14:textId="77777777" w:rsidR="00942884" w:rsidRDefault="00942884" w:rsidP="0098001E">
            <w:pPr>
              <w:autoSpaceDE w:val="0"/>
              <w:autoSpaceDN w:val="0"/>
              <w:adjustRightInd w:val="0"/>
              <w:spacing w:before="120" w:after="120"/>
            </w:pPr>
            <w:r>
              <w:t xml:space="preserve">a) </w:t>
            </w:r>
            <w:r w:rsidR="00CB69D5" w:rsidRPr="00CB69D5">
              <w:t>PJM does not see a future need to share the DER information being captured with other entities outside of PJM and its members.  This data is specific to the PJM area and all associated systems such as registration, scheduling and operations, performance validation and settlement processes.</w:t>
            </w:r>
          </w:p>
          <w:p w14:paraId="1EEE8EC1" w14:textId="7CCCED64" w:rsidR="00CB69D5" w:rsidRDefault="00CB69D5" w:rsidP="0098001E">
            <w:pPr>
              <w:autoSpaceDE w:val="0"/>
              <w:autoSpaceDN w:val="0"/>
              <w:adjustRightInd w:val="0"/>
              <w:spacing w:before="120" w:after="120"/>
            </w:pPr>
            <w:r>
              <w:t xml:space="preserve">b) </w:t>
            </w:r>
            <w:r w:rsidRPr="00CB69D5">
              <w:t>As mentioned above, PJM leverages existing systems and associated integrations that already provide 85% of the functionality required to implement FERC Order 2222</w:t>
            </w:r>
            <w:r>
              <w:t>.</w:t>
            </w:r>
          </w:p>
        </w:tc>
      </w:tr>
      <w:tr w:rsidR="00942884" w14:paraId="73B46A9D" w14:textId="77777777" w:rsidTr="005E0EFC">
        <w:tc>
          <w:tcPr>
            <w:tcW w:w="265" w:type="dxa"/>
          </w:tcPr>
          <w:p w14:paraId="7C8BDD29" w14:textId="00ADC49C" w:rsidR="00942884" w:rsidRDefault="00942884" w:rsidP="006D0862">
            <w:pPr>
              <w:autoSpaceDE w:val="0"/>
              <w:autoSpaceDN w:val="0"/>
              <w:adjustRightInd w:val="0"/>
              <w:spacing w:before="80" w:after="80"/>
              <w:ind w:left="-112" w:right="-107"/>
              <w:jc w:val="center"/>
            </w:pPr>
            <w:r>
              <w:t>4.</w:t>
            </w:r>
          </w:p>
        </w:tc>
        <w:tc>
          <w:tcPr>
            <w:tcW w:w="1440" w:type="dxa"/>
          </w:tcPr>
          <w:p w14:paraId="1CB05ED0" w14:textId="4911DDDC" w:rsidR="00942884" w:rsidRDefault="00942884" w:rsidP="006D0862">
            <w:pPr>
              <w:autoSpaceDE w:val="0"/>
              <w:autoSpaceDN w:val="0"/>
              <w:adjustRightInd w:val="0"/>
              <w:spacing w:before="80" w:after="80"/>
            </w:pPr>
            <w:proofErr w:type="spellStart"/>
            <w:r>
              <w:t>Evergy</w:t>
            </w:r>
            <w:proofErr w:type="spellEnd"/>
          </w:p>
        </w:tc>
        <w:tc>
          <w:tcPr>
            <w:tcW w:w="1890" w:type="dxa"/>
          </w:tcPr>
          <w:p w14:paraId="35322136" w14:textId="57671228" w:rsidR="00942884" w:rsidRDefault="00942884" w:rsidP="006D0862">
            <w:pPr>
              <w:autoSpaceDE w:val="0"/>
              <w:autoSpaceDN w:val="0"/>
              <w:adjustRightInd w:val="0"/>
              <w:spacing w:before="80" w:after="80"/>
            </w:pPr>
            <w:r>
              <w:t>Hayden Maples</w:t>
            </w:r>
          </w:p>
        </w:tc>
        <w:tc>
          <w:tcPr>
            <w:tcW w:w="9450" w:type="dxa"/>
          </w:tcPr>
          <w:p w14:paraId="76225B25" w14:textId="77777777" w:rsidR="00942884" w:rsidRDefault="00942884" w:rsidP="0098001E">
            <w:pPr>
              <w:autoSpaceDE w:val="0"/>
              <w:autoSpaceDN w:val="0"/>
              <w:adjustRightInd w:val="0"/>
              <w:spacing w:before="120" w:after="120"/>
            </w:pPr>
            <w:r>
              <w:t xml:space="preserve">a) </w:t>
            </w:r>
            <w:r w:rsidRPr="00942884">
              <w:t>Yes, it would give useful information to determine adoption rates by area/program and to help better forecast future adoption rates (locations/size/DER types).</w:t>
            </w:r>
          </w:p>
          <w:p w14:paraId="5F30F1AD" w14:textId="4D5CF8E4" w:rsidR="00942884" w:rsidRDefault="00942884" w:rsidP="0098001E">
            <w:pPr>
              <w:autoSpaceDE w:val="0"/>
              <w:autoSpaceDN w:val="0"/>
              <w:adjustRightInd w:val="0"/>
              <w:spacing w:before="120" w:after="120"/>
            </w:pPr>
            <w:r>
              <w:t xml:space="preserve">b) </w:t>
            </w:r>
            <w:r w:rsidRPr="00942884">
              <w:t>Yes, same as a plus streamline data collection to help meet 2222 timelines and new NERC standard requirements. However, this effect is lost if there is low participation and it is not clear what the enforcement mechanism for use might be.</w:t>
            </w:r>
          </w:p>
        </w:tc>
      </w:tr>
      <w:tr w:rsidR="00DA25F7" w14:paraId="78AE92CA" w14:textId="77777777" w:rsidTr="005E0EFC">
        <w:tc>
          <w:tcPr>
            <w:tcW w:w="265" w:type="dxa"/>
          </w:tcPr>
          <w:p w14:paraId="196A8308" w14:textId="73CF2373" w:rsidR="00DA25F7" w:rsidRDefault="00DA25F7" w:rsidP="006D0862">
            <w:pPr>
              <w:autoSpaceDE w:val="0"/>
              <w:autoSpaceDN w:val="0"/>
              <w:adjustRightInd w:val="0"/>
              <w:spacing w:before="80" w:after="80"/>
              <w:ind w:left="-112" w:right="-107"/>
              <w:jc w:val="center"/>
            </w:pPr>
            <w:r>
              <w:t>5.</w:t>
            </w:r>
          </w:p>
        </w:tc>
        <w:tc>
          <w:tcPr>
            <w:tcW w:w="1440" w:type="dxa"/>
          </w:tcPr>
          <w:p w14:paraId="263184E0" w14:textId="4997B8FF" w:rsidR="00DA25F7" w:rsidRDefault="00DA25F7" w:rsidP="006D0862">
            <w:pPr>
              <w:autoSpaceDE w:val="0"/>
              <w:autoSpaceDN w:val="0"/>
              <w:adjustRightInd w:val="0"/>
              <w:spacing w:before="80" w:after="80"/>
            </w:pPr>
            <w:r>
              <w:t>Seattle City Light</w:t>
            </w:r>
          </w:p>
        </w:tc>
        <w:tc>
          <w:tcPr>
            <w:tcW w:w="1890" w:type="dxa"/>
          </w:tcPr>
          <w:p w14:paraId="54C35D57" w14:textId="36616452" w:rsidR="00DA25F7" w:rsidRDefault="00DA25F7" w:rsidP="006D0862">
            <w:pPr>
              <w:autoSpaceDE w:val="0"/>
              <w:autoSpaceDN w:val="0"/>
              <w:adjustRightInd w:val="0"/>
              <w:spacing w:before="80" w:after="80"/>
            </w:pPr>
            <w:r>
              <w:t>Michael Watkins</w:t>
            </w:r>
          </w:p>
        </w:tc>
        <w:tc>
          <w:tcPr>
            <w:tcW w:w="9450" w:type="dxa"/>
          </w:tcPr>
          <w:p w14:paraId="3E3F7979" w14:textId="77777777" w:rsidR="00DA25F7" w:rsidRDefault="00DA25F7" w:rsidP="0098001E">
            <w:pPr>
              <w:autoSpaceDE w:val="0"/>
              <w:autoSpaceDN w:val="0"/>
              <w:adjustRightInd w:val="0"/>
              <w:spacing w:before="120" w:after="120"/>
            </w:pPr>
            <w:r>
              <w:t xml:space="preserve">a) Yes, </w:t>
            </w:r>
            <w:r w:rsidRPr="00DA25F7">
              <w:t>City Light recommends a DER Entity Registry would support broader integration of DERs by providing an accepted framework for identifying and qualifying a DER resource</w:t>
            </w:r>
            <w:r>
              <w:t>.</w:t>
            </w:r>
          </w:p>
          <w:p w14:paraId="65E0B5E2" w14:textId="6F0D7491" w:rsidR="00DA25F7" w:rsidRDefault="00DA25F7" w:rsidP="0098001E">
            <w:pPr>
              <w:autoSpaceDE w:val="0"/>
              <w:autoSpaceDN w:val="0"/>
              <w:adjustRightInd w:val="0"/>
              <w:spacing w:before="120" w:after="120"/>
            </w:pPr>
            <w:r>
              <w:t xml:space="preserve">b) City </w:t>
            </w:r>
            <w:r w:rsidRPr="00DA25F7">
              <w:t>Light believes a DER Entity Registry would facilitate standardizing DER data and data collection. This would help industry respond to FERC Order No. 222 and 901.</w:t>
            </w:r>
          </w:p>
        </w:tc>
      </w:tr>
      <w:tr w:rsidR="0065009B" w14:paraId="24232D78" w14:textId="77777777" w:rsidTr="005E0EFC">
        <w:tc>
          <w:tcPr>
            <w:tcW w:w="265" w:type="dxa"/>
          </w:tcPr>
          <w:p w14:paraId="5E2E6C84" w14:textId="735EAEA6" w:rsidR="0065009B" w:rsidRDefault="0065009B" w:rsidP="006D0862">
            <w:pPr>
              <w:autoSpaceDE w:val="0"/>
              <w:autoSpaceDN w:val="0"/>
              <w:adjustRightInd w:val="0"/>
              <w:spacing w:before="80" w:after="80"/>
              <w:ind w:left="-112" w:right="-107"/>
              <w:jc w:val="center"/>
            </w:pPr>
            <w:r>
              <w:t>6.</w:t>
            </w:r>
          </w:p>
        </w:tc>
        <w:tc>
          <w:tcPr>
            <w:tcW w:w="1440" w:type="dxa"/>
          </w:tcPr>
          <w:p w14:paraId="3605EB6E" w14:textId="4953BA77" w:rsidR="0065009B" w:rsidRDefault="0065009B" w:rsidP="006D0862">
            <w:pPr>
              <w:autoSpaceDE w:val="0"/>
              <w:autoSpaceDN w:val="0"/>
              <w:adjustRightInd w:val="0"/>
              <w:spacing w:before="80" w:after="80"/>
            </w:pPr>
            <w:proofErr w:type="spellStart"/>
            <w:r>
              <w:t>NYISO</w:t>
            </w:r>
            <w:proofErr w:type="spellEnd"/>
          </w:p>
        </w:tc>
        <w:tc>
          <w:tcPr>
            <w:tcW w:w="1890" w:type="dxa"/>
          </w:tcPr>
          <w:p w14:paraId="1C25AEE2" w14:textId="316D4F8C" w:rsidR="0065009B" w:rsidRDefault="0065009B" w:rsidP="006D0862">
            <w:pPr>
              <w:autoSpaceDE w:val="0"/>
              <w:autoSpaceDN w:val="0"/>
              <w:adjustRightInd w:val="0"/>
              <w:spacing w:before="80" w:after="80"/>
            </w:pPr>
            <w:r>
              <w:t>William Porter</w:t>
            </w:r>
          </w:p>
        </w:tc>
        <w:tc>
          <w:tcPr>
            <w:tcW w:w="9450" w:type="dxa"/>
          </w:tcPr>
          <w:p w14:paraId="4F7C561D" w14:textId="77777777" w:rsidR="0065009B" w:rsidRDefault="0065009B" w:rsidP="0098001E">
            <w:pPr>
              <w:autoSpaceDE w:val="0"/>
              <w:autoSpaceDN w:val="0"/>
              <w:adjustRightInd w:val="0"/>
              <w:spacing w:before="120" w:after="120"/>
            </w:pPr>
            <w:r>
              <w:t xml:space="preserve">a) </w:t>
            </w:r>
            <w:r w:rsidRPr="0065009B">
              <w:t xml:space="preserve">There are a number of data points that Aggregators need to report when enrolling, detailed in Appendix A and Appendix B in the Aggregation System User’s Guide at the following link: </w:t>
            </w:r>
            <w:hyperlink r:id="rId13" w:history="1">
              <w:r w:rsidRPr="006030C1">
                <w:rPr>
                  <w:rStyle w:val="Hyperlink"/>
                </w:rPr>
                <w:t>https://www.nyiso.com/documents/20142/3625950/UG-25-AggSys-v3.0-Final.pdf/</w:t>
              </w:r>
            </w:hyperlink>
            <w:r w:rsidRPr="0065009B">
              <w:t xml:space="preserve">. Aggregators must interact </w:t>
            </w:r>
            <w:r w:rsidRPr="0065009B">
              <w:lastRenderedPageBreak/>
              <w:t xml:space="preserve">with multiple entities including their customers, utilities, and the </w:t>
            </w:r>
            <w:proofErr w:type="spellStart"/>
            <w:r w:rsidRPr="0065009B">
              <w:t>NYISO</w:t>
            </w:r>
            <w:proofErr w:type="spellEnd"/>
            <w:r w:rsidRPr="0065009B">
              <w:t xml:space="preserve"> in enrolling DER, and may find the registry envisioned by NAESB to be useful.</w:t>
            </w:r>
          </w:p>
          <w:p w14:paraId="6CB2D85C" w14:textId="0FEC8014" w:rsidR="0065009B" w:rsidRDefault="0065009B" w:rsidP="0098001E">
            <w:pPr>
              <w:autoSpaceDE w:val="0"/>
              <w:autoSpaceDN w:val="0"/>
              <w:adjustRightInd w:val="0"/>
              <w:spacing w:before="120" w:after="120"/>
            </w:pPr>
            <w:r>
              <w:t xml:space="preserve">b) </w:t>
            </w:r>
            <w:r w:rsidRPr="0065009B">
              <w:t>As noted, the main beneficiary of this information is likely to be the Aggregator. The Distribution Utility (“DU</w:t>
            </w:r>
            <w:proofErr w:type="gramStart"/>
            <w:r w:rsidRPr="0065009B">
              <w:t>”)  is</w:t>
            </w:r>
            <w:proofErr w:type="gramEnd"/>
            <w:r w:rsidRPr="0065009B">
              <w:t xml:space="preserve"> required to provide a safety and reliability review of Aggregations before they enter the </w:t>
            </w:r>
            <w:proofErr w:type="spellStart"/>
            <w:r w:rsidRPr="0065009B">
              <w:t>NYISO</w:t>
            </w:r>
            <w:proofErr w:type="spellEnd"/>
            <w:r w:rsidRPr="0065009B">
              <w:t xml:space="preserve"> markets. The </w:t>
            </w:r>
            <w:proofErr w:type="spellStart"/>
            <w:r w:rsidRPr="0065009B">
              <w:t>NYISO</w:t>
            </w:r>
            <w:proofErr w:type="spellEnd"/>
            <w:r w:rsidRPr="0065009B">
              <w:t xml:space="preserve"> makes the enrollment information submitted by the Aggregator available to the DU so that the DU may complete the safety and reliability review. The </w:t>
            </w:r>
            <w:proofErr w:type="spellStart"/>
            <w:r w:rsidRPr="0065009B">
              <w:t>NYISO</w:t>
            </w:r>
            <w:proofErr w:type="spellEnd"/>
            <w:r w:rsidRPr="0065009B">
              <w:t xml:space="preserve"> posts Aggregator information on the </w:t>
            </w:r>
            <w:proofErr w:type="spellStart"/>
            <w:r w:rsidRPr="0065009B">
              <w:t>NYISO</w:t>
            </w:r>
            <w:proofErr w:type="spellEnd"/>
            <w:r w:rsidRPr="0065009B">
              <w:t xml:space="preserve"> website when the Aggregator agrees to have their information posted. The </w:t>
            </w:r>
            <w:proofErr w:type="spellStart"/>
            <w:r w:rsidRPr="0065009B">
              <w:t>NYISO</w:t>
            </w:r>
            <w:proofErr w:type="spellEnd"/>
            <w:r w:rsidRPr="0065009B">
              <w:t xml:space="preserve"> also posts utility information on the </w:t>
            </w:r>
            <w:proofErr w:type="spellStart"/>
            <w:r w:rsidRPr="0065009B">
              <w:t>NYISO</w:t>
            </w:r>
            <w:proofErr w:type="spellEnd"/>
            <w:r w:rsidRPr="0065009B">
              <w:t xml:space="preserve"> website. This aids both parties in the enrollment and DU review process: </w:t>
            </w:r>
            <w:hyperlink r:id="rId14" w:history="1">
              <w:r w:rsidRPr="006030C1">
                <w:rPr>
                  <w:rStyle w:val="Hyperlink"/>
                </w:rPr>
                <w:t>https://www.nyiso.com/documents/20142/1391862/2025-11-4%20DER-Providers-List.pdf/</w:t>
              </w:r>
            </w:hyperlink>
            <w:r w:rsidRPr="0065009B">
              <w:t>.</w:t>
            </w:r>
            <w:r>
              <w:t xml:space="preserve"> </w:t>
            </w:r>
          </w:p>
        </w:tc>
      </w:tr>
      <w:tr w:rsidR="00D87BE8" w14:paraId="0D78CFED" w14:textId="77777777" w:rsidTr="005E0EFC">
        <w:tc>
          <w:tcPr>
            <w:tcW w:w="265" w:type="dxa"/>
          </w:tcPr>
          <w:p w14:paraId="1FCD9FD8" w14:textId="58E8E1CC" w:rsidR="00D87BE8" w:rsidRDefault="00D87BE8" w:rsidP="006D0862">
            <w:pPr>
              <w:autoSpaceDE w:val="0"/>
              <w:autoSpaceDN w:val="0"/>
              <w:adjustRightInd w:val="0"/>
              <w:spacing w:before="80" w:after="80"/>
              <w:ind w:left="-112" w:right="-107"/>
              <w:jc w:val="center"/>
            </w:pPr>
            <w:r>
              <w:lastRenderedPageBreak/>
              <w:t>7.</w:t>
            </w:r>
          </w:p>
        </w:tc>
        <w:tc>
          <w:tcPr>
            <w:tcW w:w="1440" w:type="dxa"/>
          </w:tcPr>
          <w:p w14:paraId="2E79E50E" w14:textId="59CE546F" w:rsidR="00D87BE8" w:rsidRDefault="00D87BE8" w:rsidP="006D0862">
            <w:pPr>
              <w:autoSpaceDE w:val="0"/>
              <w:autoSpaceDN w:val="0"/>
              <w:adjustRightInd w:val="0"/>
              <w:spacing w:before="80" w:after="80"/>
            </w:pPr>
            <w:r>
              <w:t>Entergy</w:t>
            </w:r>
          </w:p>
        </w:tc>
        <w:tc>
          <w:tcPr>
            <w:tcW w:w="1890" w:type="dxa"/>
          </w:tcPr>
          <w:p w14:paraId="15551DC9" w14:textId="38CF139B" w:rsidR="00D87BE8" w:rsidRDefault="00D87BE8" w:rsidP="006D0862">
            <w:pPr>
              <w:autoSpaceDE w:val="0"/>
              <w:autoSpaceDN w:val="0"/>
              <w:adjustRightInd w:val="0"/>
              <w:spacing w:before="80" w:after="80"/>
            </w:pPr>
            <w:r>
              <w:t>Thomas Chamberlain</w:t>
            </w:r>
          </w:p>
        </w:tc>
        <w:tc>
          <w:tcPr>
            <w:tcW w:w="9450" w:type="dxa"/>
          </w:tcPr>
          <w:p w14:paraId="64EA93B5" w14:textId="00FDFE42" w:rsidR="00D87BE8" w:rsidRDefault="00D87BE8" w:rsidP="00D87BE8">
            <w:pPr>
              <w:autoSpaceDE w:val="0"/>
              <w:autoSpaceDN w:val="0"/>
              <w:adjustRightInd w:val="0"/>
              <w:spacing w:before="120" w:after="120"/>
            </w:pPr>
            <w:r>
              <w:t>a) Yes. A DER entity registry combined with interoperable standards could help lower barriers to participation and support broader DER integration.</w:t>
            </w:r>
          </w:p>
          <w:p w14:paraId="163161F2" w14:textId="77777777" w:rsidR="00D87BE8" w:rsidRPr="0061230E" w:rsidRDefault="00D87BE8" w:rsidP="0061230E">
            <w:pPr>
              <w:autoSpaceDE w:val="0"/>
              <w:autoSpaceDN w:val="0"/>
              <w:adjustRightInd w:val="0"/>
              <w:spacing w:before="120" w:after="120"/>
            </w:pPr>
            <w:r w:rsidRPr="0061230E">
              <w:t>Benefits could include:</w:t>
            </w:r>
          </w:p>
          <w:p w14:paraId="7F87368F" w14:textId="3B84CA7A"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Standardized </w:t>
            </w:r>
            <w:r w:rsidRPr="0061230E">
              <w:rPr>
                <w:rFonts w:ascii="Times New Roman" w:hAnsi="Times New Roman" w:cs="Times New Roman"/>
                <w:b/>
                <w:bCs/>
                <w:sz w:val="20"/>
                <w:szCs w:val="20"/>
              </w:rPr>
              <w:t>data formats and communication protocols</w:t>
            </w:r>
          </w:p>
          <w:p w14:paraId="01450E41" w14:textId="07C8F2AD"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Improved </w:t>
            </w:r>
            <w:r w:rsidRPr="0061230E">
              <w:rPr>
                <w:rFonts w:ascii="Times New Roman" w:hAnsi="Times New Roman" w:cs="Times New Roman"/>
                <w:b/>
                <w:bCs/>
                <w:sz w:val="20"/>
                <w:szCs w:val="20"/>
              </w:rPr>
              <w:t>coordination between distribution utilities, aggregators, and market operators</w:t>
            </w:r>
          </w:p>
          <w:p w14:paraId="5140824B" w14:textId="14CC079D"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Streamlined onboarding of new market participants</w:t>
            </w:r>
          </w:p>
          <w:p w14:paraId="32D3574E" w14:textId="3C602043"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 xml:space="preserve">Improved </w:t>
            </w:r>
            <w:r w:rsidRPr="0061230E">
              <w:rPr>
                <w:rFonts w:ascii="Times New Roman" w:hAnsi="Times New Roman" w:cs="Times New Roman"/>
                <w:b/>
                <w:bCs/>
                <w:sz w:val="20"/>
                <w:szCs w:val="20"/>
              </w:rPr>
              <w:t>cybersecurity and authentication controls</w:t>
            </w:r>
          </w:p>
          <w:p w14:paraId="70929648" w14:textId="3BB4B989" w:rsidR="00D87BE8" w:rsidRPr="00D87BE8" w:rsidRDefault="00D87BE8" w:rsidP="00D87BE8">
            <w:pPr>
              <w:pStyle w:val="ListParagraph"/>
              <w:numPr>
                <w:ilvl w:val="0"/>
                <w:numId w:val="55"/>
              </w:numPr>
              <w:autoSpaceDE w:val="0"/>
              <w:autoSpaceDN w:val="0"/>
              <w:adjustRightInd w:val="0"/>
              <w:spacing w:before="120" w:after="120"/>
              <w:rPr>
                <w:rFonts w:ascii="Times New Roman" w:hAnsi="Times New Roman" w:cs="Times New Roman"/>
                <w:sz w:val="20"/>
                <w:szCs w:val="20"/>
              </w:rPr>
            </w:pPr>
            <w:r w:rsidRPr="00D87BE8">
              <w:rPr>
                <w:rFonts w:ascii="Times New Roman" w:hAnsi="Times New Roman" w:cs="Times New Roman"/>
                <w:sz w:val="20"/>
                <w:szCs w:val="20"/>
              </w:rPr>
              <w:t>Reduced reliance on ad hoc data exchanges (e.g., manual data sharing or email-based processes)</w:t>
            </w:r>
          </w:p>
          <w:p w14:paraId="4EABB0E4" w14:textId="77777777" w:rsidR="00D87BE8" w:rsidRDefault="00D87BE8" w:rsidP="00D87BE8">
            <w:pPr>
              <w:autoSpaceDE w:val="0"/>
              <w:autoSpaceDN w:val="0"/>
              <w:adjustRightInd w:val="0"/>
              <w:spacing w:before="120" w:after="120"/>
            </w:pPr>
            <w:r>
              <w:t>These capabilities may help support industry implementation of FERC Order 2222 and other DER-related initiatives.</w:t>
            </w:r>
          </w:p>
          <w:p w14:paraId="6B0CBD23" w14:textId="56420C72" w:rsidR="0061230E" w:rsidRDefault="0061230E" w:rsidP="0061230E">
            <w:pPr>
              <w:autoSpaceDE w:val="0"/>
              <w:autoSpaceDN w:val="0"/>
              <w:adjustRightInd w:val="0"/>
              <w:spacing w:before="120" w:after="120"/>
            </w:pPr>
            <w:r>
              <w:t>b) A DER entity registry could support industry implementation of FERC Order 2222 and other DER-related initiatives by improving visibility into participating entities and enabling more standardized data sharing.</w:t>
            </w:r>
          </w:p>
          <w:p w14:paraId="62C0DE66" w14:textId="77777777" w:rsidR="0061230E" w:rsidRDefault="0061230E" w:rsidP="0061230E">
            <w:pPr>
              <w:autoSpaceDE w:val="0"/>
              <w:autoSpaceDN w:val="0"/>
              <w:adjustRightInd w:val="0"/>
              <w:spacing w:before="120" w:after="120"/>
            </w:pPr>
            <w:r>
              <w:t>Specifically, a registry could:</w:t>
            </w:r>
          </w:p>
          <w:p w14:paraId="1C20E478" w14:textId="66D08432" w:rsidR="0061230E" w:rsidRPr="0061230E" w:rsidRDefault="0061230E" w:rsidP="0061230E">
            <w:pPr>
              <w:pStyle w:val="ListParagraph"/>
              <w:numPr>
                <w:ilvl w:val="0"/>
                <w:numId w:val="56"/>
              </w:numPr>
              <w:autoSpaceDE w:val="0"/>
              <w:autoSpaceDN w:val="0"/>
              <w:adjustRightInd w:val="0"/>
              <w:spacing w:before="120" w:after="120"/>
              <w:rPr>
                <w:rFonts w:ascii="Times New Roman" w:hAnsi="Times New Roman" w:cs="Times New Roman"/>
                <w:sz w:val="20"/>
                <w:szCs w:val="20"/>
              </w:rPr>
            </w:pPr>
            <w:r w:rsidRPr="0061230E">
              <w:rPr>
                <w:rFonts w:ascii="Times New Roman" w:hAnsi="Times New Roman" w:cs="Times New Roman"/>
                <w:sz w:val="20"/>
                <w:szCs w:val="20"/>
              </w:rPr>
              <w:t>Improve identification of entities participating in DER aggregations</w:t>
            </w:r>
          </w:p>
          <w:p w14:paraId="34E99B46" w14:textId="3F957438" w:rsidR="0061230E" w:rsidRPr="0061230E" w:rsidRDefault="0061230E" w:rsidP="0061230E">
            <w:pPr>
              <w:pStyle w:val="ListParagraph"/>
              <w:numPr>
                <w:ilvl w:val="0"/>
                <w:numId w:val="56"/>
              </w:numPr>
              <w:autoSpaceDE w:val="0"/>
              <w:autoSpaceDN w:val="0"/>
              <w:adjustRightInd w:val="0"/>
              <w:spacing w:before="120" w:after="120"/>
              <w:rPr>
                <w:rFonts w:ascii="Times New Roman" w:hAnsi="Times New Roman" w:cs="Times New Roman"/>
                <w:sz w:val="20"/>
                <w:szCs w:val="20"/>
              </w:rPr>
            </w:pPr>
            <w:r w:rsidRPr="0061230E">
              <w:rPr>
                <w:rFonts w:ascii="Times New Roman" w:hAnsi="Times New Roman" w:cs="Times New Roman"/>
                <w:sz w:val="20"/>
                <w:szCs w:val="20"/>
              </w:rPr>
              <w:lastRenderedPageBreak/>
              <w:t>Facilitate communication between distribution utilities and aggregators</w:t>
            </w:r>
          </w:p>
          <w:p w14:paraId="00F69171" w14:textId="58C72B8F" w:rsidR="0061230E" w:rsidRPr="0061230E" w:rsidRDefault="0061230E" w:rsidP="0061230E">
            <w:pPr>
              <w:pStyle w:val="ListParagraph"/>
              <w:numPr>
                <w:ilvl w:val="0"/>
                <w:numId w:val="56"/>
              </w:numPr>
              <w:autoSpaceDE w:val="0"/>
              <w:autoSpaceDN w:val="0"/>
              <w:adjustRightInd w:val="0"/>
              <w:spacing w:before="120" w:after="120"/>
              <w:rPr>
                <w:rFonts w:ascii="Times New Roman" w:hAnsi="Times New Roman" w:cs="Times New Roman"/>
                <w:sz w:val="20"/>
                <w:szCs w:val="20"/>
              </w:rPr>
            </w:pPr>
            <w:r w:rsidRPr="0061230E">
              <w:rPr>
                <w:rFonts w:ascii="Times New Roman" w:hAnsi="Times New Roman" w:cs="Times New Roman"/>
                <w:sz w:val="20"/>
                <w:szCs w:val="20"/>
              </w:rPr>
              <w:t>Support standardized information exchange needed for DER registration, coordination, and market participation</w:t>
            </w:r>
          </w:p>
          <w:p w14:paraId="7D64575F" w14:textId="63708C39" w:rsidR="0061230E" w:rsidRDefault="0061230E" w:rsidP="0061230E">
            <w:pPr>
              <w:pStyle w:val="ListParagraph"/>
              <w:numPr>
                <w:ilvl w:val="0"/>
                <w:numId w:val="56"/>
              </w:numPr>
              <w:autoSpaceDE w:val="0"/>
              <w:autoSpaceDN w:val="0"/>
              <w:adjustRightInd w:val="0"/>
              <w:spacing w:before="120" w:after="120"/>
            </w:pPr>
            <w:r w:rsidRPr="0061230E">
              <w:rPr>
                <w:rFonts w:ascii="Times New Roman" w:hAnsi="Times New Roman" w:cs="Times New Roman"/>
                <w:sz w:val="20"/>
                <w:szCs w:val="20"/>
              </w:rPr>
              <w:t>Improve consistency in how DER-related entities are represented across different regions and systems</w:t>
            </w:r>
          </w:p>
        </w:tc>
      </w:tr>
      <w:tr w:rsidR="00923D13" w14:paraId="1C6BF0D1" w14:textId="77777777" w:rsidTr="005E0EFC">
        <w:tc>
          <w:tcPr>
            <w:tcW w:w="265" w:type="dxa"/>
          </w:tcPr>
          <w:p w14:paraId="04AD0AB9" w14:textId="6C352186" w:rsidR="00923D13" w:rsidRDefault="00923D13" w:rsidP="006D0862">
            <w:pPr>
              <w:autoSpaceDE w:val="0"/>
              <w:autoSpaceDN w:val="0"/>
              <w:adjustRightInd w:val="0"/>
              <w:spacing w:before="80" w:after="80"/>
              <w:ind w:left="-112" w:right="-107"/>
              <w:jc w:val="center"/>
            </w:pPr>
            <w:r>
              <w:lastRenderedPageBreak/>
              <w:t>8.</w:t>
            </w:r>
          </w:p>
        </w:tc>
        <w:tc>
          <w:tcPr>
            <w:tcW w:w="1440" w:type="dxa"/>
          </w:tcPr>
          <w:p w14:paraId="7D80FE58" w14:textId="379FB1D5" w:rsidR="00923D13" w:rsidRDefault="00923D13" w:rsidP="006D0862">
            <w:pPr>
              <w:autoSpaceDE w:val="0"/>
              <w:autoSpaceDN w:val="0"/>
              <w:adjustRightInd w:val="0"/>
              <w:spacing w:before="80" w:after="80"/>
            </w:pPr>
            <w:r>
              <w:t>Organization of MISO States</w:t>
            </w:r>
          </w:p>
        </w:tc>
        <w:tc>
          <w:tcPr>
            <w:tcW w:w="1890" w:type="dxa"/>
          </w:tcPr>
          <w:p w14:paraId="58AA7D70" w14:textId="28C1C9A7" w:rsidR="00923D13" w:rsidRDefault="00923D13" w:rsidP="006D0862">
            <w:pPr>
              <w:autoSpaceDE w:val="0"/>
              <w:autoSpaceDN w:val="0"/>
              <w:adjustRightInd w:val="0"/>
              <w:spacing w:before="80" w:after="80"/>
            </w:pPr>
            <w:r>
              <w:t>Brad Pope</w:t>
            </w:r>
          </w:p>
        </w:tc>
        <w:tc>
          <w:tcPr>
            <w:tcW w:w="9450" w:type="dxa"/>
          </w:tcPr>
          <w:p w14:paraId="5B531639" w14:textId="77777777" w:rsidR="00923D13" w:rsidRDefault="00923D13" w:rsidP="00923D13">
            <w:pPr>
              <w:autoSpaceDE w:val="0"/>
              <w:autoSpaceDN w:val="0"/>
              <w:adjustRightInd w:val="0"/>
              <w:spacing w:before="120" w:after="120"/>
            </w:pPr>
            <w:r>
              <w:t>a) Yes. Aggregators exist in a regulatory gap where procedures and the necessary infrastructure are not always present. This leads to uncertainty and makes the interactions between parties inefficient. A DER Entity Registry and the corresponding NAESB Business Practice Standards would help close this gap by establishing clear identification and authentication of these parties, as well as setting up interoperability standards that ensure data between the parties can be shared and communicated effectively, efficiently, and with appropriate protections. This communication foundation will also be necessary for effectively tackling issues around operational coordination as DER penetration increases.</w:t>
            </w:r>
          </w:p>
          <w:p w14:paraId="12D82971" w14:textId="74B6AA16" w:rsidR="00E36B3B" w:rsidRDefault="00E36B3B" w:rsidP="00E36B3B">
            <w:pPr>
              <w:autoSpaceDE w:val="0"/>
              <w:autoSpaceDN w:val="0"/>
              <w:adjustRightInd w:val="0"/>
              <w:spacing w:before="120" w:after="120"/>
            </w:pPr>
            <w:r>
              <w:t xml:space="preserve">b) Yes – FERC Order No. 2222 requires coordination between RTOs, aggregators, </w:t>
            </w:r>
            <w:proofErr w:type="spellStart"/>
            <w:r>
              <w:t>RERRAs</w:t>
            </w:r>
            <w:proofErr w:type="spellEnd"/>
            <w:r>
              <w:t xml:space="preserve">, and EDCs. This demands the type of identification and authentication outlined in the concept paper. In tracking FERC Order No. 2222 and </w:t>
            </w:r>
            <w:proofErr w:type="spellStart"/>
            <w:r>
              <w:t>MISO’s</w:t>
            </w:r>
            <w:proofErr w:type="spellEnd"/>
            <w:r>
              <w:t xml:space="preserve"> compliance, the OMS DER Work Group has seen a recurring theme from stakeholders on the need for standardized data and a centralized and secure platform to facilitate communication. OMS’s immediate priorities regarding FERC Order No. 2222 are to establish clear procedures for enrollment and registration as well as data sharing and data reconciliation. These are complimentary items and progressing on these issues first will provide a foundation for addressing dispatch overrides, settlements, and real-time operational considerations. The DER Entity Registry and the corresponding NAESB Business Practice Standards proposed here directly serve OMS’s priorities and ongoing work in these areas.</w:t>
            </w:r>
          </w:p>
          <w:p w14:paraId="3F56FC5E" w14:textId="77777777" w:rsidR="00E36B3B" w:rsidRDefault="00E36B3B" w:rsidP="00E36B3B">
            <w:pPr>
              <w:autoSpaceDE w:val="0"/>
              <w:autoSpaceDN w:val="0"/>
              <w:adjustRightInd w:val="0"/>
              <w:spacing w:before="120" w:after="120"/>
            </w:pPr>
            <w:r>
              <w:t>Regarding FERC Order No. 901, NERC has recently proposed revisions to MOD-032 Data for Power System Modeling and Analysis that will require communication of DER information between utilities, aggregators, and transmission planners. A DER Entity Registry will be especially important to mutually authenticate parties, allowing for trusted data exchange with entities (e.g., aggregators) that may not be subject to NERC requirements. Similarly, the NAESB Business Practice Standards can establish data standards that allow for efficient and accurate transmission planning processes.</w:t>
            </w:r>
          </w:p>
          <w:p w14:paraId="1F9B1B1D" w14:textId="053B8766" w:rsidR="00E36B3B" w:rsidRDefault="00E36B3B" w:rsidP="00E36B3B">
            <w:pPr>
              <w:autoSpaceDE w:val="0"/>
              <w:autoSpaceDN w:val="0"/>
              <w:adjustRightInd w:val="0"/>
              <w:spacing w:before="120" w:after="120"/>
            </w:pPr>
            <w:r>
              <w:lastRenderedPageBreak/>
              <w:t xml:space="preserve">Beyond these specific Orders, the OMS DER Work Group will note that its DER Survey routinely shows that utilities continue to see a need for state regulatory direction and the benefits of a common data-sharing platform. Many utilities are waiting for guidance from MISO and their </w:t>
            </w:r>
            <w:proofErr w:type="spellStart"/>
            <w:r>
              <w:t>RERRAs</w:t>
            </w:r>
            <w:proofErr w:type="spellEnd"/>
            <w:r>
              <w:t xml:space="preserve"> before investing in system upgrades, while other utilities may be making upgrades that will need to be integrated into new standards. NAESB action outlined in the concept paper will not only establish the framework for communication platforms that the OMS DER Work Group sees as necessary and timely, but can also catalyze action from utilities and </w:t>
            </w:r>
            <w:proofErr w:type="spellStart"/>
            <w:r>
              <w:t>RERRAs</w:t>
            </w:r>
            <w:proofErr w:type="spellEnd"/>
            <w:r>
              <w:t xml:space="preserve"> across the MISO footprint to coordinate efforts.</w:t>
            </w:r>
          </w:p>
        </w:tc>
      </w:tr>
      <w:tr w:rsidR="00E36B3B" w14:paraId="65A5CDCB" w14:textId="77777777" w:rsidTr="005E0EFC">
        <w:tc>
          <w:tcPr>
            <w:tcW w:w="265" w:type="dxa"/>
          </w:tcPr>
          <w:p w14:paraId="677D374E" w14:textId="1837F0BE" w:rsidR="00E36B3B" w:rsidRDefault="0059482C" w:rsidP="006D0862">
            <w:pPr>
              <w:autoSpaceDE w:val="0"/>
              <w:autoSpaceDN w:val="0"/>
              <w:adjustRightInd w:val="0"/>
              <w:spacing w:before="80" w:after="80"/>
              <w:ind w:left="-112" w:right="-107"/>
              <w:jc w:val="center"/>
            </w:pPr>
            <w:r>
              <w:lastRenderedPageBreak/>
              <w:t>9.</w:t>
            </w:r>
          </w:p>
        </w:tc>
        <w:tc>
          <w:tcPr>
            <w:tcW w:w="1440" w:type="dxa"/>
          </w:tcPr>
          <w:p w14:paraId="49BFA8C4" w14:textId="068D1A5B" w:rsidR="00E36B3B" w:rsidRDefault="0059482C" w:rsidP="006D0862">
            <w:pPr>
              <w:autoSpaceDE w:val="0"/>
              <w:autoSpaceDN w:val="0"/>
              <w:adjustRightInd w:val="0"/>
              <w:spacing w:before="80" w:after="80"/>
            </w:pPr>
            <w:r>
              <w:t>Southwest Power Pool</w:t>
            </w:r>
          </w:p>
        </w:tc>
        <w:tc>
          <w:tcPr>
            <w:tcW w:w="1890" w:type="dxa"/>
          </w:tcPr>
          <w:p w14:paraId="58BA4397" w14:textId="7B670516" w:rsidR="00E36B3B" w:rsidRDefault="0059482C" w:rsidP="006D0862">
            <w:pPr>
              <w:autoSpaceDE w:val="0"/>
              <w:autoSpaceDN w:val="0"/>
              <w:adjustRightInd w:val="0"/>
              <w:spacing w:before="80" w:after="80"/>
            </w:pPr>
            <w:r>
              <w:t>Joshua Phillips</w:t>
            </w:r>
          </w:p>
        </w:tc>
        <w:tc>
          <w:tcPr>
            <w:tcW w:w="9450" w:type="dxa"/>
          </w:tcPr>
          <w:p w14:paraId="28092CAC" w14:textId="77777777" w:rsidR="00E36B3B" w:rsidRDefault="0059482C" w:rsidP="00923D13">
            <w:pPr>
              <w:autoSpaceDE w:val="0"/>
              <w:autoSpaceDN w:val="0"/>
              <w:adjustRightInd w:val="0"/>
              <w:spacing w:before="120" w:after="120"/>
            </w:pPr>
            <w:r>
              <w:t xml:space="preserve">a) </w:t>
            </w:r>
            <w:r w:rsidRPr="0059482C">
              <w:t>As the EIR is in place, additional roles may be helpful for distribution level awareness of owners and operators of the DERs, however it would not be beneficial to have another registry of entities.</w:t>
            </w:r>
          </w:p>
          <w:p w14:paraId="7CBFD044" w14:textId="415EAD0D" w:rsidR="0059482C" w:rsidRDefault="0059482C" w:rsidP="00923D13">
            <w:pPr>
              <w:autoSpaceDE w:val="0"/>
              <w:autoSpaceDN w:val="0"/>
              <w:adjustRightInd w:val="0"/>
              <w:spacing w:before="120" w:after="120"/>
            </w:pPr>
            <w:r>
              <w:t xml:space="preserve">b) </w:t>
            </w:r>
            <w:r w:rsidRPr="0059482C">
              <w:t>It is unclear how those with FERC tariff revisions addressing Order 2222 would benefit from additional standards or registries.  The entities which would be participating under such an order, e.g. DER, Aggregators, Distribution Utilities, etc., could benefit from the organization and visibility of these resources, however this is not a wholesale level domain, rather a retail level opportunity.</w:t>
            </w:r>
          </w:p>
        </w:tc>
      </w:tr>
      <w:tr w:rsidR="0049406A" w14:paraId="025C7B72" w14:textId="77777777" w:rsidTr="005E0EFC">
        <w:tc>
          <w:tcPr>
            <w:tcW w:w="265" w:type="dxa"/>
          </w:tcPr>
          <w:p w14:paraId="13A4D292" w14:textId="14E2874C" w:rsidR="0049406A" w:rsidRDefault="0049406A" w:rsidP="006D0862">
            <w:pPr>
              <w:autoSpaceDE w:val="0"/>
              <w:autoSpaceDN w:val="0"/>
              <w:adjustRightInd w:val="0"/>
              <w:spacing w:before="80" w:after="80"/>
              <w:ind w:left="-112" w:right="-107"/>
              <w:jc w:val="center"/>
            </w:pPr>
            <w:r>
              <w:t>10.</w:t>
            </w:r>
          </w:p>
        </w:tc>
        <w:tc>
          <w:tcPr>
            <w:tcW w:w="1440" w:type="dxa"/>
          </w:tcPr>
          <w:p w14:paraId="352ED560" w14:textId="42EBD901" w:rsidR="0049406A" w:rsidRDefault="0049406A" w:rsidP="006D0862">
            <w:pPr>
              <w:autoSpaceDE w:val="0"/>
              <w:autoSpaceDN w:val="0"/>
              <w:adjustRightInd w:val="0"/>
              <w:spacing w:before="80" w:after="80"/>
            </w:pPr>
            <w:r>
              <w:t>Tri-State Generation &amp; Transmission</w:t>
            </w:r>
          </w:p>
        </w:tc>
        <w:tc>
          <w:tcPr>
            <w:tcW w:w="1890" w:type="dxa"/>
          </w:tcPr>
          <w:p w14:paraId="60BC8F67" w14:textId="719E1279" w:rsidR="0049406A" w:rsidRDefault="0049406A" w:rsidP="006D0862">
            <w:pPr>
              <w:autoSpaceDE w:val="0"/>
              <w:autoSpaceDN w:val="0"/>
              <w:adjustRightInd w:val="0"/>
              <w:spacing w:before="80" w:after="80"/>
            </w:pPr>
            <w:r>
              <w:t xml:space="preserve">Igor </w:t>
            </w:r>
            <w:proofErr w:type="spellStart"/>
            <w:r>
              <w:t>Kormaz</w:t>
            </w:r>
            <w:proofErr w:type="spellEnd"/>
          </w:p>
        </w:tc>
        <w:tc>
          <w:tcPr>
            <w:tcW w:w="9450" w:type="dxa"/>
          </w:tcPr>
          <w:p w14:paraId="4FAC3205" w14:textId="77777777" w:rsidR="0049406A" w:rsidRDefault="0049406A" w:rsidP="00923D13">
            <w:pPr>
              <w:autoSpaceDE w:val="0"/>
              <w:autoSpaceDN w:val="0"/>
              <w:adjustRightInd w:val="0"/>
              <w:spacing w:before="120" w:after="120"/>
            </w:pPr>
            <w:r>
              <w:t xml:space="preserve">a) </w:t>
            </w:r>
            <w:r w:rsidRPr="0049406A">
              <w:t xml:space="preserve">A substantial hinderance for broad integration of </w:t>
            </w:r>
            <w:proofErr w:type="spellStart"/>
            <w:r w:rsidRPr="0049406A">
              <w:t>DNRs</w:t>
            </w:r>
            <w:proofErr w:type="spellEnd"/>
            <w:r w:rsidRPr="0049406A">
              <w:t xml:space="preserve"> is the lack of an industry standards establishing base DER information and data sharing requirements. We agree that a DER Entity Registration could be a beneficial initial step towards addressing and establishing a centralized repository and data sharing requirement, which could facilitate broader integration and situational awareness for planning, forecasting scheduling and operating DERs.  Whether or not the creation of a DER Entity Registry would have any significant impact on the cost/benefit analysis of the determination on whether a proposed new DER project could be expected to produce sufficient revenues to offset its construction costs is not readily visible to our company in its TSP role.  However, a future DER Entity Registry would very likely facilitate the widespread visibility of the level of DER development in a particular region that would garner greater attention from other regions and Distribution Service Providers who might be incentivized to investigate additional DER expansion opportunities.</w:t>
            </w:r>
          </w:p>
          <w:p w14:paraId="3CD63FDB" w14:textId="4D161F3B" w:rsidR="0049406A" w:rsidRDefault="0049406A" w:rsidP="00923D13">
            <w:pPr>
              <w:autoSpaceDE w:val="0"/>
              <w:autoSpaceDN w:val="0"/>
              <w:adjustRightInd w:val="0"/>
              <w:spacing w:before="120" w:after="120"/>
            </w:pPr>
            <w:r>
              <w:t xml:space="preserve">b) </w:t>
            </w:r>
            <w:r w:rsidRPr="0049406A">
              <w:t xml:space="preserve">A DER Entity Registry would be a positive step towards establishing industry requirements for DER aggregators and consistent rules and data sharing requirements for parties. Currently aggregators are applying many various methods and approaches absent standardized industry requirements. To the extent NAESB BPS would address Inverter-Based Resources and the FERC identified specifications to be standardized, FERC Order </w:t>
            </w:r>
            <w:r w:rsidRPr="0049406A">
              <w:lastRenderedPageBreak/>
              <w:t>901 could also be responded to in part. It seems many ‘downstream’ opportunities for planning, data sharing, modeling and forecasting, etc. are all dependent upon a centralized data repository with enforceable requirements for DER owners, operators, and marketers. A DER Entity Registry could be a viable starting point for meeting these FERC Orders and facilitating ‘downstream’ integration into existing industry processes and efforts to ensure system reliability and accountability for participating entities.</w:t>
            </w:r>
          </w:p>
        </w:tc>
      </w:tr>
      <w:bookmarkEnd w:id="0"/>
      <w:bookmarkEnd w:id="1"/>
      <w:bookmarkEnd w:id="2"/>
      <w:bookmarkEnd w:id="3"/>
      <w:bookmarkEnd w:id="4"/>
      <w:bookmarkEnd w:id="5"/>
    </w:tbl>
    <w:p w14:paraId="126211E5" w14:textId="77777777" w:rsidR="00D73054" w:rsidRDefault="00D73054">
      <w:pPr>
        <w:sectPr w:rsidR="00D73054" w:rsidSect="00D73054">
          <w:pgSz w:w="15840" w:h="12240" w:orient="landscape" w:code="1"/>
          <w:pgMar w:top="1440" w:right="1440" w:bottom="1440" w:left="1440" w:header="432" w:footer="432" w:gutter="0"/>
          <w:cols w:space="720"/>
          <w:titlePg/>
          <w:docGrid w:linePitch="272"/>
        </w:sectPr>
      </w:pPr>
    </w:p>
    <w:p w14:paraId="1AAEC052" w14:textId="64B90714" w:rsidR="00186B04" w:rsidRDefault="00186B04"/>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3456E2" w14:paraId="67844B47" w14:textId="77777777" w:rsidTr="006D0862">
        <w:trPr>
          <w:trHeight w:val="414"/>
          <w:tblHeader/>
        </w:trPr>
        <w:tc>
          <w:tcPr>
            <w:tcW w:w="13045" w:type="dxa"/>
            <w:gridSpan w:val="4"/>
            <w:tcBorders>
              <w:bottom w:val="double" w:sz="4" w:space="0" w:color="auto"/>
            </w:tcBorders>
            <w:shd w:val="pct10" w:color="auto" w:fill="auto"/>
          </w:tcPr>
          <w:p w14:paraId="12976FEE" w14:textId="77777777" w:rsidR="00F502F3" w:rsidRDefault="003456E2" w:rsidP="00F502F3">
            <w:pPr>
              <w:pStyle w:val="BodyText"/>
              <w:tabs>
                <w:tab w:val="center" w:pos="4569"/>
              </w:tabs>
              <w:spacing w:before="60" w:after="60"/>
              <w:jc w:val="center"/>
              <w:rPr>
                <w:b/>
                <w:bCs/>
                <w:smallCaps/>
                <w:sz w:val="20"/>
              </w:rPr>
            </w:pPr>
            <w:r w:rsidRPr="007A306B">
              <w:rPr>
                <w:b/>
                <w:bCs/>
                <w:sz w:val="20"/>
              </w:rPr>
              <w:br w:type="page"/>
            </w:r>
            <w:r w:rsidR="00F502F3">
              <w:rPr>
                <w:b/>
                <w:bCs/>
                <w:smallCaps/>
                <w:sz w:val="20"/>
              </w:rPr>
              <w:t>Responses Submitted in Response to WEQ/RMQ BPS Informal Comment Request Ending March 10, 2026</w:t>
            </w:r>
          </w:p>
          <w:p w14:paraId="065AE15C" w14:textId="6F8A7955" w:rsidR="003456E2" w:rsidRDefault="00F502F3" w:rsidP="00F502F3">
            <w:pPr>
              <w:pStyle w:val="BodyText"/>
              <w:tabs>
                <w:tab w:val="center" w:pos="4569"/>
              </w:tabs>
              <w:spacing w:before="60" w:after="60"/>
              <w:jc w:val="center"/>
            </w:pPr>
            <w:r>
              <w:rPr>
                <w:b/>
                <w:bCs/>
                <w:smallCaps/>
                <w:sz w:val="20"/>
              </w:rPr>
              <w:t>Question 5</w:t>
            </w:r>
          </w:p>
        </w:tc>
      </w:tr>
      <w:tr w:rsidR="003456E2" w:rsidRPr="00DF0B88" w14:paraId="26B8BC23" w14:textId="77777777" w:rsidTr="006D0862">
        <w:trPr>
          <w:tblHeader/>
        </w:trPr>
        <w:tc>
          <w:tcPr>
            <w:tcW w:w="1705" w:type="dxa"/>
            <w:gridSpan w:val="2"/>
            <w:tcBorders>
              <w:top w:val="double" w:sz="4" w:space="0" w:color="auto"/>
              <w:bottom w:val="single" w:sz="4" w:space="0" w:color="auto"/>
            </w:tcBorders>
            <w:shd w:val="pct10" w:color="auto" w:fill="auto"/>
          </w:tcPr>
          <w:p w14:paraId="5948E039" w14:textId="17EF169A" w:rsidR="003456E2" w:rsidRPr="007A306B" w:rsidRDefault="003456E2" w:rsidP="006D0862">
            <w:pPr>
              <w:autoSpaceDE w:val="0"/>
              <w:autoSpaceDN w:val="0"/>
              <w:adjustRightInd w:val="0"/>
              <w:spacing w:before="80" w:after="80"/>
              <w:rPr>
                <w:b/>
                <w:bCs/>
              </w:rPr>
            </w:pPr>
            <w:r>
              <w:rPr>
                <w:b/>
                <w:bCs/>
              </w:rPr>
              <w:t>Question 5</w:t>
            </w:r>
          </w:p>
        </w:tc>
        <w:tc>
          <w:tcPr>
            <w:tcW w:w="11340" w:type="dxa"/>
            <w:gridSpan w:val="2"/>
            <w:tcBorders>
              <w:top w:val="double" w:sz="4" w:space="0" w:color="auto"/>
              <w:bottom w:val="single" w:sz="4" w:space="0" w:color="auto"/>
            </w:tcBorders>
            <w:shd w:val="pct10" w:color="auto" w:fill="auto"/>
          </w:tcPr>
          <w:p w14:paraId="5BCEC718" w14:textId="047218CA" w:rsidR="003456E2" w:rsidRPr="00DF0B88" w:rsidRDefault="005E0EFC" w:rsidP="006D0862">
            <w:pPr>
              <w:autoSpaceDE w:val="0"/>
              <w:autoSpaceDN w:val="0"/>
              <w:adjustRightInd w:val="0"/>
              <w:spacing w:before="80" w:after="80"/>
            </w:pPr>
            <w:r>
              <w:t xml:space="preserve">Please </w:t>
            </w:r>
            <w:r w:rsidRPr="005E0EFC">
              <w:t>provide information about your organization’s role in the electric industry (e.g., market operator, distribution utility, etc.).</w:t>
            </w:r>
          </w:p>
        </w:tc>
      </w:tr>
      <w:tr w:rsidR="005E0EFC" w14:paraId="5AA27859" w14:textId="77777777" w:rsidTr="005E0EFC">
        <w:trPr>
          <w:tblHeader/>
        </w:trPr>
        <w:tc>
          <w:tcPr>
            <w:tcW w:w="265" w:type="dxa"/>
            <w:tcBorders>
              <w:top w:val="single" w:sz="4" w:space="0" w:color="auto"/>
              <w:bottom w:val="single" w:sz="4" w:space="0" w:color="auto"/>
            </w:tcBorders>
          </w:tcPr>
          <w:p w14:paraId="18164B15" w14:textId="77777777" w:rsidR="005E0EFC" w:rsidRDefault="005E0EFC" w:rsidP="006D0862">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2A4B193B" w14:textId="77777777" w:rsidR="005E0EFC" w:rsidRDefault="005E0EFC" w:rsidP="006D0862">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74DB9D6E" w14:textId="5EBAFC19" w:rsidR="005E0EFC" w:rsidRDefault="005E0EFC" w:rsidP="006D0862">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28337F2C" w14:textId="752B08EA" w:rsidR="005E0EFC" w:rsidRDefault="005E0EFC" w:rsidP="006D0862">
            <w:pPr>
              <w:autoSpaceDE w:val="0"/>
              <w:autoSpaceDN w:val="0"/>
              <w:adjustRightInd w:val="0"/>
              <w:spacing w:before="80" w:after="80"/>
              <w:rPr>
                <w:b/>
                <w:bCs/>
              </w:rPr>
            </w:pPr>
            <w:r>
              <w:rPr>
                <w:b/>
                <w:bCs/>
              </w:rPr>
              <w:t>Comment</w:t>
            </w:r>
          </w:p>
        </w:tc>
      </w:tr>
      <w:tr w:rsidR="005E0EFC" w14:paraId="30CACD58" w14:textId="77777777" w:rsidTr="005E0EFC">
        <w:tc>
          <w:tcPr>
            <w:tcW w:w="265" w:type="dxa"/>
          </w:tcPr>
          <w:p w14:paraId="25EFE578" w14:textId="63335B65" w:rsidR="005E0EFC" w:rsidRPr="00CC5097" w:rsidRDefault="0098001E" w:rsidP="006D0862">
            <w:pPr>
              <w:autoSpaceDE w:val="0"/>
              <w:autoSpaceDN w:val="0"/>
              <w:adjustRightInd w:val="0"/>
              <w:spacing w:before="80" w:after="80"/>
              <w:ind w:left="-112" w:right="-107"/>
              <w:jc w:val="center"/>
            </w:pPr>
            <w:r>
              <w:t>1.</w:t>
            </w:r>
          </w:p>
        </w:tc>
        <w:tc>
          <w:tcPr>
            <w:tcW w:w="1440" w:type="dxa"/>
          </w:tcPr>
          <w:p w14:paraId="7F42FF16" w14:textId="639E4DA9" w:rsidR="005E0EFC" w:rsidRPr="00CC5097" w:rsidRDefault="0098001E" w:rsidP="006D0862">
            <w:pPr>
              <w:autoSpaceDE w:val="0"/>
              <w:autoSpaceDN w:val="0"/>
              <w:adjustRightInd w:val="0"/>
              <w:spacing w:before="80" w:after="80"/>
            </w:pPr>
            <w:r>
              <w:t>MISO</w:t>
            </w:r>
          </w:p>
        </w:tc>
        <w:tc>
          <w:tcPr>
            <w:tcW w:w="1890" w:type="dxa"/>
          </w:tcPr>
          <w:p w14:paraId="7E1103BD" w14:textId="50154BAF" w:rsidR="005E0EFC" w:rsidRPr="00CC5097" w:rsidRDefault="0098001E" w:rsidP="006D0862">
            <w:pPr>
              <w:autoSpaceDE w:val="0"/>
              <w:autoSpaceDN w:val="0"/>
              <w:adjustRightInd w:val="0"/>
              <w:spacing w:before="80" w:after="80"/>
            </w:pPr>
            <w:r>
              <w:t>Kristen Rowley</w:t>
            </w:r>
          </w:p>
        </w:tc>
        <w:tc>
          <w:tcPr>
            <w:tcW w:w="9450" w:type="dxa"/>
          </w:tcPr>
          <w:p w14:paraId="18E1FD9A" w14:textId="294695C8" w:rsidR="005E0EFC" w:rsidRPr="00CC5097" w:rsidRDefault="0098001E" w:rsidP="003456E2">
            <w:pPr>
              <w:autoSpaceDE w:val="0"/>
              <w:autoSpaceDN w:val="0"/>
              <w:adjustRightInd w:val="0"/>
              <w:spacing w:before="120" w:after="120"/>
            </w:pPr>
            <w:r>
              <w:t>Bulk Power Market Operator</w:t>
            </w:r>
          </w:p>
        </w:tc>
      </w:tr>
      <w:tr w:rsidR="00766B40" w14:paraId="1DB87F52" w14:textId="77777777" w:rsidTr="005E0EFC">
        <w:tc>
          <w:tcPr>
            <w:tcW w:w="265" w:type="dxa"/>
          </w:tcPr>
          <w:p w14:paraId="3FFF4161" w14:textId="7845E09E" w:rsidR="00766B40" w:rsidRDefault="00766B40" w:rsidP="006D0862">
            <w:pPr>
              <w:autoSpaceDE w:val="0"/>
              <w:autoSpaceDN w:val="0"/>
              <w:adjustRightInd w:val="0"/>
              <w:spacing w:before="80" w:after="80"/>
              <w:ind w:left="-112" w:right="-107"/>
              <w:jc w:val="center"/>
            </w:pPr>
            <w:r>
              <w:t>2.</w:t>
            </w:r>
          </w:p>
        </w:tc>
        <w:tc>
          <w:tcPr>
            <w:tcW w:w="1440" w:type="dxa"/>
          </w:tcPr>
          <w:p w14:paraId="3E7C02A1" w14:textId="01C453AA" w:rsidR="00766B40" w:rsidRDefault="00766B40" w:rsidP="006D0862">
            <w:pPr>
              <w:autoSpaceDE w:val="0"/>
              <w:autoSpaceDN w:val="0"/>
              <w:adjustRightInd w:val="0"/>
              <w:spacing w:before="80" w:after="80"/>
            </w:pPr>
            <w:r>
              <w:t>PacifiCorp</w:t>
            </w:r>
          </w:p>
        </w:tc>
        <w:tc>
          <w:tcPr>
            <w:tcW w:w="1890" w:type="dxa"/>
          </w:tcPr>
          <w:p w14:paraId="367DA38B" w14:textId="61E22AB8" w:rsidR="00766B40" w:rsidRDefault="00766B40" w:rsidP="006D0862">
            <w:pPr>
              <w:autoSpaceDE w:val="0"/>
              <w:autoSpaceDN w:val="0"/>
              <w:adjustRightInd w:val="0"/>
              <w:spacing w:before="80" w:after="80"/>
            </w:pPr>
            <w:r>
              <w:t>Janice Bacon</w:t>
            </w:r>
          </w:p>
        </w:tc>
        <w:tc>
          <w:tcPr>
            <w:tcW w:w="9450" w:type="dxa"/>
          </w:tcPr>
          <w:p w14:paraId="0CF7E929" w14:textId="5D9D0FAC" w:rsidR="00766B40" w:rsidRDefault="00766B40" w:rsidP="003456E2">
            <w:pPr>
              <w:autoSpaceDE w:val="0"/>
              <w:autoSpaceDN w:val="0"/>
              <w:adjustRightInd w:val="0"/>
              <w:spacing w:before="120" w:after="120"/>
            </w:pPr>
            <w:r>
              <w:t>Generator Operator, Balancing Authority, and Market participant</w:t>
            </w:r>
          </w:p>
        </w:tc>
      </w:tr>
      <w:tr w:rsidR="00942884" w14:paraId="5D5489ED" w14:textId="77777777" w:rsidTr="005E0EFC">
        <w:tc>
          <w:tcPr>
            <w:tcW w:w="265" w:type="dxa"/>
          </w:tcPr>
          <w:p w14:paraId="09C89808" w14:textId="15DDABC5" w:rsidR="00942884" w:rsidRDefault="00942884" w:rsidP="006D0862">
            <w:pPr>
              <w:autoSpaceDE w:val="0"/>
              <w:autoSpaceDN w:val="0"/>
              <w:adjustRightInd w:val="0"/>
              <w:spacing w:before="80" w:after="80"/>
              <w:ind w:left="-112" w:right="-107"/>
              <w:jc w:val="center"/>
            </w:pPr>
            <w:r>
              <w:t>3.</w:t>
            </w:r>
          </w:p>
        </w:tc>
        <w:tc>
          <w:tcPr>
            <w:tcW w:w="1440" w:type="dxa"/>
          </w:tcPr>
          <w:p w14:paraId="6F7D3289" w14:textId="2021C7FB" w:rsidR="00942884" w:rsidRDefault="00942884" w:rsidP="006D0862">
            <w:pPr>
              <w:autoSpaceDE w:val="0"/>
              <w:autoSpaceDN w:val="0"/>
              <w:adjustRightInd w:val="0"/>
              <w:spacing w:before="80" w:after="80"/>
            </w:pPr>
            <w:r>
              <w:t>PJM</w:t>
            </w:r>
          </w:p>
        </w:tc>
        <w:tc>
          <w:tcPr>
            <w:tcW w:w="1890" w:type="dxa"/>
          </w:tcPr>
          <w:p w14:paraId="3108A47C" w14:textId="155C01F6" w:rsidR="00942884" w:rsidRDefault="00942884" w:rsidP="006D0862">
            <w:pPr>
              <w:autoSpaceDE w:val="0"/>
              <w:autoSpaceDN w:val="0"/>
              <w:adjustRightInd w:val="0"/>
              <w:spacing w:before="80" w:after="80"/>
            </w:pPr>
            <w:r>
              <w:t>Diane Antonelli</w:t>
            </w:r>
          </w:p>
        </w:tc>
        <w:tc>
          <w:tcPr>
            <w:tcW w:w="9450" w:type="dxa"/>
          </w:tcPr>
          <w:p w14:paraId="339B067C" w14:textId="405F8772" w:rsidR="00942884" w:rsidRDefault="00CB69D5" w:rsidP="003456E2">
            <w:pPr>
              <w:autoSpaceDE w:val="0"/>
              <w:autoSpaceDN w:val="0"/>
              <w:adjustRightInd w:val="0"/>
              <w:spacing w:before="120" w:after="120"/>
            </w:pPr>
            <w:r w:rsidRPr="00CB69D5">
              <w:t>Bulk Power Market Operator, Bulk Power System Operator, Bulk Power Reliability Coordinator</w:t>
            </w:r>
          </w:p>
        </w:tc>
      </w:tr>
      <w:tr w:rsidR="00942884" w14:paraId="21E8FB4B" w14:textId="77777777" w:rsidTr="005E0EFC">
        <w:tc>
          <w:tcPr>
            <w:tcW w:w="265" w:type="dxa"/>
          </w:tcPr>
          <w:p w14:paraId="347C1389" w14:textId="6B291AAA" w:rsidR="00942884" w:rsidRDefault="00942884" w:rsidP="006D0862">
            <w:pPr>
              <w:autoSpaceDE w:val="0"/>
              <w:autoSpaceDN w:val="0"/>
              <w:adjustRightInd w:val="0"/>
              <w:spacing w:before="80" w:after="80"/>
              <w:ind w:left="-112" w:right="-107"/>
              <w:jc w:val="center"/>
            </w:pPr>
            <w:r>
              <w:t>4.</w:t>
            </w:r>
          </w:p>
        </w:tc>
        <w:tc>
          <w:tcPr>
            <w:tcW w:w="1440" w:type="dxa"/>
          </w:tcPr>
          <w:p w14:paraId="1706446A" w14:textId="2EA3F68B" w:rsidR="00942884" w:rsidRDefault="00942884" w:rsidP="006D0862">
            <w:pPr>
              <w:autoSpaceDE w:val="0"/>
              <w:autoSpaceDN w:val="0"/>
              <w:adjustRightInd w:val="0"/>
              <w:spacing w:before="80" w:after="80"/>
            </w:pPr>
            <w:proofErr w:type="spellStart"/>
            <w:r>
              <w:t>Evergy</w:t>
            </w:r>
            <w:proofErr w:type="spellEnd"/>
          </w:p>
        </w:tc>
        <w:tc>
          <w:tcPr>
            <w:tcW w:w="1890" w:type="dxa"/>
          </w:tcPr>
          <w:p w14:paraId="667B6195" w14:textId="4595E2FE" w:rsidR="00942884" w:rsidRDefault="00942884" w:rsidP="006D0862">
            <w:pPr>
              <w:autoSpaceDE w:val="0"/>
              <w:autoSpaceDN w:val="0"/>
              <w:adjustRightInd w:val="0"/>
              <w:spacing w:before="80" w:after="80"/>
            </w:pPr>
            <w:r>
              <w:t>Hayden Maples</w:t>
            </w:r>
          </w:p>
        </w:tc>
        <w:tc>
          <w:tcPr>
            <w:tcW w:w="9450" w:type="dxa"/>
          </w:tcPr>
          <w:p w14:paraId="265B917C" w14:textId="0D3AF0D2" w:rsidR="00942884" w:rsidRPr="00942884" w:rsidRDefault="00942884" w:rsidP="003456E2">
            <w:pPr>
              <w:autoSpaceDE w:val="0"/>
              <w:autoSpaceDN w:val="0"/>
              <w:adjustRightInd w:val="0"/>
              <w:spacing w:before="120" w:after="120"/>
            </w:pPr>
            <w:proofErr w:type="spellStart"/>
            <w:r w:rsidRPr="00942884">
              <w:t>Evergy</w:t>
            </w:r>
            <w:proofErr w:type="spellEnd"/>
            <w:r w:rsidRPr="00942884">
              <w:t xml:space="preserve"> is a vertically integrated IOU with generation, transmission, and distribution assets. </w:t>
            </w:r>
            <w:proofErr w:type="spellStart"/>
            <w:r w:rsidRPr="00942884">
              <w:t>Evergy</w:t>
            </w:r>
            <w:proofErr w:type="spellEnd"/>
            <w:r w:rsidRPr="00942884">
              <w:t xml:space="preserve"> has approximately 1.6 million customers and 15,000+ DER customers.</w:t>
            </w:r>
          </w:p>
        </w:tc>
      </w:tr>
      <w:tr w:rsidR="00DA25F7" w14:paraId="3A6D8659" w14:textId="77777777" w:rsidTr="005E0EFC">
        <w:tc>
          <w:tcPr>
            <w:tcW w:w="265" w:type="dxa"/>
          </w:tcPr>
          <w:p w14:paraId="01132008" w14:textId="08D1BBA1" w:rsidR="00DA25F7" w:rsidRDefault="00DA25F7" w:rsidP="006D0862">
            <w:pPr>
              <w:autoSpaceDE w:val="0"/>
              <w:autoSpaceDN w:val="0"/>
              <w:adjustRightInd w:val="0"/>
              <w:spacing w:before="80" w:after="80"/>
              <w:ind w:left="-112" w:right="-107"/>
              <w:jc w:val="center"/>
            </w:pPr>
            <w:r>
              <w:t>5.</w:t>
            </w:r>
          </w:p>
        </w:tc>
        <w:tc>
          <w:tcPr>
            <w:tcW w:w="1440" w:type="dxa"/>
          </w:tcPr>
          <w:p w14:paraId="55C091B2" w14:textId="3953C9CA" w:rsidR="00DA25F7" w:rsidRDefault="00DA25F7" w:rsidP="006D0862">
            <w:pPr>
              <w:autoSpaceDE w:val="0"/>
              <w:autoSpaceDN w:val="0"/>
              <w:adjustRightInd w:val="0"/>
              <w:spacing w:before="80" w:after="80"/>
            </w:pPr>
            <w:r>
              <w:t>Seattle City Light</w:t>
            </w:r>
          </w:p>
        </w:tc>
        <w:tc>
          <w:tcPr>
            <w:tcW w:w="1890" w:type="dxa"/>
          </w:tcPr>
          <w:p w14:paraId="57A23BBF" w14:textId="6FDEB2F4" w:rsidR="00DA25F7" w:rsidRDefault="00DA25F7" w:rsidP="006D0862">
            <w:pPr>
              <w:autoSpaceDE w:val="0"/>
              <w:autoSpaceDN w:val="0"/>
              <w:adjustRightInd w:val="0"/>
              <w:spacing w:before="80" w:after="80"/>
            </w:pPr>
            <w:r>
              <w:t>Michael Watkins</w:t>
            </w:r>
          </w:p>
        </w:tc>
        <w:tc>
          <w:tcPr>
            <w:tcW w:w="9450" w:type="dxa"/>
          </w:tcPr>
          <w:p w14:paraId="05DAEAC7" w14:textId="182C13FC" w:rsidR="00DA25F7" w:rsidRPr="00942884" w:rsidRDefault="00DA25F7" w:rsidP="003456E2">
            <w:pPr>
              <w:autoSpaceDE w:val="0"/>
              <w:autoSpaceDN w:val="0"/>
              <w:adjustRightInd w:val="0"/>
              <w:spacing w:before="120" w:after="120"/>
            </w:pPr>
            <w:r>
              <w:t xml:space="preserve">City </w:t>
            </w:r>
            <w:r w:rsidRPr="00DA25F7">
              <w:t>Light is a consumer owned utility that is a Load Serving Entity, Balancing Authority, Transmission Owner / Operator, Transmission Planner, and Planning Authority. City Lights a winter peaking utility with a peak load of approximately 2027MW with over 500,000 customer meters.</w:t>
            </w:r>
          </w:p>
        </w:tc>
      </w:tr>
      <w:tr w:rsidR="0065009B" w14:paraId="570B306C" w14:textId="77777777" w:rsidTr="005E0EFC">
        <w:tc>
          <w:tcPr>
            <w:tcW w:w="265" w:type="dxa"/>
          </w:tcPr>
          <w:p w14:paraId="5D011664" w14:textId="2E6CBC9A" w:rsidR="0065009B" w:rsidRDefault="0065009B" w:rsidP="006D0862">
            <w:pPr>
              <w:autoSpaceDE w:val="0"/>
              <w:autoSpaceDN w:val="0"/>
              <w:adjustRightInd w:val="0"/>
              <w:spacing w:before="80" w:after="80"/>
              <w:ind w:left="-112" w:right="-107"/>
              <w:jc w:val="center"/>
            </w:pPr>
            <w:r>
              <w:t>6.</w:t>
            </w:r>
          </w:p>
        </w:tc>
        <w:tc>
          <w:tcPr>
            <w:tcW w:w="1440" w:type="dxa"/>
          </w:tcPr>
          <w:p w14:paraId="0DC4EEC5" w14:textId="6A7F8EA7" w:rsidR="0065009B" w:rsidRDefault="0065009B" w:rsidP="006D0862">
            <w:pPr>
              <w:autoSpaceDE w:val="0"/>
              <w:autoSpaceDN w:val="0"/>
              <w:adjustRightInd w:val="0"/>
              <w:spacing w:before="80" w:after="80"/>
            </w:pPr>
            <w:proofErr w:type="spellStart"/>
            <w:r>
              <w:t>NYISO</w:t>
            </w:r>
            <w:proofErr w:type="spellEnd"/>
          </w:p>
        </w:tc>
        <w:tc>
          <w:tcPr>
            <w:tcW w:w="1890" w:type="dxa"/>
          </w:tcPr>
          <w:p w14:paraId="5708B962" w14:textId="20C00A01" w:rsidR="0065009B" w:rsidRDefault="0065009B" w:rsidP="006D0862">
            <w:pPr>
              <w:autoSpaceDE w:val="0"/>
              <w:autoSpaceDN w:val="0"/>
              <w:adjustRightInd w:val="0"/>
              <w:spacing w:before="80" w:after="80"/>
            </w:pPr>
            <w:r>
              <w:t>William Porter</w:t>
            </w:r>
          </w:p>
        </w:tc>
        <w:tc>
          <w:tcPr>
            <w:tcW w:w="9450" w:type="dxa"/>
          </w:tcPr>
          <w:p w14:paraId="04BCB8D3" w14:textId="004D2FA2" w:rsidR="0065009B" w:rsidRDefault="0065009B" w:rsidP="003456E2">
            <w:pPr>
              <w:autoSpaceDE w:val="0"/>
              <w:autoSpaceDN w:val="0"/>
              <w:adjustRightInd w:val="0"/>
              <w:spacing w:before="120" w:after="120"/>
            </w:pPr>
            <w:r w:rsidRPr="0065009B">
              <w:t xml:space="preserve">The </w:t>
            </w:r>
            <w:proofErr w:type="spellStart"/>
            <w:r w:rsidRPr="0065009B">
              <w:t>NYISO</w:t>
            </w:r>
            <w:proofErr w:type="spellEnd"/>
            <w:r w:rsidRPr="0065009B">
              <w:t xml:space="preserve"> is a WEQ Independent Grid Operator/Planner</w:t>
            </w:r>
          </w:p>
        </w:tc>
      </w:tr>
      <w:tr w:rsidR="00895850" w14:paraId="2CBAF521" w14:textId="77777777" w:rsidTr="005E0EFC">
        <w:tc>
          <w:tcPr>
            <w:tcW w:w="265" w:type="dxa"/>
          </w:tcPr>
          <w:p w14:paraId="1CE29B35" w14:textId="050097BC" w:rsidR="00895850" w:rsidRDefault="00895850" w:rsidP="006D0862">
            <w:pPr>
              <w:autoSpaceDE w:val="0"/>
              <w:autoSpaceDN w:val="0"/>
              <w:adjustRightInd w:val="0"/>
              <w:spacing w:before="80" w:after="80"/>
              <w:ind w:left="-112" w:right="-107"/>
              <w:jc w:val="center"/>
            </w:pPr>
            <w:r>
              <w:t>7.</w:t>
            </w:r>
          </w:p>
        </w:tc>
        <w:tc>
          <w:tcPr>
            <w:tcW w:w="1440" w:type="dxa"/>
          </w:tcPr>
          <w:p w14:paraId="3C6910E1" w14:textId="5F09A1E3" w:rsidR="00895850" w:rsidRDefault="00895850" w:rsidP="006D0862">
            <w:pPr>
              <w:autoSpaceDE w:val="0"/>
              <w:autoSpaceDN w:val="0"/>
              <w:adjustRightInd w:val="0"/>
              <w:spacing w:before="80" w:after="80"/>
            </w:pPr>
            <w:r>
              <w:t>Entergy</w:t>
            </w:r>
          </w:p>
        </w:tc>
        <w:tc>
          <w:tcPr>
            <w:tcW w:w="1890" w:type="dxa"/>
          </w:tcPr>
          <w:p w14:paraId="25B94C4D" w14:textId="280E4BA7" w:rsidR="00895850" w:rsidRDefault="00895850" w:rsidP="006D0862">
            <w:pPr>
              <w:autoSpaceDE w:val="0"/>
              <w:autoSpaceDN w:val="0"/>
              <w:adjustRightInd w:val="0"/>
              <w:spacing w:before="80" w:after="80"/>
            </w:pPr>
            <w:r>
              <w:t>Thomas Chamberlain</w:t>
            </w:r>
          </w:p>
        </w:tc>
        <w:tc>
          <w:tcPr>
            <w:tcW w:w="9450" w:type="dxa"/>
          </w:tcPr>
          <w:p w14:paraId="50B0E12A" w14:textId="51C92CEF" w:rsidR="00895850" w:rsidRDefault="00895850" w:rsidP="00895850">
            <w:pPr>
              <w:autoSpaceDE w:val="0"/>
              <w:autoSpaceDN w:val="0"/>
              <w:adjustRightInd w:val="0"/>
              <w:spacing w:before="80" w:after="80"/>
            </w:pPr>
            <w:r w:rsidRPr="00895850">
              <w:t>Transmission Owner / Distribution Provider / Load Serving Entity / Market Participant</w:t>
            </w:r>
          </w:p>
        </w:tc>
      </w:tr>
      <w:tr w:rsidR="00E36B3B" w14:paraId="412994E0" w14:textId="77777777" w:rsidTr="005E0EFC">
        <w:tc>
          <w:tcPr>
            <w:tcW w:w="265" w:type="dxa"/>
          </w:tcPr>
          <w:p w14:paraId="76AAA2E0" w14:textId="70379E59" w:rsidR="00E36B3B" w:rsidRDefault="005B4C36" w:rsidP="006D0862">
            <w:pPr>
              <w:autoSpaceDE w:val="0"/>
              <w:autoSpaceDN w:val="0"/>
              <w:adjustRightInd w:val="0"/>
              <w:spacing w:before="80" w:after="80"/>
              <w:ind w:left="-112" w:right="-107"/>
              <w:jc w:val="center"/>
            </w:pPr>
            <w:r>
              <w:t>8</w:t>
            </w:r>
            <w:r w:rsidR="00E36B3B">
              <w:t>.</w:t>
            </w:r>
          </w:p>
        </w:tc>
        <w:tc>
          <w:tcPr>
            <w:tcW w:w="1440" w:type="dxa"/>
          </w:tcPr>
          <w:p w14:paraId="0B377386" w14:textId="3FAE0EDE" w:rsidR="00E36B3B" w:rsidRDefault="00E36B3B" w:rsidP="006D0862">
            <w:pPr>
              <w:autoSpaceDE w:val="0"/>
              <w:autoSpaceDN w:val="0"/>
              <w:adjustRightInd w:val="0"/>
              <w:spacing w:before="80" w:after="80"/>
            </w:pPr>
            <w:r>
              <w:t>Organization of MISO States</w:t>
            </w:r>
          </w:p>
        </w:tc>
        <w:tc>
          <w:tcPr>
            <w:tcW w:w="1890" w:type="dxa"/>
          </w:tcPr>
          <w:p w14:paraId="695790CD" w14:textId="3DDA34C9" w:rsidR="00E36B3B" w:rsidRDefault="00E36B3B" w:rsidP="006D0862">
            <w:pPr>
              <w:autoSpaceDE w:val="0"/>
              <w:autoSpaceDN w:val="0"/>
              <w:adjustRightInd w:val="0"/>
              <w:spacing w:before="80" w:after="80"/>
            </w:pPr>
            <w:r>
              <w:t>Brad Pope</w:t>
            </w:r>
          </w:p>
        </w:tc>
        <w:tc>
          <w:tcPr>
            <w:tcW w:w="9450" w:type="dxa"/>
          </w:tcPr>
          <w:p w14:paraId="5F5B005B" w14:textId="65450B55" w:rsidR="00E36B3B" w:rsidRPr="0065009B" w:rsidRDefault="00E36B3B" w:rsidP="00E36B3B">
            <w:pPr>
              <w:autoSpaceDE w:val="0"/>
              <w:autoSpaceDN w:val="0"/>
              <w:adjustRightInd w:val="0"/>
              <w:spacing w:before="120" w:after="120"/>
            </w:pPr>
            <w:r>
              <w:t>OMS was established to represent the collective interests of state and local utility regulators in the MISO region and to facilitate informed and efficient participation in related issues. Members collaborate to share information and resources, debate and exchange ideas on policy issues, and communicate their viewpoints. While OMS strives for agreement, each member retains independence to express its unique positions and be heard through OMS comments and filings. OMS currently consists of 17 members across 15 states and the Canadian province of Manitoba.</w:t>
            </w:r>
          </w:p>
        </w:tc>
      </w:tr>
      <w:tr w:rsidR="0059482C" w14:paraId="31946812" w14:textId="77777777" w:rsidTr="005E0EFC">
        <w:tc>
          <w:tcPr>
            <w:tcW w:w="265" w:type="dxa"/>
          </w:tcPr>
          <w:p w14:paraId="1EF80809" w14:textId="69FB6330" w:rsidR="0059482C" w:rsidRDefault="005B4C36" w:rsidP="006D0862">
            <w:pPr>
              <w:autoSpaceDE w:val="0"/>
              <w:autoSpaceDN w:val="0"/>
              <w:adjustRightInd w:val="0"/>
              <w:spacing w:before="80" w:after="80"/>
              <w:ind w:left="-112" w:right="-107"/>
              <w:jc w:val="center"/>
            </w:pPr>
            <w:r>
              <w:t>9</w:t>
            </w:r>
            <w:r w:rsidR="0059482C">
              <w:t>.</w:t>
            </w:r>
          </w:p>
        </w:tc>
        <w:tc>
          <w:tcPr>
            <w:tcW w:w="1440" w:type="dxa"/>
          </w:tcPr>
          <w:p w14:paraId="2C58FF50" w14:textId="330A5DAE" w:rsidR="0059482C" w:rsidRDefault="0059482C" w:rsidP="006D0862">
            <w:pPr>
              <w:autoSpaceDE w:val="0"/>
              <w:autoSpaceDN w:val="0"/>
              <w:adjustRightInd w:val="0"/>
              <w:spacing w:before="80" w:after="80"/>
            </w:pPr>
            <w:r>
              <w:t>Portland General Electric</w:t>
            </w:r>
          </w:p>
        </w:tc>
        <w:tc>
          <w:tcPr>
            <w:tcW w:w="1890" w:type="dxa"/>
          </w:tcPr>
          <w:p w14:paraId="6D4762D2" w14:textId="2ADA75D1" w:rsidR="0059482C" w:rsidRDefault="0059482C" w:rsidP="006D0862">
            <w:pPr>
              <w:autoSpaceDE w:val="0"/>
              <w:autoSpaceDN w:val="0"/>
              <w:adjustRightInd w:val="0"/>
              <w:spacing w:before="80" w:after="80"/>
            </w:pPr>
            <w:r>
              <w:t>Alexis Campbell</w:t>
            </w:r>
          </w:p>
        </w:tc>
        <w:tc>
          <w:tcPr>
            <w:tcW w:w="9450" w:type="dxa"/>
          </w:tcPr>
          <w:p w14:paraId="66A70C6C" w14:textId="06BBC02A" w:rsidR="0059482C" w:rsidRDefault="0059482C" w:rsidP="00E36B3B">
            <w:pPr>
              <w:autoSpaceDE w:val="0"/>
              <w:autoSpaceDN w:val="0"/>
              <w:adjustRightInd w:val="0"/>
              <w:spacing w:before="120" w:after="120"/>
            </w:pPr>
            <w:r w:rsidRPr="0059482C">
              <w:t>Portland General Electric is a vertically integrated and regulated utility and owns generation, transmission and distribution facilities to serve wholesale and retail customers.</w:t>
            </w:r>
          </w:p>
        </w:tc>
      </w:tr>
      <w:tr w:rsidR="0059482C" w14:paraId="07BB7B25" w14:textId="77777777" w:rsidTr="005E0EFC">
        <w:tc>
          <w:tcPr>
            <w:tcW w:w="265" w:type="dxa"/>
          </w:tcPr>
          <w:p w14:paraId="2CDEB351" w14:textId="6166CE77" w:rsidR="0059482C" w:rsidRDefault="005B4C36" w:rsidP="006D0862">
            <w:pPr>
              <w:autoSpaceDE w:val="0"/>
              <w:autoSpaceDN w:val="0"/>
              <w:adjustRightInd w:val="0"/>
              <w:spacing w:before="80" w:after="80"/>
              <w:ind w:left="-112" w:right="-107"/>
              <w:jc w:val="center"/>
            </w:pPr>
            <w:r>
              <w:t>10</w:t>
            </w:r>
            <w:r w:rsidR="0059482C">
              <w:t>.</w:t>
            </w:r>
          </w:p>
        </w:tc>
        <w:tc>
          <w:tcPr>
            <w:tcW w:w="1440" w:type="dxa"/>
          </w:tcPr>
          <w:p w14:paraId="7691F07B" w14:textId="1D954204" w:rsidR="0059482C" w:rsidRDefault="0059482C" w:rsidP="006D0862">
            <w:pPr>
              <w:autoSpaceDE w:val="0"/>
              <w:autoSpaceDN w:val="0"/>
              <w:adjustRightInd w:val="0"/>
              <w:spacing w:before="80" w:after="80"/>
            </w:pPr>
            <w:r>
              <w:t>Southwest Power Pool</w:t>
            </w:r>
          </w:p>
        </w:tc>
        <w:tc>
          <w:tcPr>
            <w:tcW w:w="1890" w:type="dxa"/>
          </w:tcPr>
          <w:p w14:paraId="57C39884" w14:textId="40D71490" w:rsidR="0059482C" w:rsidRDefault="0059482C" w:rsidP="006D0862">
            <w:pPr>
              <w:autoSpaceDE w:val="0"/>
              <w:autoSpaceDN w:val="0"/>
              <w:adjustRightInd w:val="0"/>
              <w:spacing w:before="80" w:after="80"/>
            </w:pPr>
            <w:r>
              <w:t>Joshua Phillips</w:t>
            </w:r>
          </w:p>
        </w:tc>
        <w:tc>
          <w:tcPr>
            <w:tcW w:w="9450" w:type="dxa"/>
          </w:tcPr>
          <w:p w14:paraId="05BEE748" w14:textId="0A1390D5" w:rsidR="0059482C" w:rsidRPr="0059482C" w:rsidRDefault="0059482C" w:rsidP="00E36B3B">
            <w:pPr>
              <w:autoSpaceDE w:val="0"/>
              <w:autoSpaceDN w:val="0"/>
              <w:adjustRightInd w:val="0"/>
              <w:spacing w:before="120" w:after="120"/>
            </w:pPr>
            <w:r w:rsidRPr="0059482C">
              <w:t>SPP is an RTO with responsibilities for Reliability Coordination, Balancing Authority, Market Operator, Transmission Service Provider, Planning Coordinator, and Reserve Sharing Group.</w:t>
            </w:r>
          </w:p>
        </w:tc>
      </w:tr>
      <w:tr w:rsidR="0049406A" w14:paraId="61597BF5" w14:textId="77777777" w:rsidTr="005E0EFC">
        <w:tc>
          <w:tcPr>
            <w:tcW w:w="265" w:type="dxa"/>
          </w:tcPr>
          <w:p w14:paraId="44506FA6" w14:textId="034A415B" w:rsidR="0049406A" w:rsidRDefault="0049406A" w:rsidP="006D0862">
            <w:pPr>
              <w:autoSpaceDE w:val="0"/>
              <w:autoSpaceDN w:val="0"/>
              <w:adjustRightInd w:val="0"/>
              <w:spacing w:before="80" w:after="80"/>
              <w:ind w:left="-112" w:right="-107"/>
              <w:jc w:val="center"/>
            </w:pPr>
            <w:r>
              <w:lastRenderedPageBreak/>
              <w:t>11.</w:t>
            </w:r>
          </w:p>
        </w:tc>
        <w:tc>
          <w:tcPr>
            <w:tcW w:w="1440" w:type="dxa"/>
          </w:tcPr>
          <w:p w14:paraId="5CD7FDDB" w14:textId="27D90B0B" w:rsidR="0049406A" w:rsidRDefault="0049406A" w:rsidP="006D0862">
            <w:pPr>
              <w:autoSpaceDE w:val="0"/>
              <w:autoSpaceDN w:val="0"/>
              <w:adjustRightInd w:val="0"/>
              <w:spacing w:before="80" w:after="80"/>
            </w:pPr>
            <w:r>
              <w:t>Tri-State Generation &amp; Transmission</w:t>
            </w:r>
          </w:p>
        </w:tc>
        <w:tc>
          <w:tcPr>
            <w:tcW w:w="1890" w:type="dxa"/>
          </w:tcPr>
          <w:p w14:paraId="6532B07E" w14:textId="71FBEC31" w:rsidR="0049406A" w:rsidRDefault="0049406A" w:rsidP="006D0862">
            <w:pPr>
              <w:autoSpaceDE w:val="0"/>
              <w:autoSpaceDN w:val="0"/>
              <w:adjustRightInd w:val="0"/>
              <w:spacing w:before="80" w:after="80"/>
            </w:pPr>
            <w:r>
              <w:t xml:space="preserve">Igor </w:t>
            </w:r>
            <w:proofErr w:type="spellStart"/>
            <w:r>
              <w:t>Kormaz</w:t>
            </w:r>
            <w:proofErr w:type="spellEnd"/>
          </w:p>
        </w:tc>
        <w:tc>
          <w:tcPr>
            <w:tcW w:w="9450" w:type="dxa"/>
          </w:tcPr>
          <w:p w14:paraId="64A9CE3A" w14:textId="56F747B0" w:rsidR="0049406A" w:rsidRPr="0059482C" w:rsidRDefault="0049406A" w:rsidP="00E36B3B">
            <w:pPr>
              <w:autoSpaceDE w:val="0"/>
              <w:autoSpaceDN w:val="0"/>
              <w:adjustRightInd w:val="0"/>
              <w:spacing w:before="120" w:after="120"/>
            </w:pPr>
            <w:r w:rsidRPr="0049406A">
              <w:t>Transmission System Operator, Transmission Owner, Transmission Service Provider, Transmission Planner</w:t>
            </w:r>
          </w:p>
        </w:tc>
      </w:tr>
    </w:tbl>
    <w:p w14:paraId="4C0C13A8" w14:textId="77777777" w:rsidR="003456E2" w:rsidRDefault="003456E2"/>
    <w:p w14:paraId="1C30DD76" w14:textId="77777777" w:rsidR="0091554F" w:rsidRDefault="003456E2">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890"/>
        <w:gridCol w:w="9450"/>
      </w:tblGrid>
      <w:tr w:rsidR="0091554F" w14:paraId="151B6842" w14:textId="77777777" w:rsidTr="006D0862">
        <w:trPr>
          <w:trHeight w:val="414"/>
          <w:tblHeader/>
        </w:trPr>
        <w:tc>
          <w:tcPr>
            <w:tcW w:w="13045" w:type="dxa"/>
            <w:gridSpan w:val="4"/>
            <w:tcBorders>
              <w:bottom w:val="double" w:sz="4" w:space="0" w:color="auto"/>
            </w:tcBorders>
            <w:shd w:val="pct10" w:color="auto" w:fill="auto"/>
          </w:tcPr>
          <w:p w14:paraId="5A3B102C" w14:textId="77777777" w:rsidR="00F502F3" w:rsidRDefault="0091554F" w:rsidP="00F502F3">
            <w:pPr>
              <w:pStyle w:val="BodyText"/>
              <w:tabs>
                <w:tab w:val="center" w:pos="4569"/>
              </w:tabs>
              <w:spacing w:before="60" w:after="60"/>
              <w:jc w:val="center"/>
              <w:rPr>
                <w:b/>
                <w:bCs/>
                <w:smallCaps/>
                <w:sz w:val="20"/>
              </w:rPr>
            </w:pPr>
            <w:r w:rsidRPr="007A306B">
              <w:rPr>
                <w:b/>
                <w:bCs/>
                <w:sz w:val="20"/>
              </w:rPr>
              <w:lastRenderedPageBreak/>
              <w:br w:type="page"/>
            </w:r>
            <w:r w:rsidR="00F502F3">
              <w:rPr>
                <w:b/>
                <w:bCs/>
                <w:smallCaps/>
                <w:sz w:val="20"/>
              </w:rPr>
              <w:t>Responses Submitted in Response to WEQ/RMQ BPS Informal Comment Request Ending March 10, 2026</w:t>
            </w:r>
          </w:p>
          <w:p w14:paraId="19ACCC04" w14:textId="78586568" w:rsidR="0091554F" w:rsidRDefault="00F502F3" w:rsidP="00F502F3">
            <w:pPr>
              <w:pStyle w:val="BodyText"/>
              <w:tabs>
                <w:tab w:val="center" w:pos="4569"/>
              </w:tabs>
              <w:spacing w:before="60" w:after="60"/>
              <w:jc w:val="center"/>
            </w:pPr>
            <w:r>
              <w:rPr>
                <w:b/>
                <w:bCs/>
                <w:smallCaps/>
                <w:sz w:val="20"/>
              </w:rPr>
              <w:t>Question 6</w:t>
            </w:r>
          </w:p>
        </w:tc>
      </w:tr>
      <w:tr w:rsidR="0091554F" w:rsidRPr="00DF0B88" w14:paraId="302B666D" w14:textId="77777777" w:rsidTr="006D0862">
        <w:trPr>
          <w:tblHeader/>
        </w:trPr>
        <w:tc>
          <w:tcPr>
            <w:tcW w:w="1705" w:type="dxa"/>
            <w:gridSpan w:val="2"/>
            <w:tcBorders>
              <w:top w:val="double" w:sz="4" w:space="0" w:color="auto"/>
              <w:bottom w:val="single" w:sz="4" w:space="0" w:color="auto"/>
            </w:tcBorders>
            <w:shd w:val="pct10" w:color="auto" w:fill="auto"/>
          </w:tcPr>
          <w:p w14:paraId="577B654C" w14:textId="562F9BD6" w:rsidR="0091554F" w:rsidRPr="007A306B" w:rsidRDefault="0091554F" w:rsidP="006D0862">
            <w:pPr>
              <w:autoSpaceDE w:val="0"/>
              <w:autoSpaceDN w:val="0"/>
              <w:adjustRightInd w:val="0"/>
              <w:spacing w:before="80" w:after="80"/>
              <w:rPr>
                <w:b/>
                <w:bCs/>
              </w:rPr>
            </w:pPr>
            <w:r>
              <w:rPr>
                <w:b/>
                <w:bCs/>
              </w:rPr>
              <w:t>Question 6</w:t>
            </w:r>
          </w:p>
        </w:tc>
        <w:tc>
          <w:tcPr>
            <w:tcW w:w="11340" w:type="dxa"/>
            <w:gridSpan w:val="2"/>
            <w:tcBorders>
              <w:top w:val="double" w:sz="4" w:space="0" w:color="auto"/>
              <w:bottom w:val="single" w:sz="4" w:space="0" w:color="auto"/>
            </w:tcBorders>
            <w:shd w:val="pct10" w:color="auto" w:fill="auto"/>
          </w:tcPr>
          <w:p w14:paraId="33E9ECBA" w14:textId="34299D19" w:rsidR="0091554F" w:rsidRPr="00DF0B88" w:rsidRDefault="005E0EFC" w:rsidP="006D0862">
            <w:pPr>
              <w:autoSpaceDE w:val="0"/>
              <w:autoSpaceDN w:val="0"/>
              <w:adjustRightInd w:val="0"/>
              <w:spacing w:before="80" w:after="80"/>
            </w:pPr>
            <w:r>
              <w:t xml:space="preserve">Please </w:t>
            </w:r>
            <w:r w:rsidRPr="005E0EFC">
              <w:t>provide any additional information, questions, or considerations that could provide guidance to the subcommittees in determining how to proceed.</w:t>
            </w:r>
          </w:p>
        </w:tc>
      </w:tr>
      <w:tr w:rsidR="005E0EFC" w14:paraId="32CDB0C2" w14:textId="77777777" w:rsidTr="005E0EFC">
        <w:trPr>
          <w:tblHeader/>
        </w:trPr>
        <w:tc>
          <w:tcPr>
            <w:tcW w:w="265" w:type="dxa"/>
            <w:tcBorders>
              <w:top w:val="single" w:sz="4" w:space="0" w:color="auto"/>
              <w:bottom w:val="single" w:sz="4" w:space="0" w:color="auto"/>
            </w:tcBorders>
          </w:tcPr>
          <w:p w14:paraId="0C0528AF" w14:textId="77777777" w:rsidR="005E0EFC" w:rsidRDefault="005E0EFC" w:rsidP="006D0862">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tcPr>
          <w:p w14:paraId="3CF6872F" w14:textId="77777777" w:rsidR="005E0EFC" w:rsidRDefault="005E0EFC" w:rsidP="006D0862">
            <w:pPr>
              <w:autoSpaceDE w:val="0"/>
              <w:autoSpaceDN w:val="0"/>
              <w:adjustRightInd w:val="0"/>
              <w:spacing w:before="80" w:after="80"/>
              <w:rPr>
                <w:b/>
                <w:bCs/>
              </w:rPr>
            </w:pPr>
            <w:r>
              <w:rPr>
                <w:b/>
                <w:bCs/>
              </w:rPr>
              <w:t>Organization</w:t>
            </w:r>
          </w:p>
        </w:tc>
        <w:tc>
          <w:tcPr>
            <w:tcW w:w="1890" w:type="dxa"/>
            <w:tcBorders>
              <w:top w:val="single" w:sz="4" w:space="0" w:color="auto"/>
              <w:bottom w:val="single" w:sz="4" w:space="0" w:color="auto"/>
            </w:tcBorders>
          </w:tcPr>
          <w:p w14:paraId="7C04269E" w14:textId="350C254B" w:rsidR="005E0EFC" w:rsidRDefault="005E0EFC" w:rsidP="006D0862">
            <w:pPr>
              <w:autoSpaceDE w:val="0"/>
              <w:autoSpaceDN w:val="0"/>
              <w:adjustRightInd w:val="0"/>
              <w:spacing w:before="80" w:after="80"/>
              <w:rPr>
                <w:b/>
                <w:bCs/>
              </w:rPr>
            </w:pPr>
            <w:r>
              <w:rPr>
                <w:b/>
                <w:bCs/>
              </w:rPr>
              <w:t>Representative</w:t>
            </w:r>
          </w:p>
        </w:tc>
        <w:tc>
          <w:tcPr>
            <w:tcW w:w="9450" w:type="dxa"/>
            <w:tcBorders>
              <w:top w:val="single" w:sz="4" w:space="0" w:color="auto"/>
              <w:bottom w:val="single" w:sz="4" w:space="0" w:color="auto"/>
            </w:tcBorders>
          </w:tcPr>
          <w:p w14:paraId="464A7DEC" w14:textId="64159972" w:rsidR="005E0EFC" w:rsidRDefault="005E0EFC" w:rsidP="006D0862">
            <w:pPr>
              <w:autoSpaceDE w:val="0"/>
              <w:autoSpaceDN w:val="0"/>
              <w:adjustRightInd w:val="0"/>
              <w:spacing w:before="80" w:after="80"/>
              <w:rPr>
                <w:b/>
                <w:bCs/>
              </w:rPr>
            </w:pPr>
            <w:r>
              <w:rPr>
                <w:b/>
                <w:bCs/>
              </w:rPr>
              <w:t xml:space="preserve">Comment </w:t>
            </w:r>
          </w:p>
        </w:tc>
      </w:tr>
      <w:tr w:rsidR="005E0EFC" w14:paraId="4810364B" w14:textId="77777777" w:rsidTr="005E0EFC">
        <w:tc>
          <w:tcPr>
            <w:tcW w:w="265" w:type="dxa"/>
          </w:tcPr>
          <w:p w14:paraId="1802DD24" w14:textId="038B4938" w:rsidR="005E0EFC" w:rsidRPr="00CC5097" w:rsidRDefault="0098001E" w:rsidP="006D0862">
            <w:pPr>
              <w:autoSpaceDE w:val="0"/>
              <w:autoSpaceDN w:val="0"/>
              <w:adjustRightInd w:val="0"/>
              <w:spacing w:before="80" w:after="80"/>
              <w:ind w:left="-112" w:right="-107"/>
              <w:jc w:val="center"/>
            </w:pPr>
            <w:r>
              <w:t>1.</w:t>
            </w:r>
          </w:p>
        </w:tc>
        <w:tc>
          <w:tcPr>
            <w:tcW w:w="1440" w:type="dxa"/>
          </w:tcPr>
          <w:p w14:paraId="40EA7FAD" w14:textId="2FE5A8A9" w:rsidR="005E0EFC" w:rsidRPr="00CC5097" w:rsidRDefault="0098001E" w:rsidP="006D0862">
            <w:pPr>
              <w:autoSpaceDE w:val="0"/>
              <w:autoSpaceDN w:val="0"/>
              <w:adjustRightInd w:val="0"/>
              <w:spacing w:before="80" w:after="80"/>
            </w:pPr>
            <w:r>
              <w:t>MISO</w:t>
            </w:r>
          </w:p>
        </w:tc>
        <w:tc>
          <w:tcPr>
            <w:tcW w:w="1890" w:type="dxa"/>
          </w:tcPr>
          <w:p w14:paraId="1165436A" w14:textId="224AB4B8" w:rsidR="005E0EFC" w:rsidRPr="00CC5097" w:rsidRDefault="0098001E" w:rsidP="006D0862">
            <w:pPr>
              <w:autoSpaceDE w:val="0"/>
              <w:autoSpaceDN w:val="0"/>
              <w:adjustRightInd w:val="0"/>
              <w:spacing w:before="80" w:after="80"/>
            </w:pPr>
            <w:r>
              <w:t>Kristen Rowley</w:t>
            </w:r>
          </w:p>
        </w:tc>
        <w:tc>
          <w:tcPr>
            <w:tcW w:w="9450" w:type="dxa"/>
          </w:tcPr>
          <w:p w14:paraId="12A7BD27" w14:textId="2EC150B8" w:rsidR="005E0EFC" w:rsidRPr="00CC5097" w:rsidRDefault="0098001E" w:rsidP="0091554F">
            <w:pPr>
              <w:autoSpaceDE w:val="0"/>
              <w:autoSpaceDN w:val="0"/>
              <w:adjustRightInd w:val="0"/>
              <w:spacing w:before="120" w:after="120"/>
            </w:pPr>
            <w:r>
              <w:t xml:space="preserve">MISO </w:t>
            </w:r>
            <w:r w:rsidRPr="0098001E">
              <w:t>supports the development of business practice standards as it may provide more immediate benefit to the industry in the short-term.</w:t>
            </w:r>
          </w:p>
        </w:tc>
      </w:tr>
      <w:tr w:rsidR="00766B40" w14:paraId="1AB46A0E" w14:textId="77777777" w:rsidTr="005E0EFC">
        <w:tc>
          <w:tcPr>
            <w:tcW w:w="265" w:type="dxa"/>
          </w:tcPr>
          <w:p w14:paraId="1F69B8F7" w14:textId="61605FBC" w:rsidR="00766B40" w:rsidRDefault="00766B40" w:rsidP="006D0862">
            <w:pPr>
              <w:autoSpaceDE w:val="0"/>
              <w:autoSpaceDN w:val="0"/>
              <w:adjustRightInd w:val="0"/>
              <w:spacing w:before="80" w:after="80"/>
              <w:ind w:left="-112" w:right="-107"/>
              <w:jc w:val="center"/>
            </w:pPr>
            <w:r>
              <w:t>2.</w:t>
            </w:r>
          </w:p>
        </w:tc>
        <w:tc>
          <w:tcPr>
            <w:tcW w:w="1440" w:type="dxa"/>
          </w:tcPr>
          <w:p w14:paraId="35E9AAB5" w14:textId="34C447D6" w:rsidR="00766B40" w:rsidRDefault="00766B40" w:rsidP="006D0862">
            <w:pPr>
              <w:autoSpaceDE w:val="0"/>
              <w:autoSpaceDN w:val="0"/>
              <w:adjustRightInd w:val="0"/>
              <w:spacing w:before="80" w:after="80"/>
            </w:pPr>
            <w:r>
              <w:t>PacifiCorp</w:t>
            </w:r>
          </w:p>
        </w:tc>
        <w:tc>
          <w:tcPr>
            <w:tcW w:w="1890" w:type="dxa"/>
          </w:tcPr>
          <w:p w14:paraId="6046A676" w14:textId="0AE61951" w:rsidR="00766B40" w:rsidRDefault="00766B40" w:rsidP="006D0862">
            <w:pPr>
              <w:autoSpaceDE w:val="0"/>
              <w:autoSpaceDN w:val="0"/>
              <w:adjustRightInd w:val="0"/>
              <w:spacing w:before="80" w:after="80"/>
            </w:pPr>
            <w:r>
              <w:t>Janice Bacon</w:t>
            </w:r>
          </w:p>
        </w:tc>
        <w:tc>
          <w:tcPr>
            <w:tcW w:w="9450" w:type="dxa"/>
          </w:tcPr>
          <w:p w14:paraId="116CEC5D" w14:textId="7AA6AB35" w:rsidR="00766B40" w:rsidRDefault="00766B40" w:rsidP="0091554F">
            <w:pPr>
              <w:autoSpaceDE w:val="0"/>
              <w:autoSpaceDN w:val="0"/>
              <w:adjustRightInd w:val="0"/>
              <w:spacing w:before="120" w:after="120"/>
            </w:pPr>
            <w:r>
              <w:t>No Comment</w:t>
            </w:r>
          </w:p>
        </w:tc>
      </w:tr>
      <w:tr w:rsidR="00942884" w14:paraId="07A62923" w14:textId="77777777" w:rsidTr="005E0EFC">
        <w:tc>
          <w:tcPr>
            <w:tcW w:w="265" w:type="dxa"/>
          </w:tcPr>
          <w:p w14:paraId="4F5916A0" w14:textId="5DE4741F" w:rsidR="00942884" w:rsidRDefault="00942884" w:rsidP="006D0862">
            <w:pPr>
              <w:autoSpaceDE w:val="0"/>
              <w:autoSpaceDN w:val="0"/>
              <w:adjustRightInd w:val="0"/>
              <w:spacing w:before="80" w:after="80"/>
              <w:ind w:left="-112" w:right="-107"/>
              <w:jc w:val="center"/>
            </w:pPr>
            <w:r>
              <w:t>3.</w:t>
            </w:r>
          </w:p>
        </w:tc>
        <w:tc>
          <w:tcPr>
            <w:tcW w:w="1440" w:type="dxa"/>
          </w:tcPr>
          <w:p w14:paraId="27C5D63D" w14:textId="3FF6E90E" w:rsidR="00942884" w:rsidRDefault="00942884" w:rsidP="006D0862">
            <w:pPr>
              <w:autoSpaceDE w:val="0"/>
              <w:autoSpaceDN w:val="0"/>
              <w:adjustRightInd w:val="0"/>
              <w:spacing w:before="80" w:after="80"/>
            </w:pPr>
            <w:r>
              <w:t>PJM</w:t>
            </w:r>
          </w:p>
        </w:tc>
        <w:tc>
          <w:tcPr>
            <w:tcW w:w="1890" w:type="dxa"/>
          </w:tcPr>
          <w:p w14:paraId="6BB89B07" w14:textId="5103BE59" w:rsidR="00942884" w:rsidRDefault="00942884" w:rsidP="006D0862">
            <w:pPr>
              <w:autoSpaceDE w:val="0"/>
              <w:autoSpaceDN w:val="0"/>
              <w:adjustRightInd w:val="0"/>
              <w:spacing w:before="80" w:after="80"/>
            </w:pPr>
            <w:r>
              <w:t>Diane Antonelli</w:t>
            </w:r>
          </w:p>
        </w:tc>
        <w:tc>
          <w:tcPr>
            <w:tcW w:w="9450" w:type="dxa"/>
          </w:tcPr>
          <w:p w14:paraId="24205694" w14:textId="4C489283" w:rsidR="00942884" w:rsidRDefault="00CB69D5" w:rsidP="0091554F">
            <w:pPr>
              <w:autoSpaceDE w:val="0"/>
              <w:autoSpaceDN w:val="0"/>
              <w:adjustRightInd w:val="0"/>
              <w:spacing w:before="120" w:after="120"/>
            </w:pPr>
            <w:r w:rsidRPr="00CB69D5">
              <w:t>PJM does not believe we need a defined Business Practice Standard for DER in the wholesale market. The market rules, associated systems and implementation timelines are significantly different in each ISO/RTO. For wholesale markets, with mature DR participation and which already provide for participation of underlying DER resources, a new standard will be disruptive and less flexible than the current framework in place.</w:t>
            </w:r>
          </w:p>
        </w:tc>
      </w:tr>
      <w:tr w:rsidR="00942884" w14:paraId="36C86852" w14:textId="77777777" w:rsidTr="005E0EFC">
        <w:tc>
          <w:tcPr>
            <w:tcW w:w="265" w:type="dxa"/>
          </w:tcPr>
          <w:p w14:paraId="1115DCDF" w14:textId="3BEB5012" w:rsidR="00942884" w:rsidRDefault="00942884" w:rsidP="006D0862">
            <w:pPr>
              <w:autoSpaceDE w:val="0"/>
              <w:autoSpaceDN w:val="0"/>
              <w:adjustRightInd w:val="0"/>
              <w:spacing w:before="80" w:after="80"/>
              <w:ind w:left="-112" w:right="-107"/>
              <w:jc w:val="center"/>
            </w:pPr>
            <w:r>
              <w:t>4.</w:t>
            </w:r>
          </w:p>
        </w:tc>
        <w:tc>
          <w:tcPr>
            <w:tcW w:w="1440" w:type="dxa"/>
          </w:tcPr>
          <w:p w14:paraId="0EC7223E" w14:textId="0EA5BFFF" w:rsidR="00942884" w:rsidRDefault="00942884" w:rsidP="006D0862">
            <w:pPr>
              <w:autoSpaceDE w:val="0"/>
              <w:autoSpaceDN w:val="0"/>
              <w:adjustRightInd w:val="0"/>
              <w:spacing w:before="80" w:after="80"/>
            </w:pPr>
            <w:proofErr w:type="spellStart"/>
            <w:r>
              <w:t>Evergy</w:t>
            </w:r>
            <w:proofErr w:type="spellEnd"/>
          </w:p>
        </w:tc>
        <w:tc>
          <w:tcPr>
            <w:tcW w:w="1890" w:type="dxa"/>
          </w:tcPr>
          <w:p w14:paraId="08796617" w14:textId="757E1D13" w:rsidR="00942884" w:rsidRDefault="00942884" w:rsidP="006D0862">
            <w:pPr>
              <w:autoSpaceDE w:val="0"/>
              <w:autoSpaceDN w:val="0"/>
              <w:adjustRightInd w:val="0"/>
              <w:spacing w:before="80" w:after="80"/>
            </w:pPr>
            <w:r>
              <w:t>Hayden Maples</w:t>
            </w:r>
          </w:p>
        </w:tc>
        <w:tc>
          <w:tcPr>
            <w:tcW w:w="9450" w:type="dxa"/>
          </w:tcPr>
          <w:p w14:paraId="18971C5F" w14:textId="77777777" w:rsidR="00942884" w:rsidRDefault="00942884" w:rsidP="00942884">
            <w:pPr>
              <w:autoSpaceDE w:val="0"/>
              <w:autoSpaceDN w:val="0"/>
              <w:adjustRightInd w:val="0"/>
              <w:spacing w:before="120" w:after="120"/>
            </w:pPr>
            <w:r>
              <w:t>Retirement dates of the assets.  To help better determine anticipated lifespans of different DERs.</w:t>
            </w:r>
          </w:p>
          <w:p w14:paraId="344E315C" w14:textId="782820DB" w:rsidR="00942884" w:rsidRPr="00942884" w:rsidRDefault="00942884" w:rsidP="00942884">
            <w:pPr>
              <w:autoSpaceDE w:val="0"/>
              <w:autoSpaceDN w:val="0"/>
              <w:adjustRightInd w:val="0"/>
              <w:spacing w:before="120" w:after="120"/>
            </w:pPr>
            <w:r>
              <w:t>There is also a concern about who would have access to this data to avoid unwanted solicitations.</w:t>
            </w:r>
          </w:p>
        </w:tc>
      </w:tr>
      <w:tr w:rsidR="00DA25F7" w14:paraId="105B884C" w14:textId="77777777" w:rsidTr="005E0EFC">
        <w:tc>
          <w:tcPr>
            <w:tcW w:w="265" w:type="dxa"/>
          </w:tcPr>
          <w:p w14:paraId="41F70266" w14:textId="6AB3D2D3" w:rsidR="00DA25F7" w:rsidRDefault="00DA25F7" w:rsidP="006D0862">
            <w:pPr>
              <w:autoSpaceDE w:val="0"/>
              <w:autoSpaceDN w:val="0"/>
              <w:adjustRightInd w:val="0"/>
              <w:spacing w:before="80" w:after="80"/>
              <w:ind w:left="-112" w:right="-107"/>
              <w:jc w:val="center"/>
            </w:pPr>
            <w:r>
              <w:t>5.</w:t>
            </w:r>
          </w:p>
        </w:tc>
        <w:tc>
          <w:tcPr>
            <w:tcW w:w="1440" w:type="dxa"/>
          </w:tcPr>
          <w:p w14:paraId="3C23D2A1" w14:textId="5F23F473" w:rsidR="00DA25F7" w:rsidRDefault="00DA25F7" w:rsidP="006D0862">
            <w:pPr>
              <w:autoSpaceDE w:val="0"/>
              <w:autoSpaceDN w:val="0"/>
              <w:adjustRightInd w:val="0"/>
              <w:spacing w:before="80" w:after="80"/>
            </w:pPr>
            <w:r>
              <w:t>Seattle City Light</w:t>
            </w:r>
          </w:p>
        </w:tc>
        <w:tc>
          <w:tcPr>
            <w:tcW w:w="1890" w:type="dxa"/>
          </w:tcPr>
          <w:p w14:paraId="45544095" w14:textId="65368371" w:rsidR="00DA25F7" w:rsidRDefault="00DA25F7" w:rsidP="006D0862">
            <w:pPr>
              <w:autoSpaceDE w:val="0"/>
              <w:autoSpaceDN w:val="0"/>
              <w:adjustRightInd w:val="0"/>
              <w:spacing w:before="80" w:after="80"/>
            </w:pPr>
            <w:r>
              <w:t>Michael Watkins</w:t>
            </w:r>
          </w:p>
        </w:tc>
        <w:tc>
          <w:tcPr>
            <w:tcW w:w="9450" w:type="dxa"/>
          </w:tcPr>
          <w:p w14:paraId="4C3E62A7" w14:textId="1003ECB6" w:rsidR="00DA25F7" w:rsidRDefault="00DA25F7" w:rsidP="00942884">
            <w:pPr>
              <w:autoSpaceDE w:val="0"/>
              <w:autoSpaceDN w:val="0"/>
              <w:adjustRightInd w:val="0"/>
              <w:spacing w:before="120" w:after="120"/>
            </w:pPr>
            <w:r>
              <w:t xml:space="preserve">City </w:t>
            </w:r>
            <w:r w:rsidRPr="00DA25F7">
              <w:t>Light recommends that the subcommittee carefully consider the need for and implications of requiring registration of DERs below a 2MW threshold. City Light recommends that individual DER impact below 2MWs should be included in load characteristics for modeling and planning purposes. This would not preclude and aggregator entity from registering or participating in bulk power operations in a material way.</w:t>
            </w:r>
          </w:p>
        </w:tc>
      </w:tr>
      <w:tr w:rsidR="0065009B" w14:paraId="64978059" w14:textId="77777777" w:rsidTr="005E0EFC">
        <w:tc>
          <w:tcPr>
            <w:tcW w:w="265" w:type="dxa"/>
          </w:tcPr>
          <w:p w14:paraId="3BC70553" w14:textId="2D6956CC" w:rsidR="0065009B" w:rsidRDefault="0065009B" w:rsidP="006D0862">
            <w:pPr>
              <w:autoSpaceDE w:val="0"/>
              <w:autoSpaceDN w:val="0"/>
              <w:adjustRightInd w:val="0"/>
              <w:spacing w:before="80" w:after="80"/>
              <w:ind w:left="-112" w:right="-107"/>
              <w:jc w:val="center"/>
            </w:pPr>
            <w:r>
              <w:t>6.</w:t>
            </w:r>
          </w:p>
        </w:tc>
        <w:tc>
          <w:tcPr>
            <w:tcW w:w="1440" w:type="dxa"/>
          </w:tcPr>
          <w:p w14:paraId="5D242016" w14:textId="2B2D1774" w:rsidR="0065009B" w:rsidRDefault="0065009B" w:rsidP="006D0862">
            <w:pPr>
              <w:autoSpaceDE w:val="0"/>
              <w:autoSpaceDN w:val="0"/>
              <w:adjustRightInd w:val="0"/>
              <w:spacing w:before="80" w:after="80"/>
            </w:pPr>
            <w:proofErr w:type="spellStart"/>
            <w:r>
              <w:t>NYISO</w:t>
            </w:r>
            <w:proofErr w:type="spellEnd"/>
          </w:p>
        </w:tc>
        <w:tc>
          <w:tcPr>
            <w:tcW w:w="1890" w:type="dxa"/>
          </w:tcPr>
          <w:p w14:paraId="4DEFCB27" w14:textId="0DFC9E9A" w:rsidR="0065009B" w:rsidRDefault="0065009B" w:rsidP="006D0862">
            <w:pPr>
              <w:autoSpaceDE w:val="0"/>
              <w:autoSpaceDN w:val="0"/>
              <w:adjustRightInd w:val="0"/>
              <w:spacing w:before="80" w:after="80"/>
            </w:pPr>
            <w:r>
              <w:t>William Porter</w:t>
            </w:r>
          </w:p>
        </w:tc>
        <w:tc>
          <w:tcPr>
            <w:tcW w:w="9450" w:type="dxa"/>
          </w:tcPr>
          <w:p w14:paraId="035164DF" w14:textId="6DD74DEB" w:rsidR="0065009B" w:rsidRDefault="0065009B" w:rsidP="00942884">
            <w:pPr>
              <w:autoSpaceDE w:val="0"/>
              <w:autoSpaceDN w:val="0"/>
              <w:adjustRightInd w:val="0"/>
              <w:spacing w:before="120" w:after="120"/>
            </w:pPr>
            <w:r w:rsidRPr="0065009B">
              <w:t xml:space="preserve">The </w:t>
            </w:r>
            <w:proofErr w:type="spellStart"/>
            <w:r w:rsidRPr="0065009B">
              <w:t>NYISO</w:t>
            </w:r>
            <w:proofErr w:type="spellEnd"/>
            <w:r w:rsidRPr="0065009B">
              <w:t xml:space="preserve"> respectfully requests that if the DER registry moves forward, then data standards conform to Appendix A and Appendix B of the DRIS User’s Guide: </w:t>
            </w:r>
            <w:hyperlink r:id="rId15" w:history="1">
              <w:r w:rsidRPr="0065009B">
                <w:rPr>
                  <w:rStyle w:val="Hyperlink"/>
                </w:rPr>
                <w:t>https://www.nyiso.com/documents/20142/3625950/UG-25-AggSys-v3.0-Final.pdf/</w:t>
              </w:r>
            </w:hyperlink>
            <w:r w:rsidRPr="0065009B">
              <w:t>. This data standardization may help Aggregators participating in multiple DER programs.</w:t>
            </w:r>
          </w:p>
        </w:tc>
      </w:tr>
      <w:tr w:rsidR="0061230E" w14:paraId="162B945E" w14:textId="77777777" w:rsidTr="005E0EFC">
        <w:tc>
          <w:tcPr>
            <w:tcW w:w="265" w:type="dxa"/>
          </w:tcPr>
          <w:p w14:paraId="37EB3678" w14:textId="6D22D0F3" w:rsidR="0061230E" w:rsidRDefault="0061230E" w:rsidP="006D0862">
            <w:pPr>
              <w:autoSpaceDE w:val="0"/>
              <w:autoSpaceDN w:val="0"/>
              <w:adjustRightInd w:val="0"/>
              <w:spacing w:before="80" w:after="80"/>
              <w:ind w:left="-112" w:right="-107"/>
              <w:jc w:val="center"/>
            </w:pPr>
            <w:r>
              <w:t>7.</w:t>
            </w:r>
          </w:p>
        </w:tc>
        <w:tc>
          <w:tcPr>
            <w:tcW w:w="1440" w:type="dxa"/>
          </w:tcPr>
          <w:p w14:paraId="55957348" w14:textId="78B48F53" w:rsidR="0061230E" w:rsidRDefault="0061230E" w:rsidP="006D0862">
            <w:pPr>
              <w:autoSpaceDE w:val="0"/>
              <w:autoSpaceDN w:val="0"/>
              <w:adjustRightInd w:val="0"/>
              <w:spacing w:before="80" w:after="80"/>
            </w:pPr>
            <w:r>
              <w:t>Entergy</w:t>
            </w:r>
          </w:p>
        </w:tc>
        <w:tc>
          <w:tcPr>
            <w:tcW w:w="1890" w:type="dxa"/>
          </w:tcPr>
          <w:p w14:paraId="61747B41" w14:textId="309278BB" w:rsidR="0061230E" w:rsidRDefault="0061230E" w:rsidP="006D0862">
            <w:pPr>
              <w:autoSpaceDE w:val="0"/>
              <w:autoSpaceDN w:val="0"/>
              <w:adjustRightInd w:val="0"/>
              <w:spacing w:before="80" w:after="80"/>
            </w:pPr>
            <w:r>
              <w:t>Thomas Chamberlain</w:t>
            </w:r>
          </w:p>
        </w:tc>
        <w:tc>
          <w:tcPr>
            <w:tcW w:w="9450" w:type="dxa"/>
          </w:tcPr>
          <w:p w14:paraId="27EB4C23" w14:textId="609DBE59" w:rsidR="0061230E" w:rsidRDefault="0061230E" w:rsidP="0061230E">
            <w:pPr>
              <w:autoSpaceDE w:val="0"/>
              <w:autoSpaceDN w:val="0"/>
              <w:adjustRightInd w:val="0"/>
              <w:spacing w:before="120" w:after="120"/>
            </w:pPr>
            <w:r>
              <w:t>While Entergy supports the general direction of the concept, several considerations should be addressed as the initiative progresses:</w:t>
            </w:r>
          </w:p>
          <w:p w14:paraId="08D49490" w14:textId="77777777" w:rsidR="0061230E" w:rsidRPr="0061230E" w:rsidRDefault="0061230E" w:rsidP="0061230E">
            <w:pPr>
              <w:autoSpaceDE w:val="0"/>
              <w:autoSpaceDN w:val="0"/>
              <w:adjustRightInd w:val="0"/>
              <w:spacing w:before="120" w:after="120"/>
              <w:rPr>
                <w:b/>
                <w:bCs/>
              </w:rPr>
            </w:pPr>
            <w:r w:rsidRPr="0061230E">
              <w:rPr>
                <w:b/>
                <w:bCs/>
              </w:rPr>
              <w:t>Avoid unnecessary administrative burden</w:t>
            </w:r>
          </w:p>
          <w:p w14:paraId="5AA2870D" w14:textId="7D813366" w:rsidR="0061230E" w:rsidRDefault="0061230E" w:rsidP="0061230E">
            <w:pPr>
              <w:autoSpaceDE w:val="0"/>
              <w:autoSpaceDN w:val="0"/>
              <w:adjustRightInd w:val="0"/>
              <w:spacing w:before="120" w:after="120"/>
            </w:pPr>
            <w:r>
              <w:t>The registry should not require utilities or other participants to continuously update large volumes of information unless clearly necessary. Administrative requirements should be proportionate and practical for participating organizations.</w:t>
            </w:r>
          </w:p>
          <w:p w14:paraId="2823EBCB" w14:textId="77777777" w:rsidR="0061230E" w:rsidRPr="0061230E" w:rsidRDefault="0061230E" w:rsidP="0061230E">
            <w:pPr>
              <w:autoSpaceDE w:val="0"/>
              <w:autoSpaceDN w:val="0"/>
              <w:adjustRightInd w:val="0"/>
              <w:spacing w:before="120" w:after="120"/>
              <w:rPr>
                <w:b/>
                <w:bCs/>
              </w:rPr>
            </w:pPr>
            <w:r w:rsidRPr="0061230E">
              <w:rPr>
                <w:b/>
                <w:bCs/>
              </w:rPr>
              <w:lastRenderedPageBreak/>
              <w:t>Leverage existing systems</w:t>
            </w:r>
          </w:p>
          <w:p w14:paraId="42D1CB6A" w14:textId="24EA754B" w:rsidR="0061230E" w:rsidRDefault="0061230E" w:rsidP="0061230E">
            <w:pPr>
              <w:autoSpaceDE w:val="0"/>
              <w:autoSpaceDN w:val="0"/>
              <w:adjustRightInd w:val="0"/>
              <w:spacing w:before="120" w:after="120"/>
            </w:pPr>
            <w:r>
              <w:t>Where possible, the DER registry should leverage existing NAESB tools (such as the Electric Industry Registry) to avoid duplicative registration processes.</w:t>
            </w:r>
          </w:p>
          <w:p w14:paraId="0575882A" w14:textId="77777777" w:rsidR="0061230E" w:rsidRPr="0061230E" w:rsidRDefault="0061230E" w:rsidP="0061230E">
            <w:pPr>
              <w:autoSpaceDE w:val="0"/>
              <w:autoSpaceDN w:val="0"/>
              <w:adjustRightInd w:val="0"/>
              <w:spacing w:before="120" w:after="120"/>
              <w:rPr>
                <w:b/>
                <w:bCs/>
              </w:rPr>
            </w:pPr>
            <w:r w:rsidRPr="0061230E">
              <w:rPr>
                <w:b/>
                <w:bCs/>
              </w:rPr>
              <w:t>Protect sensitive operational information</w:t>
            </w:r>
          </w:p>
          <w:p w14:paraId="4892D60E" w14:textId="51A2971C" w:rsidR="0061230E" w:rsidRDefault="0061230E" w:rsidP="0061230E">
            <w:pPr>
              <w:autoSpaceDE w:val="0"/>
              <w:autoSpaceDN w:val="0"/>
              <w:adjustRightInd w:val="0"/>
              <w:spacing w:before="120" w:after="120"/>
            </w:pPr>
            <w:r>
              <w:t>Care should be taken to ensure that the registry does not require disclosure of sensitive system information or operational data that could introduce cybersecurity or reliability concerns.</w:t>
            </w:r>
          </w:p>
          <w:p w14:paraId="442ABF03" w14:textId="77777777" w:rsidR="0061230E" w:rsidRPr="0061230E" w:rsidRDefault="0061230E" w:rsidP="0061230E">
            <w:pPr>
              <w:autoSpaceDE w:val="0"/>
              <w:autoSpaceDN w:val="0"/>
              <w:adjustRightInd w:val="0"/>
              <w:spacing w:before="120" w:after="120"/>
              <w:rPr>
                <w:b/>
                <w:bCs/>
              </w:rPr>
            </w:pPr>
            <w:r w:rsidRPr="0061230E">
              <w:rPr>
                <w:b/>
                <w:bCs/>
              </w:rPr>
              <w:t>Maintain reasonable implementation costs</w:t>
            </w:r>
          </w:p>
          <w:p w14:paraId="4CA94E3F" w14:textId="36EEAD75" w:rsidR="0061230E" w:rsidRPr="0065009B" w:rsidRDefault="0061230E" w:rsidP="0061230E">
            <w:pPr>
              <w:autoSpaceDE w:val="0"/>
              <w:autoSpaceDN w:val="0"/>
              <w:adjustRightInd w:val="0"/>
              <w:spacing w:before="120" w:after="120"/>
            </w:pPr>
            <w:r>
              <w:t>Implementation of registry requirements should remain cost-effective and should not create significant new operational obligations for utilities, particularly related to maintaining or validating large datasets.</w:t>
            </w:r>
          </w:p>
        </w:tc>
      </w:tr>
      <w:tr w:rsidR="00E36B3B" w14:paraId="4DD044D4" w14:textId="77777777" w:rsidTr="005E0EFC">
        <w:tc>
          <w:tcPr>
            <w:tcW w:w="265" w:type="dxa"/>
          </w:tcPr>
          <w:p w14:paraId="1F5CC521" w14:textId="30990CD8" w:rsidR="00E36B3B" w:rsidRDefault="00E36B3B" w:rsidP="006D0862">
            <w:pPr>
              <w:autoSpaceDE w:val="0"/>
              <w:autoSpaceDN w:val="0"/>
              <w:adjustRightInd w:val="0"/>
              <w:spacing w:before="80" w:after="80"/>
              <w:ind w:left="-112" w:right="-107"/>
              <w:jc w:val="center"/>
            </w:pPr>
            <w:r>
              <w:lastRenderedPageBreak/>
              <w:t>8.</w:t>
            </w:r>
          </w:p>
        </w:tc>
        <w:tc>
          <w:tcPr>
            <w:tcW w:w="1440" w:type="dxa"/>
          </w:tcPr>
          <w:p w14:paraId="4503545C" w14:textId="7BDE1CAA" w:rsidR="00E36B3B" w:rsidRDefault="00E36B3B" w:rsidP="006D0862">
            <w:pPr>
              <w:autoSpaceDE w:val="0"/>
              <w:autoSpaceDN w:val="0"/>
              <w:adjustRightInd w:val="0"/>
              <w:spacing w:before="80" w:after="80"/>
            </w:pPr>
            <w:r>
              <w:t>Organization of MISO States</w:t>
            </w:r>
          </w:p>
        </w:tc>
        <w:tc>
          <w:tcPr>
            <w:tcW w:w="1890" w:type="dxa"/>
          </w:tcPr>
          <w:p w14:paraId="2BC8314E" w14:textId="50DDDE1A" w:rsidR="00E36B3B" w:rsidRDefault="00E36B3B" w:rsidP="006D0862">
            <w:pPr>
              <w:autoSpaceDE w:val="0"/>
              <w:autoSpaceDN w:val="0"/>
              <w:adjustRightInd w:val="0"/>
              <w:spacing w:before="80" w:after="80"/>
            </w:pPr>
            <w:r>
              <w:t>Brad Pope</w:t>
            </w:r>
          </w:p>
        </w:tc>
        <w:tc>
          <w:tcPr>
            <w:tcW w:w="9450" w:type="dxa"/>
          </w:tcPr>
          <w:p w14:paraId="0D45AF77" w14:textId="1103670D" w:rsidR="00E36B3B" w:rsidRDefault="00E36B3B" w:rsidP="00E36B3B">
            <w:pPr>
              <w:autoSpaceDE w:val="0"/>
              <w:autoSpaceDN w:val="0"/>
              <w:adjustRightInd w:val="0"/>
              <w:spacing w:before="120" w:after="120"/>
            </w:pPr>
            <w:proofErr w:type="spellStart"/>
            <w:r>
              <w:t>RERRAs</w:t>
            </w:r>
            <w:proofErr w:type="spellEnd"/>
            <w:r>
              <w:t xml:space="preserve"> must have a central role in DER coordination. As such, the DER entity registry, and any governance procedures involving the further development and administration of the registry and accompanying standards, should support this role. This aligns with FERC Order No. 2222, which explicitly recognized the vital role of </w:t>
            </w:r>
            <w:proofErr w:type="spellStart"/>
            <w:r>
              <w:t>RERRAs</w:t>
            </w:r>
            <w:proofErr w:type="spellEnd"/>
            <w:r>
              <w:t xml:space="preserve"> in developing interconnection rules, data sharing and metering requirements, dispute resolution, multi-use applications, and other areas.</w:t>
            </w:r>
          </w:p>
          <w:p w14:paraId="6A7C53DE" w14:textId="0913EA5B" w:rsidR="00E36B3B" w:rsidRDefault="00E36B3B" w:rsidP="00E36B3B">
            <w:pPr>
              <w:autoSpaceDE w:val="0"/>
              <w:autoSpaceDN w:val="0"/>
              <w:adjustRightInd w:val="0"/>
              <w:spacing w:before="120" w:after="120"/>
            </w:pPr>
            <w:r>
              <w:t>In addition, the OMS DER Work Group wants to underscore that coordination between both retail and wholesale facing information streams is important. As such, the entity registry and interoperability standards should be designed with an awareness that data elements and entities that historically tend to be retail- or wholesale-specific both need to be accommodated for this coordination. In practice, this means that the DER entity registry should reflect end-use customer consent to provide necessary data, and other foundational retail underpinnings, in order to link this retail information on individual DER assets to their participation in wholesale markets. Moreover, as DERs increasingly provide services in both wholesale and retail markets, the registry and standards should accommodate multi-use applications in a way that allows for tracking and coordination necessary to prevent double-counting.</w:t>
            </w:r>
          </w:p>
          <w:p w14:paraId="7CC1F484" w14:textId="69D0CBF3" w:rsidR="00E36B3B" w:rsidRDefault="00E36B3B" w:rsidP="00E36B3B">
            <w:pPr>
              <w:autoSpaceDE w:val="0"/>
              <w:autoSpaceDN w:val="0"/>
              <w:adjustRightInd w:val="0"/>
              <w:spacing w:before="120" w:after="120"/>
            </w:pPr>
            <w:r>
              <w:t xml:space="preserve">The OMS DER Work Group would also like to stress that as the NAESB entity registry and standards </w:t>
            </w:r>
            <w:proofErr w:type="gramStart"/>
            <w:r>
              <w:t>evolve,</w:t>
            </w:r>
            <w:proofErr w:type="gramEnd"/>
            <w:r>
              <w:t xml:space="preserve"> they do so in a way that complements existing and planned tools. For example, </w:t>
            </w:r>
            <w:proofErr w:type="spellStart"/>
            <w:r>
              <w:t>MISO’s</w:t>
            </w:r>
            <w:proofErr w:type="spellEnd"/>
            <w:r>
              <w:t xml:space="preserve"> Locational Enrollment Service (LES) tool is in the process of being rolled out to support enrollments of aggregated resources, starting with existing DR products and expanding to DERs ahead of FERC Order No. 2222 implementation. The subcommittees</w:t>
            </w:r>
          </w:p>
          <w:p w14:paraId="019CF460" w14:textId="000217DA" w:rsidR="00E36B3B" w:rsidRDefault="00E36B3B" w:rsidP="00E36B3B">
            <w:pPr>
              <w:autoSpaceDE w:val="0"/>
              <w:autoSpaceDN w:val="0"/>
              <w:adjustRightInd w:val="0"/>
              <w:spacing w:before="120" w:after="120"/>
            </w:pPr>
            <w:r>
              <w:lastRenderedPageBreak/>
              <w:t>should look to engage with RTOs/ISOs to understand their existing platforms and ensure the NAESB standards facilitate integration.</w:t>
            </w:r>
          </w:p>
          <w:p w14:paraId="698BC83A" w14:textId="0F1596F7" w:rsidR="00E36B3B" w:rsidRDefault="00E36B3B" w:rsidP="00E36B3B">
            <w:pPr>
              <w:autoSpaceDE w:val="0"/>
              <w:autoSpaceDN w:val="0"/>
              <w:adjustRightInd w:val="0"/>
              <w:spacing w:before="120" w:after="120"/>
            </w:pPr>
            <w:r>
              <w:t>Finally, the OMS DER Work Group would like to emphasize that customer privacy and data protection need to be prioritized at all levels. The DER Entity Registry’s authentication and data access should be designed consistent with this point, as well as ensure that downstream device registries can implement role-based access controls that gate access to data components appropriately.</w:t>
            </w:r>
          </w:p>
          <w:p w14:paraId="3A1835AF" w14:textId="3A6A6837" w:rsidR="00E36B3B" w:rsidRDefault="00E36B3B" w:rsidP="00E36B3B">
            <w:pPr>
              <w:autoSpaceDE w:val="0"/>
              <w:autoSpaceDN w:val="0"/>
              <w:adjustRightInd w:val="0"/>
              <w:spacing w:before="120" w:after="120"/>
            </w:pPr>
            <w:r>
              <w:t>The OMS DER Work Group appreciates the opportunity to provide the above feedback. The OMS DER Work Group encourages the subcommittees move forward with the registry and standards promptly, as solutions to these foundational issues will aid ongoing efforts on registration, enrollment, and data sharing, as well as unlock future progress on other issues (e.g., operational coordination).</w:t>
            </w:r>
          </w:p>
        </w:tc>
      </w:tr>
      <w:tr w:rsidR="0059482C" w14:paraId="43039FB3" w14:textId="77777777" w:rsidTr="005E0EFC">
        <w:tc>
          <w:tcPr>
            <w:tcW w:w="265" w:type="dxa"/>
          </w:tcPr>
          <w:p w14:paraId="6A500EC4" w14:textId="48D5D840" w:rsidR="0059482C" w:rsidRDefault="0059482C" w:rsidP="006D0862">
            <w:pPr>
              <w:autoSpaceDE w:val="0"/>
              <w:autoSpaceDN w:val="0"/>
              <w:adjustRightInd w:val="0"/>
              <w:spacing w:before="80" w:after="80"/>
              <w:ind w:left="-112" w:right="-107"/>
              <w:jc w:val="center"/>
            </w:pPr>
            <w:r>
              <w:lastRenderedPageBreak/>
              <w:t>9.</w:t>
            </w:r>
          </w:p>
        </w:tc>
        <w:tc>
          <w:tcPr>
            <w:tcW w:w="1440" w:type="dxa"/>
          </w:tcPr>
          <w:p w14:paraId="1C536706" w14:textId="2F4D8711" w:rsidR="0059482C" w:rsidRDefault="0059482C" w:rsidP="006D0862">
            <w:pPr>
              <w:autoSpaceDE w:val="0"/>
              <w:autoSpaceDN w:val="0"/>
              <w:adjustRightInd w:val="0"/>
              <w:spacing w:before="80" w:after="80"/>
            </w:pPr>
            <w:r>
              <w:t>Southwest Power Pool</w:t>
            </w:r>
          </w:p>
        </w:tc>
        <w:tc>
          <w:tcPr>
            <w:tcW w:w="1890" w:type="dxa"/>
          </w:tcPr>
          <w:p w14:paraId="46A40149" w14:textId="249FBE99" w:rsidR="0059482C" w:rsidRDefault="0059482C" w:rsidP="006D0862">
            <w:pPr>
              <w:autoSpaceDE w:val="0"/>
              <w:autoSpaceDN w:val="0"/>
              <w:adjustRightInd w:val="0"/>
              <w:spacing w:before="80" w:after="80"/>
            </w:pPr>
            <w:r>
              <w:t>Joshua Phillips</w:t>
            </w:r>
          </w:p>
        </w:tc>
        <w:tc>
          <w:tcPr>
            <w:tcW w:w="9450" w:type="dxa"/>
          </w:tcPr>
          <w:p w14:paraId="1CD21886" w14:textId="1862C26A" w:rsidR="0059482C" w:rsidRDefault="0059482C" w:rsidP="00E36B3B">
            <w:pPr>
              <w:autoSpaceDE w:val="0"/>
              <w:autoSpaceDN w:val="0"/>
              <w:adjustRightInd w:val="0"/>
              <w:spacing w:before="120" w:after="120"/>
            </w:pPr>
            <w:r w:rsidRPr="0059482C">
              <w:t xml:space="preserve">With organized wholesale markets already having defined registration requirements, the focus for these annual plans should be upon retail registries and standardization.  This will ensure proposed standards do not conflict with developed and adopted market rules.  The most beneficial standards appear to be focused upon DER assets, DER owners, and descriptors for those at a common level to support integration by distribution entities and aggregators.  </w:t>
            </w:r>
          </w:p>
        </w:tc>
      </w:tr>
      <w:tr w:rsidR="0049406A" w14:paraId="050EA5A2" w14:textId="77777777" w:rsidTr="005E0EFC">
        <w:tc>
          <w:tcPr>
            <w:tcW w:w="265" w:type="dxa"/>
          </w:tcPr>
          <w:p w14:paraId="62FF5E58" w14:textId="34D5B0FE" w:rsidR="0049406A" w:rsidRDefault="0049406A" w:rsidP="006D0862">
            <w:pPr>
              <w:autoSpaceDE w:val="0"/>
              <w:autoSpaceDN w:val="0"/>
              <w:adjustRightInd w:val="0"/>
              <w:spacing w:before="80" w:after="80"/>
              <w:ind w:left="-112" w:right="-107"/>
              <w:jc w:val="center"/>
            </w:pPr>
            <w:r>
              <w:t>10.</w:t>
            </w:r>
          </w:p>
        </w:tc>
        <w:tc>
          <w:tcPr>
            <w:tcW w:w="1440" w:type="dxa"/>
          </w:tcPr>
          <w:p w14:paraId="79D33101" w14:textId="6E583DC3" w:rsidR="0049406A" w:rsidRDefault="0049406A" w:rsidP="006D0862">
            <w:pPr>
              <w:autoSpaceDE w:val="0"/>
              <w:autoSpaceDN w:val="0"/>
              <w:adjustRightInd w:val="0"/>
              <w:spacing w:before="80" w:after="80"/>
            </w:pPr>
            <w:r>
              <w:t>Tri-State Generation &amp; Transmission</w:t>
            </w:r>
          </w:p>
        </w:tc>
        <w:tc>
          <w:tcPr>
            <w:tcW w:w="1890" w:type="dxa"/>
          </w:tcPr>
          <w:p w14:paraId="360BE7CE" w14:textId="5BC9EF7D" w:rsidR="0049406A" w:rsidRDefault="00D73054" w:rsidP="006D0862">
            <w:pPr>
              <w:autoSpaceDE w:val="0"/>
              <w:autoSpaceDN w:val="0"/>
              <w:adjustRightInd w:val="0"/>
              <w:spacing w:before="80" w:after="80"/>
            </w:pPr>
            <w:r>
              <w:t xml:space="preserve">Igor </w:t>
            </w:r>
            <w:proofErr w:type="spellStart"/>
            <w:r>
              <w:t>Kormaz</w:t>
            </w:r>
            <w:proofErr w:type="spellEnd"/>
          </w:p>
        </w:tc>
        <w:tc>
          <w:tcPr>
            <w:tcW w:w="9450" w:type="dxa"/>
          </w:tcPr>
          <w:p w14:paraId="45DFEFA6" w14:textId="77777777" w:rsidR="0049406A" w:rsidRDefault="00D73054" w:rsidP="00E36B3B">
            <w:pPr>
              <w:autoSpaceDE w:val="0"/>
              <w:autoSpaceDN w:val="0"/>
              <w:adjustRightInd w:val="0"/>
              <w:spacing w:before="120" w:after="120"/>
            </w:pPr>
            <w:r w:rsidRPr="00D73054">
              <w:t xml:space="preserve">The existing NAESB Electric Industry Registry (EIR), while useful, has been hampered by lack of and incomplete data consistency and entry. There are many examples of this in the EIR and these realities limit the usefulness of the data. A DER Entity Registry would also be potentially limited to such outcomes if entities do not fully participate and ensure complete and accurate data is provided and coordinated. For example, there are solar, wind, and battery resources connected to or back feeding onto the bulk electric system that are not registered in the EIR. As with any data set, if it is incomplete then the outcomes and results are incomplete. We anticipate this condition will even </w:t>
            </w:r>
            <w:proofErr w:type="gramStart"/>
            <w:r w:rsidRPr="00D73054">
              <w:t>been</w:t>
            </w:r>
            <w:proofErr w:type="gramEnd"/>
            <w:r w:rsidRPr="00D73054">
              <w:t xml:space="preserve"> more prevalent with DERs given the many locations, types of DERs, owners, operators and distribution providers that would have to be similarly entered and incorporated into a standardized data set.  </w:t>
            </w:r>
          </w:p>
          <w:p w14:paraId="5166CFA2" w14:textId="77777777" w:rsidR="00D73054" w:rsidRDefault="00D73054" w:rsidP="00E36B3B">
            <w:pPr>
              <w:autoSpaceDE w:val="0"/>
              <w:autoSpaceDN w:val="0"/>
              <w:adjustRightInd w:val="0"/>
              <w:spacing w:before="120" w:after="120"/>
            </w:pPr>
            <w:r w:rsidRPr="00D73054">
              <w:t xml:space="preserve">As a Transmission Service Provider (TSP), our company also faces a recurring, systemic challenge every month in the calculation of its Network Load as a result of more rapid and widespread construction of DERs in the service territories of our Network Customer Distribution Service Providers which are poorly coordinated between the retail customers of our Network Integrated Transmission Service (NITS) customers, and those NITS customers, as well as between our NITS customers and our company, both in the context of the timely communication of anticipated in-service dates and metering data which is vital to our company to permit the accurate calculation of its total NITS load peak as dictated by our pro-forma FERC approved Tariff.  If the creation of a DER Entity </w:t>
            </w:r>
            <w:r w:rsidRPr="00D73054">
              <w:lastRenderedPageBreak/>
              <w:t xml:space="preserve">Registry would enhance this flow information between all of the impacted entities, then as a TSP we could readily envision the benefit to its establishment.  However, we also have concerns that there would need to be some sort of enforcement mechanism established in conjunction with the DER to assist in maintaining accountability of the accurate and timely reporting of new DER facility operation and output levels.  The relative impact of this lack of operational visibility and planning and settlement awareness of our customers’ directly controlled or owned DER facilities, and also our NITS customers’ customer’s DER facilities, has grown substantially over the last decade to the point where one of our customers has constructed such a large amount of DER projects (specifically a combination of solar and BESS), that it has reached the tipping point where it has become a net exporter of energy in excess of its coincident peak demand during the daylight hours.  If there were to be created a DER Entity Registry with some sort of feasible and effective incentive/enforcement mechanism created in conjunction with it that </w:t>
            </w:r>
            <w:proofErr w:type="spellStart"/>
            <w:r w:rsidRPr="00D73054">
              <w:t>TSP’s</w:t>
            </w:r>
            <w:proofErr w:type="spellEnd"/>
            <w:r w:rsidRPr="00D73054">
              <w:t xml:space="preserve"> similar to our own could monitor on a regular basis, it would likely prove to become a positive and beneficial tool that would enhance our coordination with our direct NITS customers, most of whom are cooperative in their DER facility operational status reporting, but one of which is not, and which we are forced to indirectly coordinate with the governing Balancing Authority to verify the operational status and generator source output levels of newly constructed DER facilities.  </w:t>
            </w:r>
          </w:p>
          <w:p w14:paraId="01C887CE" w14:textId="5507043A" w:rsidR="00D73054" w:rsidRPr="0059482C" w:rsidRDefault="00D73054" w:rsidP="00E36B3B">
            <w:pPr>
              <w:autoSpaceDE w:val="0"/>
              <w:autoSpaceDN w:val="0"/>
              <w:adjustRightInd w:val="0"/>
              <w:spacing w:before="120" w:after="120"/>
            </w:pPr>
            <w:r w:rsidRPr="00D73054">
              <w:t xml:space="preserve">Balancing Authority Area and RTO Generator Interconnection rules and requirements do not necessarily support an exhaustive DER Entity Registry as the minimum interconnection MW threshold is such that most DER aggregations would not be required to be declared, studied or included in the BAA/RTO’s modeling or studies. Unsure to what extent BAA/RTOs have been meeting FERC Order 2222 and 901, and how the BAA/RTOs account for and model the impacts to their operations. From a path methodology perspective, the DER Entity Registry makes sense, but not sure how useful a DER registry would be in </w:t>
            </w:r>
            <w:proofErr w:type="gramStart"/>
            <w:r w:rsidRPr="00D73054">
              <w:t>a</w:t>
            </w:r>
            <w:proofErr w:type="gramEnd"/>
            <w:r w:rsidRPr="00D73054">
              <w:t xml:space="preserve"> RTO flow-based methodology sense. Other than the BAA/RTO could potentially use nameplate spec information and real-time output data. Additionally, the BAA/RTO can already establish a minimum reporting MW threshold already and can require the DER to provide data and information sufficient to meet its needs. A DER Entity Registry would not materially change this option and would probably be of limited value.</w:t>
            </w:r>
          </w:p>
        </w:tc>
      </w:tr>
    </w:tbl>
    <w:p w14:paraId="0582311C" w14:textId="77777777" w:rsidR="0030611D" w:rsidRDefault="0030611D" w:rsidP="00F502F3">
      <w:pPr>
        <w:pStyle w:val="BodyText"/>
        <w:sectPr w:rsidR="0030611D" w:rsidSect="00D73054">
          <w:pgSz w:w="15840" w:h="12240" w:orient="landscape" w:code="1"/>
          <w:pgMar w:top="1440" w:right="1440" w:bottom="1440" w:left="1440" w:header="432" w:footer="432" w:gutter="0"/>
          <w:cols w:space="720"/>
          <w:titlePg/>
          <w:docGrid w:linePitch="272"/>
        </w:sectPr>
      </w:pPr>
    </w:p>
    <w:p w14:paraId="380552BE" w14:textId="77777777" w:rsidR="0030611D" w:rsidRDefault="0030611D" w:rsidP="0030611D">
      <w:pPr>
        <w:pStyle w:val="BodyText"/>
      </w:pPr>
      <w:r>
        <w:lastRenderedPageBreak/>
        <w:t>I commend Joshua Phillips and Debbie McKeever for their leadership in bringing the Wholesale and Retail Markets together to tackle the DER opportunity.  I also commend the subcommittee for volunteering your time and talents in creating the NAESB Concept Paper.</w:t>
      </w:r>
    </w:p>
    <w:p w14:paraId="3F441C57" w14:textId="77777777" w:rsidR="0030611D" w:rsidRDefault="0030611D" w:rsidP="0030611D">
      <w:pPr>
        <w:pStyle w:val="BodyText"/>
      </w:pPr>
    </w:p>
    <w:p w14:paraId="32FFFCDD" w14:textId="77777777" w:rsidR="0030611D" w:rsidRDefault="0030611D" w:rsidP="0030611D">
      <w:pPr>
        <w:pStyle w:val="BodyText"/>
      </w:pPr>
      <w:r>
        <w:t>I strongly support the NAESB Concept Paper's proposal for a centralized DER Entity Registry and accompanying Business Practice Standards to facilitate interoperability among DER and aggregation data systems. Positioning NAESB as the keeper of a federated DER registry aligns seamlessly with its established role in fostering industry-wide standards, ensuring neutral governance that promotes equitable access and reduces fragmentation across the electric sector. This approach would enable efficient data sharing while accommodating regional variations, directly addressing the challenges outlined in the paper, such as inconsistencies in DER data quality and availability. By leveraging NAESB's expertise in standards development, the registry can evolve dynamically to incorporate emerging technologies and regulatory changes, providing a robust foundation for broader DER integration.</w:t>
      </w:r>
    </w:p>
    <w:p w14:paraId="21947A29" w14:textId="77777777" w:rsidR="0030611D" w:rsidRDefault="0030611D" w:rsidP="0030611D">
      <w:pPr>
        <w:pStyle w:val="BodyText"/>
      </w:pPr>
    </w:p>
    <w:p w14:paraId="581F427F" w14:textId="77777777" w:rsidR="0030611D" w:rsidRDefault="0030611D" w:rsidP="0030611D">
      <w:pPr>
        <w:pStyle w:val="BodyText"/>
      </w:pPr>
      <w:r>
        <w:t xml:space="preserve">The proposed framework also offers significant advantages through collaboration with industry initiatives like </w:t>
      </w:r>
      <w:proofErr w:type="spellStart"/>
      <w:r>
        <w:t>ESIG's</w:t>
      </w:r>
      <w:proofErr w:type="spellEnd"/>
      <w:r>
        <w:t xml:space="preserve"> national DER integration efforts, </w:t>
      </w:r>
      <w:proofErr w:type="spellStart"/>
      <w:r>
        <w:t>CUS's</w:t>
      </w:r>
      <w:proofErr w:type="spellEnd"/>
      <w:r>
        <w:t xml:space="preserve"> non-profit registry model, and </w:t>
      </w:r>
      <w:proofErr w:type="spellStart"/>
      <w:r>
        <w:t>OATI's</w:t>
      </w:r>
      <w:proofErr w:type="spellEnd"/>
      <w:r>
        <w:t xml:space="preserve"> DER management systems. </w:t>
      </w:r>
      <w:proofErr w:type="spellStart"/>
      <w:r>
        <w:t>ESIG's</w:t>
      </w:r>
      <w:proofErr w:type="spellEnd"/>
      <w:r>
        <w:t xml:space="preserve"> vision for a high-DER electricity system would be supported by NAESB's standardized data governance, allowing for comprehensive visibility into DER locations, capacities, and performance characteristics to mitigate bulk power system variability, as noted in NERC </w:t>
      </w:r>
      <w:proofErr w:type="spellStart"/>
      <w:r>
        <w:t>SPIDERWG's</w:t>
      </w:r>
      <w:proofErr w:type="spellEnd"/>
      <w:r>
        <w:t xml:space="preserve"> guidance on reducing uncertainty. </w:t>
      </w:r>
      <w:proofErr w:type="spellStart"/>
      <w:r>
        <w:t>CUS's</w:t>
      </w:r>
      <w:proofErr w:type="spellEnd"/>
      <w:r>
        <w:t xml:space="preserve"> collaborative approach could federate seamlessly under NAESB's umbrella, enhancing data equity for utilities and aggregators, while </w:t>
      </w:r>
      <w:proofErr w:type="spellStart"/>
      <w:r>
        <w:t>OATI's</w:t>
      </w:r>
      <w:proofErr w:type="spellEnd"/>
      <w:r>
        <w:t xml:space="preserve"> operational tools could interface via defined APIs, promoting innovation without proprietary silos. This alignment fosters a cohesive ecosystem that amplifies the reliability-focused insights from NERC </w:t>
      </w:r>
      <w:proofErr w:type="spellStart"/>
      <w:r>
        <w:t>SPIDERWG</w:t>
      </w:r>
      <w:proofErr w:type="spellEnd"/>
      <w:r>
        <w:t>, ensuring DER data supports planning and operational horizons across entities.</w:t>
      </w:r>
    </w:p>
    <w:p w14:paraId="4246E68A" w14:textId="77777777" w:rsidR="0030611D" w:rsidRDefault="0030611D" w:rsidP="0030611D">
      <w:pPr>
        <w:pStyle w:val="BodyText"/>
      </w:pPr>
    </w:p>
    <w:p w14:paraId="35072542" w14:textId="77777777" w:rsidR="0030611D" w:rsidRDefault="0030611D" w:rsidP="0030611D">
      <w:pPr>
        <w:pStyle w:val="BodyText"/>
      </w:pPr>
      <w:r>
        <w:t xml:space="preserve">One key benefit of NAESB's stewardship is enhanced alignment with State/Province governments and ISO/RTOs, which often require granular DER data for permitting, planning, and market operations. For instance, states and provinces can utilize the federated structure to verify compliance with local interconnection rules and incentives, while ISO/RTOs can access standardized data formats to fulfill FERC Order 2222 requirements for DER aggregations in wholesale markets. This interoperability would streamline reporting and reduce administrative burdens, as evidenced by the coordination strategies highlighted in NERC </w:t>
      </w:r>
      <w:proofErr w:type="spellStart"/>
      <w:r>
        <w:t>SPIDERWG</w:t>
      </w:r>
      <w:proofErr w:type="spellEnd"/>
      <w:r>
        <w:t xml:space="preserve"> white papers on transmission-distribution interfaces. Furthermore, integration with FERC mandates, including Orders 2222-A and 2222-B, would facilitate tariff compliance and barrier removal, enabling more effective participation of DERs in capacity, energy, and ancillary services.   Further, revisions to NERC MOD-032 Data for Power System Modeling and Analysis proposed by NERC to address FERC Order No. 901 will require jurisdictional entities to incorporate certain DER-related information as part of transmission planning processes to support reliability. A DER Entity Registry can help jurisdictional bulk electric entities identify and authenticate appropriate parties to obtain this information, such as aggregators who are not subject to NERC requirements. Given the existing wide variances in the availability and quality of DER-related information, NAESB Business Practice Standards can create a consistent approach for data compatibility that can increase the consistency and uniformity of data, helping to improve the accuracy of the transmission planning processes that use this information</w:t>
      </w:r>
    </w:p>
    <w:p w14:paraId="6E2D28BE" w14:textId="77777777" w:rsidR="0030611D" w:rsidRDefault="0030611D" w:rsidP="0030611D">
      <w:pPr>
        <w:pStyle w:val="BodyText"/>
      </w:pPr>
    </w:p>
    <w:p w14:paraId="55810412" w14:textId="77777777" w:rsidR="0030611D" w:rsidRDefault="0030611D" w:rsidP="0030611D">
      <w:pPr>
        <w:pStyle w:val="BodyText"/>
      </w:pPr>
      <w:r>
        <w:t>Additionally, NAESB's role would bolster compliance with US Treasury tax guidelines, such as those in IRS Notice 2026-15, by incorporating fields for prohibited foreign entity (PFE) attestations and material assistance cost ratios (</w:t>
      </w:r>
      <w:proofErr w:type="spellStart"/>
      <w:r>
        <w:t>MACR</w:t>
      </w:r>
      <w:proofErr w:type="spellEnd"/>
      <w:r>
        <w:t>), enabling taxpayers to substantiate eligibility for energy credits under sections 45X, 45Y, and 48E. This integration would prevent credit disqualifications for DER projects involving foreign-sourced components, adding economic value to the registry. Moreover, embedding NIST cybersecurity frameworks would safeguard sensitive data exchanges, aligning with FERC's emphasis on resilience in Order 901 for inverter-based resources. Overall, these alignments would create a secure, scalable platform that not only meets regulatory demands but also accelerates the transition to a distributed energy future.</w:t>
      </w:r>
    </w:p>
    <w:p w14:paraId="51861AE7" w14:textId="77777777" w:rsidR="0030611D" w:rsidRDefault="0030611D" w:rsidP="0030611D">
      <w:pPr>
        <w:pStyle w:val="BodyText"/>
      </w:pPr>
    </w:p>
    <w:p w14:paraId="20C2ED22" w14:textId="77777777" w:rsidR="0030611D" w:rsidRDefault="0030611D" w:rsidP="0030611D">
      <w:pPr>
        <w:pStyle w:val="BodyText"/>
      </w:pPr>
      <w:r>
        <w:t>Respectively submitted by</w:t>
      </w:r>
    </w:p>
    <w:p w14:paraId="710FE353" w14:textId="77777777" w:rsidR="0030611D" w:rsidRDefault="0030611D" w:rsidP="0030611D">
      <w:pPr>
        <w:pStyle w:val="BodyText"/>
      </w:pPr>
      <w:r>
        <w:t>Cade Burks</w:t>
      </w:r>
    </w:p>
    <w:p w14:paraId="16383EFE" w14:textId="0ADB50E6" w:rsidR="0030611D" w:rsidRDefault="0030611D" w:rsidP="0030611D">
      <w:pPr>
        <w:pStyle w:val="BodyText"/>
        <w:sectPr w:rsidR="0030611D" w:rsidSect="005D015E">
          <w:pgSz w:w="12240" w:h="15840" w:code="1"/>
          <w:pgMar w:top="1440" w:right="1440" w:bottom="1440" w:left="1440" w:header="432" w:footer="432" w:gutter="0"/>
          <w:cols w:space="720"/>
          <w:titlePg/>
          <w:docGrid w:linePitch="272"/>
        </w:sectPr>
      </w:pPr>
      <w:r>
        <w:t>Board of Directors Vice Chair of the Retail Market Quadrant</w:t>
      </w:r>
    </w:p>
    <w:p w14:paraId="4B444C84" w14:textId="1ABB2C6C" w:rsidR="0030611D" w:rsidRDefault="0030611D" w:rsidP="0030611D">
      <w:pPr>
        <w:pStyle w:val="BodyText"/>
        <w:rPr>
          <w:noProof/>
        </w:rPr>
      </w:pPr>
    </w:p>
    <w:p w14:paraId="554FEEA1" w14:textId="2A77D83E" w:rsidR="005D015E" w:rsidRDefault="005D015E" w:rsidP="0030611D">
      <w:pPr>
        <w:pStyle w:val="BodyText"/>
        <w:rPr>
          <w:noProof/>
        </w:rPr>
      </w:pPr>
      <w:r>
        <w:rPr>
          <w:noProof/>
        </w:rPr>
        <w:drawing>
          <wp:anchor distT="0" distB="0" distL="0" distR="0" simplePos="0" relativeHeight="251659264" behindDoc="0" locked="0" layoutInCell="1" allowOverlap="1" wp14:anchorId="2896259D" wp14:editId="1EFA3937">
            <wp:simplePos x="0" y="0"/>
            <wp:positionH relativeFrom="page">
              <wp:posOffset>5448300</wp:posOffset>
            </wp:positionH>
            <wp:positionV relativeFrom="paragraph">
              <wp:posOffset>198332</wp:posOffset>
            </wp:positionV>
            <wp:extent cx="1351170" cy="310896"/>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1170" cy="310896"/>
                    </a:xfrm>
                    <a:prstGeom prst="rect">
                      <a:avLst/>
                    </a:prstGeom>
                  </pic:spPr>
                </pic:pic>
              </a:graphicData>
            </a:graphic>
          </wp:anchor>
        </w:drawing>
      </w:r>
    </w:p>
    <w:p w14:paraId="083B343D" w14:textId="2ABCDD05" w:rsidR="005D015E" w:rsidRDefault="005D015E" w:rsidP="0030611D">
      <w:pPr>
        <w:pStyle w:val="BodyText"/>
        <w:rPr>
          <w:noProof/>
        </w:rPr>
      </w:pPr>
    </w:p>
    <w:p w14:paraId="375D8A46" w14:textId="77777777" w:rsidR="0030611D" w:rsidRDefault="0030611D" w:rsidP="0030611D">
      <w:pPr>
        <w:pStyle w:val="BodyText"/>
      </w:pPr>
      <w:r>
        <w:t>March 10, 2026</w:t>
      </w:r>
    </w:p>
    <w:p w14:paraId="1A8E7779" w14:textId="77777777" w:rsidR="0030611D" w:rsidRDefault="0030611D" w:rsidP="0030611D">
      <w:pPr>
        <w:pStyle w:val="BodyText"/>
      </w:pPr>
    </w:p>
    <w:p w14:paraId="668A20D7" w14:textId="77777777" w:rsidR="0030611D" w:rsidRDefault="0030611D" w:rsidP="0030611D">
      <w:pPr>
        <w:pStyle w:val="BodyText"/>
      </w:pPr>
      <w:r>
        <w:t>North American Energy Standards Board 1415 Louisiana Street</w:t>
      </w:r>
    </w:p>
    <w:p w14:paraId="5C1AC7AC" w14:textId="77777777" w:rsidR="0030611D" w:rsidRDefault="0030611D" w:rsidP="0030611D">
      <w:pPr>
        <w:pStyle w:val="BodyText"/>
      </w:pPr>
      <w:r>
        <w:t>Suite 3460</w:t>
      </w:r>
    </w:p>
    <w:p w14:paraId="0A6AFD16" w14:textId="77777777" w:rsidR="0030611D" w:rsidRDefault="0030611D" w:rsidP="0030611D">
      <w:pPr>
        <w:pStyle w:val="BodyText"/>
      </w:pPr>
      <w:r>
        <w:t>Houston, TX 77002 Dear Sir/Madam,</w:t>
      </w:r>
    </w:p>
    <w:p w14:paraId="457BE22D" w14:textId="77777777" w:rsidR="0030611D" w:rsidRDefault="0030611D" w:rsidP="0030611D">
      <w:pPr>
        <w:pStyle w:val="BodyText"/>
      </w:pPr>
      <w:r>
        <w:t>The North American Electric Reliability Corporation (NERC) supports the development of a distributed energy resource (DER) registry. Such a registry could contribute to reliability as it may facilitate bulk power system (BPS) system modeling by NERC and transmission entities.</w:t>
      </w:r>
    </w:p>
    <w:p w14:paraId="3CA0A021" w14:textId="77777777" w:rsidR="0030611D" w:rsidRDefault="0030611D" w:rsidP="0030611D">
      <w:pPr>
        <w:pStyle w:val="BodyText"/>
      </w:pPr>
    </w:p>
    <w:p w14:paraId="792BEC46" w14:textId="77777777" w:rsidR="0030611D" w:rsidRDefault="0030611D" w:rsidP="0030611D">
      <w:pPr>
        <w:pStyle w:val="BodyText"/>
      </w:pPr>
      <w:r>
        <w:t>NERC’s past work has highlighted that a single system-of-record could facilitate coordination across the necessary stakeholders.1 For instance, a system-of-record could be used to track the growing aggregate capabilities, conﬁgurations, controls, and conditions of DERs, in addition to other pertinent information. Transmission Planner and Planning Coordinator models could leverage this modeling information when implementing NERC Reliability Standards developed in response to FERC Order No. 901.</w:t>
      </w:r>
    </w:p>
    <w:p w14:paraId="251434EA" w14:textId="77777777" w:rsidR="0030611D" w:rsidRDefault="0030611D" w:rsidP="0030611D">
      <w:pPr>
        <w:pStyle w:val="BodyText"/>
      </w:pPr>
    </w:p>
    <w:p w14:paraId="133EB5AD" w14:textId="77777777" w:rsidR="0030611D" w:rsidRDefault="0030611D" w:rsidP="0030611D">
      <w:pPr>
        <w:pStyle w:val="BodyText"/>
      </w:pPr>
      <w:r>
        <w:t>Thus, NERC supports development of the DER registry as it could help industry monitor and assess the potential BPS impacts surrounding aggregate DER growth. Should you have any further questions, please contact me at your earliest convenience.</w:t>
      </w:r>
    </w:p>
    <w:p w14:paraId="67CC57F5" w14:textId="77777777" w:rsidR="0030611D" w:rsidRDefault="0030611D" w:rsidP="0030611D">
      <w:pPr>
        <w:pStyle w:val="BodyText"/>
      </w:pPr>
    </w:p>
    <w:p w14:paraId="25572EFE" w14:textId="77777777" w:rsidR="0030611D" w:rsidRDefault="0030611D" w:rsidP="0030611D">
      <w:pPr>
        <w:pStyle w:val="BodyText"/>
      </w:pPr>
      <w:r>
        <w:t>Sincerely,</w:t>
      </w:r>
    </w:p>
    <w:p w14:paraId="1CB289B6" w14:textId="77777777" w:rsidR="0030611D" w:rsidRDefault="0030611D" w:rsidP="0030611D">
      <w:pPr>
        <w:pStyle w:val="BodyText"/>
      </w:pPr>
    </w:p>
    <w:p w14:paraId="0859D0E1" w14:textId="77777777" w:rsidR="0030611D" w:rsidRDefault="0030611D" w:rsidP="0030611D">
      <w:pPr>
        <w:pStyle w:val="BodyText"/>
      </w:pPr>
    </w:p>
    <w:p w14:paraId="78AEFF55" w14:textId="77777777" w:rsidR="0030611D" w:rsidRDefault="0030611D" w:rsidP="0030611D">
      <w:pPr>
        <w:pStyle w:val="BodyText"/>
      </w:pPr>
      <w:r>
        <w:t>/s/ Latrice Harkness</w:t>
      </w:r>
      <w:r>
        <w:tab/>
      </w:r>
    </w:p>
    <w:p w14:paraId="6C865789" w14:textId="77777777" w:rsidR="0030611D" w:rsidRDefault="0030611D" w:rsidP="0030611D">
      <w:pPr>
        <w:pStyle w:val="BodyText"/>
      </w:pPr>
    </w:p>
    <w:p w14:paraId="78D9261E" w14:textId="77777777" w:rsidR="0030611D" w:rsidRDefault="0030611D" w:rsidP="0030611D">
      <w:pPr>
        <w:pStyle w:val="BodyText"/>
      </w:pPr>
      <w:r>
        <w:t>Latrice Harkness</w:t>
      </w:r>
    </w:p>
    <w:p w14:paraId="3D9836C6" w14:textId="77777777" w:rsidR="0030611D" w:rsidRDefault="0030611D" w:rsidP="0030611D">
      <w:pPr>
        <w:pStyle w:val="BodyText"/>
      </w:pPr>
      <w:r>
        <w:t>Director of Engineering, Engineering</w:t>
      </w:r>
    </w:p>
    <w:p w14:paraId="137A16BC" w14:textId="77777777" w:rsidR="0030611D" w:rsidRDefault="0030611D" w:rsidP="0030611D">
      <w:pPr>
        <w:pStyle w:val="BodyText"/>
      </w:pPr>
      <w:r>
        <w:t>North American Electric Reliability Corporation</w:t>
      </w:r>
    </w:p>
    <w:p w14:paraId="4DC6E4BE" w14:textId="77777777" w:rsidR="0030611D" w:rsidRDefault="0030611D" w:rsidP="0030611D">
      <w:pPr>
        <w:pStyle w:val="BodyText"/>
      </w:pPr>
      <w:r>
        <w:t>404-446-9728 oﬃce</w:t>
      </w:r>
    </w:p>
    <w:p w14:paraId="40C0257A" w14:textId="7DCD1B6E" w:rsidR="0030611D" w:rsidRDefault="005D015E" w:rsidP="0030611D">
      <w:pPr>
        <w:pStyle w:val="BodyText"/>
      </w:pPr>
      <w:hyperlink r:id="rId17" w:history="1">
        <w:r w:rsidRPr="006030C1">
          <w:rPr>
            <w:rStyle w:val="Hyperlink"/>
          </w:rPr>
          <w:t>latrice.harkness@nerc.net</w:t>
        </w:r>
      </w:hyperlink>
    </w:p>
    <w:p w14:paraId="50A02162" w14:textId="77777777" w:rsidR="005D015E" w:rsidRDefault="005D015E" w:rsidP="0030611D">
      <w:pPr>
        <w:pStyle w:val="BodyText"/>
        <w:sectPr w:rsidR="005D015E" w:rsidSect="005D015E">
          <w:pgSz w:w="12240" w:h="15840" w:code="1"/>
          <w:pgMar w:top="1440" w:right="1440" w:bottom="1440" w:left="1440" w:header="432" w:footer="432" w:gutter="0"/>
          <w:cols w:space="720"/>
          <w:titlePg/>
          <w:docGrid w:linePitch="272"/>
        </w:sectPr>
      </w:pPr>
    </w:p>
    <w:p w14:paraId="75C29A75" w14:textId="1A97CC4B" w:rsidR="005D015E" w:rsidRDefault="005D015E" w:rsidP="005D015E">
      <w:pPr>
        <w:pStyle w:val="BodyText"/>
      </w:pPr>
      <w:r>
        <w:rPr>
          <w:noProof/>
        </w:rPr>
        <w:lastRenderedPageBreak/>
        <w:drawing>
          <wp:inline distT="0" distB="0" distL="0" distR="0" wp14:anchorId="6BC0D640" wp14:editId="3CF574EA">
            <wp:extent cx="1779905" cy="347345"/>
            <wp:effectExtent l="0" t="0" r="0" b="0"/>
            <wp:docPr id="85632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9905" cy="347345"/>
                    </a:xfrm>
                    <a:prstGeom prst="rect">
                      <a:avLst/>
                    </a:prstGeom>
                    <a:noFill/>
                  </pic:spPr>
                </pic:pic>
              </a:graphicData>
            </a:graphic>
          </wp:inline>
        </w:drawing>
      </w:r>
      <w:r>
        <w:tab/>
      </w:r>
      <w:r>
        <w:tab/>
      </w:r>
      <w:r>
        <w:tab/>
      </w:r>
      <w:r>
        <w:tab/>
        <w:t>10 Krey Boulevard, Rensselaer, NY 12144</w:t>
      </w:r>
    </w:p>
    <w:p w14:paraId="2D623796" w14:textId="45AC70D1" w:rsidR="005D015E" w:rsidRDefault="005D015E" w:rsidP="005D015E">
      <w:pPr>
        <w:pStyle w:val="BodyText"/>
        <w:ind w:left="4320" w:firstLine="720"/>
      </w:pPr>
      <w:r>
        <w:t xml:space="preserve">Ph: </w:t>
      </w:r>
      <w:proofErr w:type="gramStart"/>
      <w:r>
        <w:t>518.356.6000  |</w:t>
      </w:r>
      <w:proofErr w:type="gramEnd"/>
      <w:r>
        <w:t xml:space="preserve">  Fax: 518.356.8899</w:t>
      </w:r>
    </w:p>
    <w:p w14:paraId="5E599883" w14:textId="77777777" w:rsidR="005D015E" w:rsidRDefault="005D015E" w:rsidP="005D015E">
      <w:pPr>
        <w:pStyle w:val="BodyText"/>
      </w:pPr>
    </w:p>
    <w:p w14:paraId="4B88D864" w14:textId="2BFB2F7D" w:rsidR="005D015E" w:rsidRDefault="005D015E" w:rsidP="005D015E">
      <w:pPr>
        <w:pStyle w:val="BodyText"/>
      </w:pPr>
      <w:r>
        <w:t>The New York Independent System Operator (“</w:t>
      </w:r>
      <w:proofErr w:type="spellStart"/>
      <w:r>
        <w:t>NYISO</w:t>
      </w:r>
      <w:proofErr w:type="spellEnd"/>
      <w:r>
        <w:t>”) submits these comments for consideration to the North American Energy Standards Board (“NAESB”) in response to the February 17, 2026 Joint WEQ/RMQ Business Practices Subcommittees Informal Comment Period.</w:t>
      </w:r>
    </w:p>
    <w:p w14:paraId="5BE24733" w14:textId="77777777" w:rsidR="005D015E" w:rsidRDefault="005D015E" w:rsidP="005D015E">
      <w:pPr>
        <w:pStyle w:val="BodyText"/>
      </w:pPr>
    </w:p>
    <w:p w14:paraId="304DB1DC" w14:textId="226831A8" w:rsidR="005D015E" w:rsidRDefault="005D015E" w:rsidP="005D015E">
      <w:pPr>
        <w:pStyle w:val="BodyText"/>
      </w:pPr>
      <w:r>
        <w:t xml:space="preserve">The </w:t>
      </w:r>
      <w:proofErr w:type="spellStart"/>
      <w:r>
        <w:t>NYISO</w:t>
      </w:r>
      <w:proofErr w:type="spellEnd"/>
      <w:r>
        <w:t xml:space="preserve"> Distributed Energy Resources (“DER”) participation model was implemented on April 16, 2024. This participation model allows facilities of two or more different technology types located behind a single point of interconnection with a maximum Injection Limit of 20 MW, Generators with a maximum Injection Limit of 20 MW, and Demand Side Resources (“</w:t>
      </w:r>
      <w:proofErr w:type="spellStart"/>
      <w:r>
        <w:t>DSRs</w:t>
      </w:r>
      <w:proofErr w:type="spellEnd"/>
      <w:r>
        <w:t xml:space="preserve">”) of any size to provide Installed Capacity, Energy, and Ancillary Services in the </w:t>
      </w:r>
      <w:proofErr w:type="spellStart"/>
      <w:r>
        <w:t>NYISO</w:t>
      </w:r>
      <w:proofErr w:type="spellEnd"/>
      <w:r>
        <w:t xml:space="preserve"> markets, subject to qualification. The </w:t>
      </w:r>
      <w:proofErr w:type="spellStart"/>
      <w:r>
        <w:t>NYISO</w:t>
      </w:r>
      <w:proofErr w:type="spellEnd"/>
      <w:r>
        <w:t xml:space="preserve"> Market Services Tariff (“MST”) and Open Access Transmission Tarriff (“</w:t>
      </w:r>
      <w:proofErr w:type="spellStart"/>
      <w:r>
        <w:t>OATT</w:t>
      </w:r>
      <w:proofErr w:type="spellEnd"/>
      <w:r>
        <w:t xml:space="preserve">”) include program rules, while the Aggregation Manual includes additional information: </w:t>
      </w:r>
      <w:hyperlink r:id="rId19" w:history="1">
        <w:r w:rsidRPr="006030C1">
          <w:rPr>
            <w:rStyle w:val="Hyperlink"/>
          </w:rPr>
          <w:t>https://www.nyiso.com/documents/20142/2923301/M-38-Aggregation-Final-v1-0.pdf/</w:t>
        </w:r>
      </w:hyperlink>
      <w:r>
        <w:t xml:space="preserve">.  The </w:t>
      </w:r>
      <w:proofErr w:type="spellStart"/>
      <w:r>
        <w:t>NYISO</w:t>
      </w:r>
      <w:proofErr w:type="spellEnd"/>
      <w:r>
        <w:t xml:space="preserve"> is targeting full compliance with FERC Order 2222 in early 2027.</w:t>
      </w:r>
    </w:p>
    <w:p w14:paraId="1720DA43" w14:textId="77777777" w:rsidR="005D015E" w:rsidRDefault="005D015E" w:rsidP="005D015E">
      <w:pPr>
        <w:pStyle w:val="BodyText"/>
      </w:pPr>
    </w:p>
    <w:p w14:paraId="09D1FB0B" w14:textId="77777777" w:rsidR="005D015E" w:rsidRDefault="005D015E" w:rsidP="005D015E">
      <w:pPr>
        <w:pStyle w:val="BodyText"/>
        <w:sectPr w:rsidR="005D015E" w:rsidSect="005D015E">
          <w:pgSz w:w="12240" w:h="15840" w:code="1"/>
          <w:pgMar w:top="1440" w:right="1440" w:bottom="1440" w:left="1440" w:header="432" w:footer="432" w:gutter="0"/>
          <w:cols w:space="720"/>
          <w:titlePg/>
          <w:docGrid w:linePitch="272"/>
        </w:sectPr>
      </w:pPr>
    </w:p>
    <w:p w14:paraId="4A936BE9" w14:textId="77777777" w:rsidR="00895850" w:rsidRPr="00895850" w:rsidRDefault="00895850" w:rsidP="00895850">
      <w:pPr>
        <w:pStyle w:val="BodyText"/>
        <w:jc w:val="center"/>
        <w:rPr>
          <w:b/>
          <w:bCs/>
        </w:rPr>
      </w:pPr>
      <w:r w:rsidRPr="00895850">
        <w:rPr>
          <w:b/>
          <w:bCs/>
        </w:rPr>
        <w:lastRenderedPageBreak/>
        <w:t>Organization of MISO States Distributed Energy Resources Work Group NAESB Concept Paper: DER Entity Registry</w:t>
      </w:r>
    </w:p>
    <w:p w14:paraId="149F9D58" w14:textId="77777777" w:rsidR="00895850" w:rsidRPr="00895850" w:rsidRDefault="00895850" w:rsidP="00895850">
      <w:pPr>
        <w:pStyle w:val="BodyText"/>
        <w:jc w:val="center"/>
        <w:rPr>
          <w:b/>
          <w:bCs/>
        </w:rPr>
      </w:pPr>
      <w:r w:rsidRPr="00895850">
        <w:rPr>
          <w:b/>
          <w:bCs/>
        </w:rPr>
        <w:t>March 10, 2026</w:t>
      </w:r>
    </w:p>
    <w:p w14:paraId="4A63E853" w14:textId="77777777" w:rsidR="00895850" w:rsidRDefault="00895850" w:rsidP="00895850">
      <w:pPr>
        <w:pStyle w:val="BodyText"/>
      </w:pPr>
    </w:p>
    <w:p w14:paraId="75D48A32" w14:textId="21D8CF9E" w:rsidR="00895850" w:rsidRDefault="00895850" w:rsidP="00895850">
      <w:pPr>
        <w:pStyle w:val="BodyText"/>
      </w:pPr>
      <w:r>
        <w:t>The Organization of MISO States DER Work Group (OMS DER Work Group) appreciates the opportunity to provide feedback to the NAESB Joint Wholesale Electric Quadrant (WEQ) and Retail Markets Quadrant (RMQ) Business Practices Subcommittees (BPS) regarding their Concept Paper on the creation of a DER Entity Registry and development of related NAESB Business Practice Standards.</w:t>
      </w:r>
      <w:r>
        <w:rPr>
          <w:rStyle w:val="FootnoteReference"/>
        </w:rPr>
        <w:footnoteReference w:id="2"/>
      </w:r>
      <w:r>
        <w:t xml:space="preserve"> For the past several years, OMS has prioritized DER integration and Order 2222 compliance,</w:t>
      </w:r>
      <w:r>
        <w:rPr>
          <w:rStyle w:val="FootnoteReference"/>
        </w:rPr>
        <w:footnoteReference w:id="3"/>
      </w:r>
      <w:r>
        <w:t xml:space="preserve"> collaborated with MISO and stakeholders at the MISO DER Task Force,</w:t>
      </w:r>
      <w:r>
        <w:rPr>
          <w:rStyle w:val="FootnoteReference"/>
        </w:rPr>
        <w:footnoteReference w:id="4"/>
      </w:r>
      <w:r>
        <w:t xml:space="preserve"> and conducted an annual OMS DER Survey to identify DER growth, operational challenges, and best practices.</w:t>
      </w:r>
      <w:r>
        <w:rPr>
          <w:rStyle w:val="FootnoteReference"/>
        </w:rPr>
        <w:footnoteReference w:id="5"/>
      </w:r>
    </w:p>
    <w:p w14:paraId="75C69C64" w14:textId="77777777" w:rsidR="00895850" w:rsidRDefault="00895850" w:rsidP="00895850">
      <w:pPr>
        <w:pStyle w:val="BodyText"/>
      </w:pPr>
    </w:p>
    <w:p w14:paraId="5F6AAED3" w14:textId="77777777" w:rsidR="00895850" w:rsidRDefault="00895850" w:rsidP="00895850">
      <w:pPr>
        <w:pStyle w:val="BodyText"/>
      </w:pPr>
      <w:r>
        <w:t>The topics in this concept paper mirror the concerns and priorities that OMS has identified in recent years. Specifically, OMS has found that a centralized repository of DER information and clear data- sharing standards is foundational to successful implementation of FERC Order No. 2222, as well as the broader landscape of retail and wholesale DER activities. Below, the OMS DER Work Group provides specific responses to the questions posed in NAESB Joint WEQ and RMQ BPS’s Request for Informal Comments.</w:t>
      </w:r>
    </w:p>
    <w:p w14:paraId="4EC5D589" w14:textId="77777777" w:rsidR="00500D1D" w:rsidRDefault="00500D1D" w:rsidP="005D015E">
      <w:pPr>
        <w:pStyle w:val="BodyText"/>
        <w:sectPr w:rsidR="00500D1D" w:rsidSect="005D015E">
          <w:pgSz w:w="12240" w:h="15840" w:code="1"/>
          <w:pgMar w:top="1440" w:right="1440" w:bottom="1440" w:left="1440" w:header="432" w:footer="432" w:gutter="0"/>
          <w:cols w:space="720"/>
          <w:titlePg/>
          <w:docGrid w:linePitch="272"/>
        </w:sectPr>
      </w:pPr>
    </w:p>
    <w:p w14:paraId="589C1C63" w14:textId="50162395" w:rsidR="00F377B0" w:rsidRPr="00500D1D" w:rsidRDefault="00F377B0" w:rsidP="00F377B0">
      <w:pPr>
        <w:widowControl w:val="0"/>
        <w:autoSpaceDE w:val="0"/>
        <w:autoSpaceDN w:val="0"/>
        <w:spacing w:before="105"/>
        <w:ind w:right="113"/>
        <w:jc w:val="right"/>
        <w:rPr>
          <w:rFonts w:ascii="Lucida Sans" w:eastAsia="Arial" w:hAnsi="Arial" w:cs="Arial"/>
          <w:sz w:val="18"/>
          <w:szCs w:val="22"/>
          <w:lang w:bidi="en-US"/>
        </w:rPr>
      </w:pPr>
      <w:r>
        <w:rPr>
          <w:rFonts w:ascii="Lucida Sans" w:eastAsia="Arial" w:hAnsi="Arial" w:cs="Arial"/>
          <w:noProof/>
          <w:color w:val="174623"/>
          <w:w w:val="95"/>
          <w:sz w:val="18"/>
          <w:szCs w:val="22"/>
          <w:lang w:bidi="en-US"/>
        </w:rPr>
        <w:lastRenderedPageBreak/>
        <w:drawing>
          <wp:anchor distT="0" distB="0" distL="114300" distR="114300" simplePos="0" relativeHeight="251660288" behindDoc="1" locked="0" layoutInCell="1" allowOverlap="1" wp14:anchorId="33CDADA0" wp14:editId="2D0CC7C9">
            <wp:simplePos x="0" y="0"/>
            <wp:positionH relativeFrom="column">
              <wp:posOffset>-49530</wp:posOffset>
            </wp:positionH>
            <wp:positionV relativeFrom="paragraph">
              <wp:posOffset>0</wp:posOffset>
            </wp:positionV>
            <wp:extent cx="1962785" cy="762000"/>
            <wp:effectExtent l="0" t="0" r="0" b="0"/>
            <wp:wrapTight wrapText="bothSides">
              <wp:wrapPolygon edited="0">
                <wp:start x="3983" y="0"/>
                <wp:lineTo x="839" y="6480"/>
                <wp:lineTo x="0" y="8640"/>
                <wp:lineTo x="0" y="10800"/>
                <wp:lineTo x="1467" y="18360"/>
                <wp:lineTo x="3145" y="21060"/>
                <wp:lineTo x="5660" y="21060"/>
                <wp:lineTo x="16981" y="18900"/>
                <wp:lineTo x="21174" y="9720"/>
                <wp:lineTo x="21383" y="2700"/>
                <wp:lineTo x="19497" y="1620"/>
                <wp:lineTo x="4822" y="0"/>
                <wp:lineTo x="3983" y="0"/>
              </wp:wrapPolygon>
            </wp:wrapTight>
            <wp:docPr id="2042749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785" cy="762000"/>
                    </a:xfrm>
                    <a:prstGeom prst="rect">
                      <a:avLst/>
                    </a:prstGeom>
                    <a:noFill/>
                  </pic:spPr>
                </pic:pic>
              </a:graphicData>
            </a:graphic>
          </wp:anchor>
        </w:drawing>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Pr>
          <w:rFonts w:ascii="Lucida Sans" w:eastAsia="Arial" w:hAnsi="Arial" w:cs="Arial"/>
          <w:color w:val="174623"/>
          <w:w w:val="95"/>
          <w:sz w:val="18"/>
          <w:szCs w:val="22"/>
          <w:lang w:bidi="en-US"/>
        </w:rPr>
        <w:tab/>
      </w:r>
      <w:r w:rsidRPr="00500D1D">
        <w:rPr>
          <w:rFonts w:ascii="Lucida Sans" w:eastAsia="Arial" w:hAnsi="Arial" w:cs="Arial"/>
          <w:color w:val="174623"/>
          <w:w w:val="95"/>
          <w:sz w:val="18"/>
          <w:szCs w:val="22"/>
          <w:lang w:bidi="en-US"/>
        </w:rPr>
        <w:t>2101</w:t>
      </w:r>
      <w:r w:rsidRPr="00500D1D">
        <w:rPr>
          <w:rFonts w:ascii="Lucida Sans" w:eastAsia="Arial" w:hAnsi="Arial" w:cs="Arial"/>
          <w:color w:val="174623"/>
          <w:spacing w:val="-25"/>
          <w:w w:val="95"/>
          <w:sz w:val="18"/>
          <w:szCs w:val="22"/>
          <w:lang w:bidi="en-US"/>
        </w:rPr>
        <w:t xml:space="preserve"> </w:t>
      </w:r>
      <w:r w:rsidRPr="00500D1D">
        <w:rPr>
          <w:rFonts w:ascii="Lucida Sans" w:eastAsia="Arial" w:hAnsi="Arial" w:cs="Arial"/>
          <w:color w:val="174623"/>
          <w:w w:val="95"/>
          <w:sz w:val="18"/>
          <w:szCs w:val="22"/>
          <w:lang w:bidi="en-US"/>
        </w:rPr>
        <w:t>Webster</w:t>
      </w:r>
      <w:r w:rsidRPr="00500D1D">
        <w:rPr>
          <w:rFonts w:ascii="Lucida Sans" w:eastAsia="Arial" w:hAnsi="Arial" w:cs="Arial"/>
          <w:color w:val="174623"/>
          <w:spacing w:val="-25"/>
          <w:w w:val="95"/>
          <w:sz w:val="18"/>
          <w:szCs w:val="22"/>
          <w:lang w:bidi="en-US"/>
        </w:rPr>
        <w:t xml:space="preserve"> </w:t>
      </w:r>
      <w:r w:rsidRPr="00500D1D">
        <w:rPr>
          <w:rFonts w:ascii="Lucida Sans" w:eastAsia="Arial" w:hAnsi="Arial" w:cs="Arial"/>
          <w:color w:val="174623"/>
          <w:w w:val="95"/>
          <w:sz w:val="18"/>
          <w:szCs w:val="22"/>
          <w:lang w:bidi="en-US"/>
        </w:rPr>
        <w:t>St.</w:t>
      </w:r>
    </w:p>
    <w:p w14:paraId="77F9D5A8" w14:textId="77777777" w:rsidR="00F377B0" w:rsidRPr="00500D1D" w:rsidRDefault="00F377B0" w:rsidP="00F377B0">
      <w:pPr>
        <w:widowControl w:val="0"/>
        <w:autoSpaceDE w:val="0"/>
        <w:autoSpaceDN w:val="0"/>
        <w:spacing w:before="4"/>
        <w:ind w:right="114"/>
        <w:jc w:val="right"/>
        <w:rPr>
          <w:rFonts w:ascii="Lucida Sans" w:eastAsia="Arial" w:hAnsi="Arial" w:cs="Arial"/>
          <w:sz w:val="18"/>
          <w:szCs w:val="22"/>
          <w:lang w:bidi="en-US"/>
        </w:rPr>
      </w:pPr>
      <w:r w:rsidRPr="00500D1D">
        <w:rPr>
          <w:rFonts w:ascii="Lucida Sans" w:eastAsia="Arial" w:hAnsi="Arial" w:cs="Arial"/>
          <w:color w:val="174623"/>
          <w:w w:val="90"/>
          <w:sz w:val="18"/>
          <w:szCs w:val="22"/>
          <w:lang w:bidi="en-US"/>
        </w:rPr>
        <w:t>Suite</w:t>
      </w:r>
      <w:r w:rsidRPr="00500D1D">
        <w:rPr>
          <w:rFonts w:ascii="Lucida Sans" w:eastAsia="Arial" w:hAnsi="Arial" w:cs="Arial"/>
          <w:color w:val="174623"/>
          <w:spacing w:val="6"/>
          <w:w w:val="90"/>
          <w:sz w:val="18"/>
          <w:szCs w:val="22"/>
          <w:lang w:bidi="en-US"/>
        </w:rPr>
        <w:t xml:space="preserve"> </w:t>
      </w:r>
      <w:r w:rsidRPr="00500D1D">
        <w:rPr>
          <w:rFonts w:ascii="Lucida Sans" w:eastAsia="Arial" w:hAnsi="Arial" w:cs="Arial"/>
          <w:color w:val="174623"/>
          <w:w w:val="90"/>
          <w:sz w:val="18"/>
          <w:szCs w:val="22"/>
          <w:lang w:bidi="en-US"/>
        </w:rPr>
        <w:t>1300</w:t>
      </w:r>
    </w:p>
    <w:p w14:paraId="46868A1D" w14:textId="7258B49F" w:rsidR="00F377B0" w:rsidRPr="00500D1D" w:rsidRDefault="00F377B0" w:rsidP="00F377B0">
      <w:pPr>
        <w:widowControl w:val="0"/>
        <w:autoSpaceDE w:val="0"/>
        <w:autoSpaceDN w:val="0"/>
        <w:spacing w:before="4"/>
        <w:ind w:right="113"/>
        <w:jc w:val="right"/>
        <w:rPr>
          <w:rFonts w:ascii="Lucida Sans" w:eastAsia="Arial" w:hAnsi="Arial" w:cs="Arial"/>
          <w:sz w:val="18"/>
          <w:szCs w:val="22"/>
          <w:lang w:bidi="en-US"/>
        </w:rPr>
      </w:pPr>
      <w:r w:rsidRPr="00500D1D">
        <w:rPr>
          <w:rFonts w:ascii="Lucida Sans" w:eastAsia="Arial" w:hAnsi="Arial" w:cs="Arial"/>
          <w:color w:val="174623"/>
          <w:w w:val="90"/>
          <w:sz w:val="18"/>
          <w:szCs w:val="22"/>
          <w:lang w:bidi="en-US"/>
        </w:rPr>
        <w:t>Oakland, CA</w:t>
      </w:r>
      <w:r w:rsidRPr="00500D1D">
        <w:rPr>
          <w:rFonts w:ascii="Lucida Sans" w:eastAsia="Arial" w:hAnsi="Arial" w:cs="Arial"/>
          <w:color w:val="174623"/>
          <w:spacing w:val="-20"/>
          <w:w w:val="90"/>
          <w:sz w:val="18"/>
          <w:szCs w:val="22"/>
          <w:lang w:bidi="en-US"/>
        </w:rPr>
        <w:t xml:space="preserve"> </w:t>
      </w:r>
      <w:r w:rsidRPr="00500D1D">
        <w:rPr>
          <w:rFonts w:ascii="Lucida Sans" w:eastAsia="Arial" w:hAnsi="Arial" w:cs="Arial"/>
          <w:color w:val="174623"/>
          <w:w w:val="90"/>
          <w:sz w:val="18"/>
          <w:szCs w:val="22"/>
          <w:lang w:bidi="en-US"/>
        </w:rPr>
        <w:t>94612</w:t>
      </w:r>
    </w:p>
    <w:p w14:paraId="326D4C95" w14:textId="70450B4D" w:rsidR="00F377B0" w:rsidRPr="00500D1D" w:rsidRDefault="00F377B0" w:rsidP="00F377B0">
      <w:pPr>
        <w:widowControl w:val="0"/>
        <w:autoSpaceDE w:val="0"/>
        <w:autoSpaceDN w:val="0"/>
        <w:spacing w:before="1"/>
        <w:rPr>
          <w:rFonts w:ascii="Lucida Sans" w:eastAsia="Arial" w:hAnsi="Arial" w:cs="Arial"/>
          <w:sz w:val="19"/>
          <w:lang w:bidi="en-US"/>
        </w:rPr>
      </w:pPr>
    </w:p>
    <w:p w14:paraId="261FC600" w14:textId="3C5ED2D3" w:rsidR="00F377B0" w:rsidRPr="00500D1D" w:rsidRDefault="00F377B0" w:rsidP="00F377B0">
      <w:pPr>
        <w:widowControl w:val="0"/>
        <w:autoSpaceDE w:val="0"/>
        <w:autoSpaceDN w:val="0"/>
        <w:ind w:left="466"/>
        <w:jc w:val="right"/>
        <w:rPr>
          <w:rFonts w:ascii="Arial" w:eastAsia="Arial" w:hAnsi="Arial" w:cs="Arial"/>
          <w:b/>
          <w:sz w:val="18"/>
          <w:szCs w:val="22"/>
          <w:lang w:bidi="en-US"/>
        </w:rPr>
      </w:pPr>
      <w:r w:rsidRPr="00500D1D">
        <w:rPr>
          <w:rFonts w:ascii="Arial" w:eastAsia="Arial" w:hAnsi="Arial" w:cs="Arial"/>
          <w:b/>
          <w:color w:val="174623"/>
          <w:w w:val="95"/>
          <w:sz w:val="18"/>
          <w:szCs w:val="22"/>
          <w:lang w:bidi="en-US"/>
        </w:rPr>
        <w:t>SierraClub.org</w:t>
      </w:r>
    </w:p>
    <w:p w14:paraId="150173C4" w14:textId="2BFBA79F" w:rsidR="00500D1D" w:rsidRDefault="00F377B0" w:rsidP="00500D1D">
      <w:pPr>
        <w:widowControl w:val="0"/>
        <w:autoSpaceDE w:val="0"/>
        <w:autoSpaceDN w:val="0"/>
        <w:spacing w:before="105"/>
        <w:ind w:right="113"/>
        <w:rPr>
          <w:rFonts w:ascii="Lucida Sans" w:eastAsia="Arial" w:hAnsi="Arial" w:cs="Arial"/>
          <w:color w:val="174623"/>
          <w:w w:val="95"/>
          <w:sz w:val="18"/>
          <w:szCs w:val="22"/>
          <w:lang w:bidi="en-US"/>
        </w:rPr>
      </w:pPr>
      <w:r>
        <w:rPr>
          <w:rFonts w:ascii="Lucida Sans" w:eastAsia="Arial" w:hAnsi="Arial" w:cs="Arial"/>
          <w:color w:val="174623"/>
          <w:w w:val="95"/>
          <w:sz w:val="18"/>
          <w:szCs w:val="22"/>
          <w:lang w:bidi="en-US"/>
        </w:rPr>
        <w:tab/>
      </w:r>
    </w:p>
    <w:p w14:paraId="0DDA47AB" w14:textId="556618E7" w:rsidR="00500D1D" w:rsidRDefault="00500D1D" w:rsidP="00500D1D">
      <w:pPr>
        <w:pStyle w:val="BodyText"/>
      </w:pPr>
      <w:r>
        <w:tab/>
      </w:r>
      <w:r>
        <w:tab/>
      </w:r>
      <w:r>
        <w:tab/>
      </w:r>
      <w:r>
        <w:tab/>
      </w:r>
      <w:r>
        <w:tab/>
      </w:r>
      <w:r>
        <w:tab/>
      </w:r>
      <w:r>
        <w:tab/>
      </w:r>
      <w:r>
        <w:tab/>
      </w:r>
      <w:r>
        <w:tab/>
      </w:r>
    </w:p>
    <w:p w14:paraId="1685B6EF" w14:textId="33F66054" w:rsidR="00500D1D" w:rsidRDefault="00500D1D" w:rsidP="00500D1D">
      <w:pPr>
        <w:pStyle w:val="BodyText"/>
      </w:pPr>
      <w:r>
        <w:t>10 March 2026</w:t>
      </w:r>
    </w:p>
    <w:p w14:paraId="13918B09" w14:textId="380442DC" w:rsidR="00500D1D" w:rsidRDefault="00500D1D" w:rsidP="00500D1D">
      <w:pPr>
        <w:pStyle w:val="BodyText"/>
      </w:pPr>
      <w:r>
        <w:t>Re: DER Entity Registry and development of NAESB Business Practice Standards to Support Interoperability</w:t>
      </w:r>
    </w:p>
    <w:p w14:paraId="518F9D81" w14:textId="77777777" w:rsidR="00500D1D" w:rsidRDefault="00500D1D" w:rsidP="00500D1D">
      <w:pPr>
        <w:pStyle w:val="BodyText"/>
      </w:pPr>
    </w:p>
    <w:p w14:paraId="0D9A3169" w14:textId="77777777" w:rsidR="00500D1D" w:rsidRDefault="00500D1D" w:rsidP="00500D1D">
      <w:pPr>
        <w:pStyle w:val="BodyText"/>
      </w:pPr>
      <w:r>
        <w:t>Dear members of the WEQ BPS, RMQ BPS, and NAESB staff,</w:t>
      </w:r>
    </w:p>
    <w:p w14:paraId="6F6650EC" w14:textId="77777777" w:rsidR="00500D1D" w:rsidRDefault="00500D1D" w:rsidP="00500D1D">
      <w:pPr>
        <w:pStyle w:val="BodyText"/>
      </w:pPr>
    </w:p>
    <w:p w14:paraId="433B6E63" w14:textId="77777777" w:rsidR="00500D1D" w:rsidRDefault="00500D1D" w:rsidP="00500D1D">
      <w:pPr>
        <w:pStyle w:val="BodyText"/>
      </w:pPr>
      <w:r>
        <w:t>The Maryland Chapter of Sierra Club appreciates the opportunity to submit comments regarding the proposal for creation of a Distributed Energy Resources (DER) Entity Registry and development of NAESB Business Practice Standards to support interoperability in discussion within both the North American Energy Standards Board (NAESB) Wholesale Electric Quadrant Business Practices Subcommittee (WEQ BPS), as well as the Retail Markets Quadrant Business Practices Subcommittee (RMQ BPS).</w:t>
      </w:r>
    </w:p>
    <w:p w14:paraId="5A06A128" w14:textId="77777777" w:rsidR="00500D1D" w:rsidRDefault="00500D1D" w:rsidP="00500D1D">
      <w:pPr>
        <w:pStyle w:val="BodyText"/>
      </w:pPr>
    </w:p>
    <w:p w14:paraId="4B616987" w14:textId="77777777" w:rsidR="00500D1D" w:rsidRDefault="00500D1D" w:rsidP="00500D1D">
      <w:pPr>
        <w:pStyle w:val="BodyText"/>
      </w:pPr>
      <w:r w:rsidRPr="00F377B0">
        <w:rPr>
          <w:b/>
          <w:bCs/>
        </w:rPr>
        <w:t>The Maryland Chapter of the Sierra Club is a non-profit, member-led organization with over 13,000 members across the state of Maryland.</w:t>
      </w:r>
      <w:r>
        <w:t xml:space="preserve"> As an organization, we are committed to ensuring that the region’s energy future is reliable, affordable, and aligned with the health and economic well-being of the communities we serve. For these reasons, Sierra Club supports the move towards consistency regarding DERs throughout the United States, and particularly as it impacts Maryland. A DER Registry will facilitate the achievement of Maryland’s climate goals, including the Climate Solutions Now Act’s requirement to reduce emissions 60% by 2031, as well as renewable and energy storage targets codified in Maryland’s Renewable Portfolio Standard and Energy Storage Act.</w:t>
      </w:r>
    </w:p>
    <w:p w14:paraId="731A2C64" w14:textId="77777777" w:rsidR="00500D1D" w:rsidRDefault="00500D1D" w:rsidP="00500D1D">
      <w:pPr>
        <w:pStyle w:val="BodyText"/>
      </w:pPr>
    </w:p>
    <w:p w14:paraId="4E25FC0D" w14:textId="77777777" w:rsidR="00500D1D" w:rsidRDefault="00500D1D" w:rsidP="00500D1D">
      <w:pPr>
        <w:pStyle w:val="BodyText"/>
      </w:pPr>
      <w:r>
        <w:t>Enabling clean energy resources, including DER technologies, to supply power to the grid is a foundational and urgent prerequisite for achieving a just energy transition amidst the mounting threat of global climate change. We recognize that too often, administrative and operational challenges arise that stymie the addition and interoperability of these resources on the bulk power system. Further, a key opportunity for DER participation in energy markets is through aggregation. The disparate nature of reporting, lack of data transparency, and different accounting methods for DERs across various regions and utilities has resulted in unnecessary difficulty with coordinating and aggregation—and is ostensibly creating unnecessary barriers to—greater DER deployment.</w:t>
      </w:r>
    </w:p>
    <w:p w14:paraId="22436527" w14:textId="77777777" w:rsidR="00500D1D" w:rsidRDefault="00500D1D" w:rsidP="00500D1D">
      <w:pPr>
        <w:pStyle w:val="BodyText"/>
      </w:pPr>
    </w:p>
    <w:p w14:paraId="0E8C4843" w14:textId="77777777" w:rsidR="00500D1D" w:rsidRDefault="00500D1D" w:rsidP="00500D1D">
      <w:pPr>
        <w:pStyle w:val="BodyText"/>
      </w:pPr>
      <w:r>
        <w:t xml:space="preserve">We are particularly energized to see the move towards either (1) a national DER registry that would consolidate and standardize reporting and tracking protocols for nationwide DERs, or (2) enforcement of a singular set of data standards across multiple DER registries. This </w:t>
      </w:r>
      <w:proofErr w:type="gramStart"/>
      <w:r>
        <w:t>move</w:t>
      </w:r>
      <w:proofErr w:type="gramEnd"/>
      <w:r>
        <w:t xml:space="preserve"> towards a uniform procedural standard for DER registration will meaningfully simplify and improve consistency when integrating DERs, which can ease administrative and planning burden caused by the current reliance on disjointed registry systems. The increased transparency that can </w:t>
      </w:r>
      <w:r>
        <w:lastRenderedPageBreak/>
        <w:t>be expected with this shift will also support enhanced DER deployment initiatives while ensuring bulk electric system reliability.</w:t>
      </w:r>
    </w:p>
    <w:p w14:paraId="36BCE392" w14:textId="77777777" w:rsidR="00500D1D" w:rsidRDefault="00500D1D" w:rsidP="00500D1D">
      <w:pPr>
        <w:pStyle w:val="BodyText"/>
      </w:pPr>
    </w:p>
    <w:p w14:paraId="0773187B" w14:textId="77777777" w:rsidR="00500D1D" w:rsidRDefault="00500D1D" w:rsidP="00500D1D">
      <w:pPr>
        <w:pStyle w:val="BodyText"/>
      </w:pPr>
      <w:r>
        <w:t>We applaud NAESB’s initiative to spearhead this work, and look forward to learning the outcome of this group’s efforts.</w:t>
      </w:r>
    </w:p>
    <w:p w14:paraId="657EE240" w14:textId="77777777" w:rsidR="00500D1D" w:rsidRDefault="00500D1D" w:rsidP="00500D1D">
      <w:pPr>
        <w:pStyle w:val="BodyText"/>
      </w:pPr>
    </w:p>
    <w:p w14:paraId="4FBA9A99" w14:textId="77777777" w:rsidR="00500D1D" w:rsidRDefault="00500D1D" w:rsidP="00500D1D">
      <w:pPr>
        <w:pStyle w:val="BodyText"/>
      </w:pPr>
      <w:r>
        <w:t>Thank you,</w:t>
      </w:r>
    </w:p>
    <w:p w14:paraId="7FE01237" w14:textId="0D46227A" w:rsidR="00F377B0" w:rsidRPr="00F377B0" w:rsidRDefault="00F377B0" w:rsidP="00F377B0">
      <w:pPr>
        <w:widowControl w:val="0"/>
        <w:autoSpaceDE w:val="0"/>
        <w:autoSpaceDN w:val="0"/>
        <w:spacing w:before="95"/>
        <w:rPr>
          <w:rFonts w:ascii="Arial" w:eastAsia="Arial" w:hAnsi="Arial" w:cs="Arial"/>
          <w:i/>
          <w:sz w:val="26"/>
          <w:szCs w:val="22"/>
          <w:lang w:bidi="en-US"/>
        </w:rPr>
      </w:pPr>
      <w:r w:rsidRPr="00F377B0">
        <w:rPr>
          <w:rFonts w:ascii="Arial" w:eastAsia="Arial" w:hAnsi="Arial" w:cs="Arial"/>
          <w:i/>
          <w:color w:val="212121"/>
          <w:w w:val="105"/>
          <w:sz w:val="26"/>
          <w:szCs w:val="22"/>
          <w:lang w:bidi="en-US"/>
        </w:rPr>
        <w:t>Josh Tulkin</w:t>
      </w:r>
    </w:p>
    <w:p w14:paraId="58F5BEE4" w14:textId="77777777" w:rsidR="00F377B0" w:rsidRDefault="00F377B0" w:rsidP="00500D1D">
      <w:pPr>
        <w:pStyle w:val="BodyText"/>
      </w:pPr>
    </w:p>
    <w:p w14:paraId="0C145C4E" w14:textId="5227B91F" w:rsidR="00500D1D" w:rsidRDefault="00500D1D" w:rsidP="00500D1D">
      <w:pPr>
        <w:pStyle w:val="BodyText"/>
      </w:pPr>
      <w:r>
        <w:t>Josh Tulkin</w:t>
      </w:r>
    </w:p>
    <w:p w14:paraId="64116163" w14:textId="0425C507" w:rsidR="005D015E" w:rsidRPr="00DC0401" w:rsidRDefault="00500D1D" w:rsidP="00500D1D">
      <w:pPr>
        <w:pStyle w:val="BodyText"/>
      </w:pPr>
      <w:r>
        <w:t>Director, Sierra Club Maryland Chapter</w:t>
      </w:r>
    </w:p>
    <w:sectPr w:rsidR="005D015E" w:rsidRPr="00DC0401" w:rsidSect="005D015E">
      <w:pgSz w:w="12240" w:h="15840" w:code="1"/>
      <w:pgMar w:top="1440" w:right="1440" w:bottom="144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AD93" w14:textId="77777777" w:rsidR="00B40750" w:rsidRDefault="00B40750">
      <w:r>
        <w:separator/>
      </w:r>
    </w:p>
  </w:endnote>
  <w:endnote w:type="continuationSeparator" w:id="0">
    <w:p w14:paraId="5F4467C9" w14:textId="77777777" w:rsidR="00B40750" w:rsidRDefault="00B4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213721"/>
      <w:docPartObj>
        <w:docPartGallery w:val="Page Numbers (Bottom of Page)"/>
        <w:docPartUnique/>
      </w:docPartObj>
    </w:sdtPr>
    <w:sdtEndPr>
      <w:rPr>
        <w:noProof/>
      </w:rPr>
    </w:sdtEndPr>
    <w:sdtContent>
      <w:p w14:paraId="6FD6972D" w14:textId="11CE141B" w:rsidR="00DC0401" w:rsidRDefault="005D015E">
        <w:pPr>
          <w:pStyle w:val="Footer"/>
          <w:jc w:val="right"/>
        </w:pPr>
        <w:r>
          <w:t xml:space="preserve">Page </w:t>
        </w:r>
        <w:r w:rsidR="00DC0401">
          <w:fldChar w:fldCharType="begin"/>
        </w:r>
        <w:r w:rsidR="00DC0401">
          <w:instrText xml:space="preserve"> PAGE   \* MERGEFORMAT </w:instrText>
        </w:r>
        <w:r w:rsidR="00DC0401">
          <w:fldChar w:fldCharType="separate"/>
        </w:r>
        <w:r w:rsidR="00DC0401">
          <w:rPr>
            <w:noProof/>
          </w:rPr>
          <w:t>2</w:t>
        </w:r>
        <w:r w:rsidR="00DC0401">
          <w:rPr>
            <w:noProof/>
          </w:rPr>
          <w:fldChar w:fldCharType="end"/>
        </w:r>
      </w:p>
    </w:sdtContent>
  </w:sdt>
  <w:p w14:paraId="2A527A18" w14:textId="4A868E9A" w:rsidR="00BE7A4E" w:rsidRPr="00BE7A4E" w:rsidRDefault="00BE7A4E" w:rsidP="00DC040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B029" w14:textId="7C6CE36D" w:rsidR="000E693B" w:rsidRDefault="000E693B">
    <w:pPr>
      <w:pStyle w:val="Footer"/>
      <w:jc w:val="right"/>
    </w:pPr>
    <w:r>
      <w:t xml:space="preserve">Page </w:t>
    </w:r>
    <w:sdt>
      <w:sdtPr>
        <w:id w:val="7126160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B9C59F" w14:textId="77777777" w:rsidR="000E693B" w:rsidRDefault="000E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284F" w14:textId="77777777" w:rsidR="00B40750" w:rsidRDefault="00B40750">
      <w:r>
        <w:separator/>
      </w:r>
    </w:p>
  </w:footnote>
  <w:footnote w:type="continuationSeparator" w:id="0">
    <w:p w14:paraId="079A3D5F" w14:textId="77777777" w:rsidR="00B40750" w:rsidRDefault="00B40750">
      <w:r>
        <w:continuationSeparator/>
      </w:r>
    </w:p>
  </w:footnote>
  <w:footnote w:id="1">
    <w:p w14:paraId="7AD8CBD1" w14:textId="2D393565" w:rsidR="00895850" w:rsidRDefault="00895850">
      <w:pPr>
        <w:pStyle w:val="FootnoteText"/>
      </w:pPr>
      <w:r>
        <w:rPr>
          <w:rStyle w:val="FootnoteReference"/>
        </w:rPr>
        <w:footnoteRef/>
      </w:r>
      <w:r>
        <w:t xml:space="preserve"> </w:t>
      </w:r>
      <w:r w:rsidRPr="00895850">
        <w:t>Per FERC Order No. 2222, Paragraph 185-186.</w:t>
      </w:r>
    </w:p>
  </w:footnote>
  <w:footnote w:id="2">
    <w:p w14:paraId="5E900695" w14:textId="52B26BA7" w:rsidR="00895850" w:rsidRDefault="00895850">
      <w:pPr>
        <w:pStyle w:val="FootnoteText"/>
      </w:pPr>
      <w:r>
        <w:rPr>
          <w:rStyle w:val="FootnoteReference"/>
        </w:rPr>
        <w:footnoteRef/>
      </w:r>
      <w:r>
        <w:t xml:space="preserve"> NAESB Concept Paper: </w:t>
      </w:r>
      <w:r>
        <w:rPr>
          <w:i/>
        </w:rPr>
        <w:t>Secure, Equitable Access to DER and Aggregation Data Through a Standardized Framework for DER Information Registries</w:t>
      </w:r>
      <w:r>
        <w:t xml:space="preserve">, available at: </w:t>
      </w:r>
      <w:hyperlink r:id="rId1" w:history="1">
        <w:r w:rsidRPr="006030C1">
          <w:rPr>
            <w:rStyle w:val="Hyperlink"/>
          </w:rPr>
          <w:t>https://www.naesb.org/pdf4/weq_rmq_bps021726reqcom_a1.docx</w:t>
        </w:r>
      </w:hyperlink>
      <w:r>
        <w:t xml:space="preserve">. </w:t>
      </w:r>
    </w:p>
  </w:footnote>
  <w:footnote w:id="3">
    <w:p w14:paraId="63BA0FC3" w14:textId="0520C0D2" w:rsidR="00895850" w:rsidRDefault="00895850">
      <w:pPr>
        <w:pStyle w:val="FootnoteText"/>
      </w:pPr>
      <w:r>
        <w:rPr>
          <w:rStyle w:val="FootnoteReference"/>
        </w:rPr>
        <w:footnoteRef/>
      </w:r>
      <w:r>
        <w:t xml:space="preserve"> </w:t>
      </w:r>
      <w:r>
        <w:rPr>
          <w:i/>
        </w:rPr>
        <w:t xml:space="preserve">See </w:t>
      </w:r>
      <w:r>
        <w:t xml:space="preserve">OMS Strategic Priorities, available at: </w:t>
      </w:r>
      <w:hyperlink r:id="rId2" w:history="1">
        <w:r w:rsidRPr="006030C1">
          <w:rPr>
            <w:rStyle w:val="Hyperlink"/>
          </w:rPr>
          <w:t>https://www.misostates.org/index.php/about/strategic-priorities</w:t>
        </w:r>
      </w:hyperlink>
      <w:r>
        <w:t xml:space="preserve">. </w:t>
      </w:r>
    </w:p>
  </w:footnote>
  <w:footnote w:id="4">
    <w:p w14:paraId="41234B97" w14:textId="279602AE" w:rsidR="00895850" w:rsidRDefault="00895850">
      <w:pPr>
        <w:pStyle w:val="FootnoteText"/>
      </w:pPr>
      <w:r>
        <w:rPr>
          <w:rStyle w:val="FootnoteReference"/>
        </w:rPr>
        <w:footnoteRef/>
      </w:r>
      <w:r>
        <w:t xml:space="preserve"> </w:t>
      </w:r>
      <w:r w:rsidRPr="00895850">
        <w:t xml:space="preserve">MISO DER Task Force, </w:t>
      </w:r>
      <w:hyperlink r:id="rId3" w:history="1">
        <w:r w:rsidRPr="006030C1">
          <w:rPr>
            <w:rStyle w:val="Hyperlink"/>
          </w:rPr>
          <w:t>https://www.misoenergy.org/engage/committees/DERTF/</w:t>
        </w:r>
      </w:hyperlink>
      <w:r w:rsidRPr="00895850">
        <w:t>.</w:t>
      </w:r>
      <w:r>
        <w:t xml:space="preserve"> </w:t>
      </w:r>
    </w:p>
  </w:footnote>
  <w:footnote w:id="5">
    <w:p w14:paraId="15A1B419" w14:textId="1790FFF8" w:rsidR="00895850" w:rsidRDefault="00895850">
      <w:pPr>
        <w:pStyle w:val="FootnoteText"/>
      </w:pPr>
      <w:r>
        <w:rPr>
          <w:rStyle w:val="FootnoteReference"/>
        </w:rPr>
        <w:footnoteRef/>
      </w:r>
      <w:r>
        <w:t xml:space="preserve"> </w:t>
      </w:r>
      <w:r w:rsidRPr="00895850">
        <w:t xml:space="preserve">OMS DER Survey, </w:t>
      </w:r>
      <w:hyperlink r:id="rId4" w:history="1">
        <w:r w:rsidRPr="006030C1">
          <w:rPr>
            <w:rStyle w:val="Hyperlink"/>
          </w:rPr>
          <w:t>https://www.misostates.org/index.php/work-products/other-materials</w:t>
        </w:r>
      </w:hyperlink>
      <w:r w:rsidRPr="00895850">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B063" w14:textId="77777777" w:rsidR="000E693B" w:rsidRDefault="000E693B" w:rsidP="000E693B">
    <w:pPr>
      <w:pStyle w:val="Header"/>
      <w:tabs>
        <w:tab w:val="left" w:pos="4743"/>
      </w:tabs>
      <w:jc w:val="center"/>
    </w:pPr>
    <w:r>
      <w:rPr>
        <w:b/>
        <w:bCs/>
        <w:smallCaps/>
      </w:rPr>
      <w:t xml:space="preserve">Combined Informal Comments Work Paper </w:t>
    </w:r>
  </w:p>
  <w:p w14:paraId="151D9DA1" w14:textId="77777777" w:rsidR="000E693B" w:rsidRDefault="000E6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942F" w14:textId="4F685736" w:rsidR="0059482C" w:rsidRDefault="000E693B" w:rsidP="000E693B">
    <w:pPr>
      <w:pStyle w:val="Header"/>
      <w:tabs>
        <w:tab w:val="left" w:pos="4743"/>
      </w:tabs>
      <w:jc w:val="center"/>
    </w:pPr>
    <w:r>
      <w:rPr>
        <w:b/>
        <w:bCs/>
        <w:smallCaps/>
      </w:rPr>
      <w:t xml:space="preserve">Combined Informal Comments Work 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200" w:hanging="360"/>
      </w:pPr>
      <w:rPr>
        <w:rFonts w:ascii="Symbol" w:hAnsi="Symbol" w:cs="Symbol"/>
        <w:b w:val="0"/>
        <w:bCs w:val="0"/>
        <w:w w:val="100"/>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8335B"/>
    <w:multiLevelType w:val="hybridMultilevel"/>
    <w:tmpl w:val="620E2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5" w15:restartNumberingAfterBreak="0">
    <w:nsid w:val="111D3B07"/>
    <w:multiLevelType w:val="hybridMultilevel"/>
    <w:tmpl w:val="532E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47058"/>
    <w:multiLevelType w:val="hybridMultilevel"/>
    <w:tmpl w:val="28F83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B2A1F"/>
    <w:multiLevelType w:val="hybridMultilevel"/>
    <w:tmpl w:val="423E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14"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5" w15:restartNumberingAfterBreak="0">
    <w:nsid w:val="204E1004"/>
    <w:multiLevelType w:val="hybridMultilevel"/>
    <w:tmpl w:val="DC880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7" w15:restartNumberingAfterBreak="0">
    <w:nsid w:val="232E65C8"/>
    <w:multiLevelType w:val="hybridMultilevel"/>
    <w:tmpl w:val="795E7EB6"/>
    <w:lvl w:ilvl="0" w:tplc="7388B28C">
      <w:numFmt w:val="bullet"/>
      <w:lvlText w:val=""/>
      <w:lvlJc w:val="left"/>
      <w:pPr>
        <w:ind w:left="1920" w:hanging="360"/>
      </w:pPr>
      <w:rPr>
        <w:rFonts w:ascii="Symbol" w:eastAsia="Symbol" w:hAnsi="Symbol" w:cs="Symbol" w:hint="default"/>
        <w:w w:val="100"/>
        <w:sz w:val="24"/>
        <w:szCs w:val="24"/>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18" w15:restartNumberingAfterBreak="0">
    <w:nsid w:val="26554A1A"/>
    <w:multiLevelType w:val="hybridMultilevel"/>
    <w:tmpl w:val="FDDA3CC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795684"/>
    <w:multiLevelType w:val="hybridMultilevel"/>
    <w:tmpl w:val="A95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26" w15:restartNumberingAfterBreak="0">
    <w:nsid w:val="38BE20E6"/>
    <w:multiLevelType w:val="hybridMultilevel"/>
    <w:tmpl w:val="4A563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29" w15:restartNumberingAfterBreak="0">
    <w:nsid w:val="4483285D"/>
    <w:multiLevelType w:val="hybridMultilevel"/>
    <w:tmpl w:val="644C2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35"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8C4800"/>
    <w:multiLevelType w:val="hybridMultilevel"/>
    <w:tmpl w:val="1B7E12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4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F15527"/>
    <w:multiLevelType w:val="hybridMultilevel"/>
    <w:tmpl w:val="171AAA4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722A4F"/>
    <w:multiLevelType w:val="hybridMultilevel"/>
    <w:tmpl w:val="C144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51"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54"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8622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360370">
    <w:abstractNumId w:val="2"/>
  </w:num>
  <w:num w:numId="3" w16cid:durableId="791434799">
    <w:abstractNumId w:val="49"/>
  </w:num>
  <w:num w:numId="4" w16cid:durableId="1576159246">
    <w:abstractNumId w:val="39"/>
  </w:num>
  <w:num w:numId="5" w16cid:durableId="1579171554">
    <w:abstractNumId w:val="30"/>
  </w:num>
  <w:num w:numId="6" w16cid:durableId="1635525055">
    <w:abstractNumId w:val="6"/>
  </w:num>
  <w:num w:numId="7" w16cid:durableId="1100873894">
    <w:abstractNumId w:val="27"/>
  </w:num>
  <w:num w:numId="8" w16cid:durableId="1808814400">
    <w:abstractNumId w:val="51"/>
  </w:num>
  <w:num w:numId="9" w16cid:durableId="1421022759">
    <w:abstractNumId w:val="41"/>
  </w:num>
  <w:num w:numId="10" w16cid:durableId="918053177">
    <w:abstractNumId w:val="55"/>
  </w:num>
  <w:num w:numId="11" w16cid:durableId="975525361">
    <w:abstractNumId w:val="24"/>
  </w:num>
  <w:num w:numId="12" w16cid:durableId="2007856635">
    <w:abstractNumId w:val="23"/>
  </w:num>
  <w:num w:numId="13" w16cid:durableId="1969816565">
    <w:abstractNumId w:val="48"/>
  </w:num>
  <w:num w:numId="14" w16cid:durableId="978072772">
    <w:abstractNumId w:val="19"/>
  </w:num>
  <w:num w:numId="15" w16cid:durableId="2066179821">
    <w:abstractNumId w:val="31"/>
  </w:num>
  <w:num w:numId="16" w16cid:durableId="2111469326">
    <w:abstractNumId w:val="7"/>
  </w:num>
  <w:num w:numId="17" w16cid:durableId="1391029053">
    <w:abstractNumId w:val="46"/>
  </w:num>
  <w:num w:numId="18" w16cid:durableId="1636107294">
    <w:abstractNumId w:val="43"/>
  </w:num>
  <w:num w:numId="19" w16cid:durableId="1672485147">
    <w:abstractNumId w:val="8"/>
  </w:num>
  <w:num w:numId="20" w16cid:durableId="428434186">
    <w:abstractNumId w:val="12"/>
  </w:num>
  <w:num w:numId="21" w16cid:durableId="1744255717">
    <w:abstractNumId w:val="38"/>
  </w:num>
  <w:num w:numId="22" w16cid:durableId="1512331075">
    <w:abstractNumId w:val="32"/>
  </w:num>
  <w:num w:numId="23" w16cid:durableId="1902521844">
    <w:abstractNumId w:val="9"/>
  </w:num>
  <w:num w:numId="24" w16cid:durableId="1970279464">
    <w:abstractNumId w:val="1"/>
  </w:num>
  <w:num w:numId="25" w16cid:durableId="1051929182">
    <w:abstractNumId w:val="20"/>
  </w:num>
  <w:num w:numId="26" w16cid:durableId="2435278">
    <w:abstractNumId w:val="35"/>
  </w:num>
  <w:num w:numId="27" w16cid:durableId="2127966138">
    <w:abstractNumId w:val="54"/>
  </w:num>
  <w:num w:numId="28" w16cid:durableId="2056270470">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222326">
    <w:abstractNumId w:val="22"/>
  </w:num>
  <w:num w:numId="30" w16cid:durableId="1955749076">
    <w:abstractNumId w:val="36"/>
  </w:num>
  <w:num w:numId="31" w16cid:durableId="1469784671">
    <w:abstractNumId w:val="47"/>
  </w:num>
  <w:num w:numId="32" w16cid:durableId="1735229415">
    <w:abstractNumId w:val="25"/>
  </w:num>
  <w:num w:numId="33" w16cid:durableId="1340352638">
    <w:abstractNumId w:val="34"/>
  </w:num>
  <w:num w:numId="34" w16cid:durableId="1521510895">
    <w:abstractNumId w:val="28"/>
  </w:num>
  <w:num w:numId="35" w16cid:durableId="699359407">
    <w:abstractNumId w:val="13"/>
  </w:num>
  <w:num w:numId="36" w16cid:durableId="2088992195">
    <w:abstractNumId w:val="14"/>
  </w:num>
  <w:num w:numId="37" w16cid:durableId="714355894">
    <w:abstractNumId w:val="4"/>
  </w:num>
  <w:num w:numId="38" w16cid:durableId="1600869339">
    <w:abstractNumId w:val="40"/>
  </w:num>
  <w:num w:numId="39" w16cid:durableId="143160090">
    <w:abstractNumId w:val="16"/>
  </w:num>
  <w:num w:numId="40" w16cid:durableId="907878893">
    <w:abstractNumId w:val="53"/>
  </w:num>
  <w:num w:numId="41" w16cid:durableId="1477069966">
    <w:abstractNumId w:val="50"/>
  </w:num>
  <w:num w:numId="42" w16cid:durableId="11686393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2866664">
    <w:abstractNumId w:val="33"/>
  </w:num>
  <w:num w:numId="44" w16cid:durableId="1544950009">
    <w:abstractNumId w:val="0"/>
  </w:num>
  <w:num w:numId="45" w16cid:durableId="430397986">
    <w:abstractNumId w:val="18"/>
  </w:num>
  <w:num w:numId="46" w16cid:durableId="122578715">
    <w:abstractNumId w:val="17"/>
  </w:num>
  <w:num w:numId="47" w16cid:durableId="21081853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4114718">
    <w:abstractNumId w:val="42"/>
  </w:num>
  <w:num w:numId="49" w16cid:durableId="221451666">
    <w:abstractNumId w:val="3"/>
  </w:num>
  <w:num w:numId="50" w16cid:durableId="402265095">
    <w:abstractNumId w:val="37"/>
  </w:num>
  <w:num w:numId="51" w16cid:durableId="1721200240">
    <w:abstractNumId w:val="10"/>
  </w:num>
  <w:num w:numId="52" w16cid:durableId="1542397367">
    <w:abstractNumId w:val="29"/>
  </w:num>
  <w:num w:numId="53" w16cid:durableId="49113338">
    <w:abstractNumId w:val="5"/>
  </w:num>
  <w:num w:numId="54" w16cid:durableId="1058436639">
    <w:abstractNumId w:val="44"/>
  </w:num>
  <w:num w:numId="55" w16cid:durableId="1797983984">
    <w:abstractNumId w:val="21"/>
  </w:num>
  <w:num w:numId="56" w16cid:durableId="1313288979">
    <w:abstractNumId w:val="11"/>
  </w:num>
  <w:num w:numId="57" w16cid:durableId="7061747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E693B"/>
    <w:rsid w:val="000F45F0"/>
    <w:rsid w:val="000F7439"/>
    <w:rsid w:val="00114F3E"/>
    <w:rsid w:val="0012273A"/>
    <w:rsid w:val="001252EA"/>
    <w:rsid w:val="001275E9"/>
    <w:rsid w:val="00131AED"/>
    <w:rsid w:val="00135A56"/>
    <w:rsid w:val="00143038"/>
    <w:rsid w:val="00143750"/>
    <w:rsid w:val="001475F3"/>
    <w:rsid w:val="00147AA9"/>
    <w:rsid w:val="00152EC5"/>
    <w:rsid w:val="00154007"/>
    <w:rsid w:val="00163273"/>
    <w:rsid w:val="00167523"/>
    <w:rsid w:val="00186996"/>
    <w:rsid w:val="00186B04"/>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27D95"/>
    <w:rsid w:val="00230BE2"/>
    <w:rsid w:val="00241AD7"/>
    <w:rsid w:val="00242070"/>
    <w:rsid w:val="002423C1"/>
    <w:rsid w:val="00244FAA"/>
    <w:rsid w:val="00267A1E"/>
    <w:rsid w:val="002718B7"/>
    <w:rsid w:val="00272E4E"/>
    <w:rsid w:val="00273E76"/>
    <w:rsid w:val="0027644C"/>
    <w:rsid w:val="00284443"/>
    <w:rsid w:val="00290DCD"/>
    <w:rsid w:val="002955DE"/>
    <w:rsid w:val="002A211B"/>
    <w:rsid w:val="002B074F"/>
    <w:rsid w:val="002B2B92"/>
    <w:rsid w:val="002B6AB1"/>
    <w:rsid w:val="002C1AD4"/>
    <w:rsid w:val="002D1997"/>
    <w:rsid w:val="002D509B"/>
    <w:rsid w:val="002E546F"/>
    <w:rsid w:val="002E6AB8"/>
    <w:rsid w:val="002F1ECB"/>
    <w:rsid w:val="002F2534"/>
    <w:rsid w:val="002F5A9E"/>
    <w:rsid w:val="002F6DE2"/>
    <w:rsid w:val="0030611D"/>
    <w:rsid w:val="0031677F"/>
    <w:rsid w:val="003260A7"/>
    <w:rsid w:val="00336BA2"/>
    <w:rsid w:val="003424EA"/>
    <w:rsid w:val="00343274"/>
    <w:rsid w:val="00344C0B"/>
    <w:rsid w:val="00344C3F"/>
    <w:rsid w:val="003456E2"/>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35EF"/>
    <w:rsid w:val="003F721D"/>
    <w:rsid w:val="00404D3B"/>
    <w:rsid w:val="00432694"/>
    <w:rsid w:val="004538AC"/>
    <w:rsid w:val="00460D78"/>
    <w:rsid w:val="00472F7B"/>
    <w:rsid w:val="00474DC2"/>
    <w:rsid w:val="00482C7D"/>
    <w:rsid w:val="0049406A"/>
    <w:rsid w:val="00497E30"/>
    <w:rsid w:val="004A005E"/>
    <w:rsid w:val="004B223A"/>
    <w:rsid w:val="004C01B5"/>
    <w:rsid w:val="004C4E03"/>
    <w:rsid w:val="004C7CEC"/>
    <w:rsid w:val="004D79BF"/>
    <w:rsid w:val="004F28BA"/>
    <w:rsid w:val="00500D1D"/>
    <w:rsid w:val="00511700"/>
    <w:rsid w:val="005130ED"/>
    <w:rsid w:val="005345F8"/>
    <w:rsid w:val="005435A7"/>
    <w:rsid w:val="00551ACF"/>
    <w:rsid w:val="0056466B"/>
    <w:rsid w:val="00564EBB"/>
    <w:rsid w:val="00565FCC"/>
    <w:rsid w:val="005815EF"/>
    <w:rsid w:val="00586093"/>
    <w:rsid w:val="005876DB"/>
    <w:rsid w:val="0059325D"/>
    <w:rsid w:val="005943F3"/>
    <w:rsid w:val="005947A1"/>
    <w:rsid w:val="0059482C"/>
    <w:rsid w:val="005A299F"/>
    <w:rsid w:val="005B1D8C"/>
    <w:rsid w:val="005B3D49"/>
    <w:rsid w:val="005B4C36"/>
    <w:rsid w:val="005D015E"/>
    <w:rsid w:val="005D610F"/>
    <w:rsid w:val="005D625D"/>
    <w:rsid w:val="005E0EFC"/>
    <w:rsid w:val="005E5285"/>
    <w:rsid w:val="005F7607"/>
    <w:rsid w:val="006035CC"/>
    <w:rsid w:val="00606FDD"/>
    <w:rsid w:val="0061230E"/>
    <w:rsid w:val="0062117A"/>
    <w:rsid w:val="00623F8C"/>
    <w:rsid w:val="00624951"/>
    <w:rsid w:val="0064079D"/>
    <w:rsid w:val="00643BB3"/>
    <w:rsid w:val="0065009B"/>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25595"/>
    <w:rsid w:val="00736570"/>
    <w:rsid w:val="00737E38"/>
    <w:rsid w:val="0074424B"/>
    <w:rsid w:val="00754AC9"/>
    <w:rsid w:val="0076028A"/>
    <w:rsid w:val="007661B8"/>
    <w:rsid w:val="00766B40"/>
    <w:rsid w:val="00767D0B"/>
    <w:rsid w:val="00770988"/>
    <w:rsid w:val="007725F7"/>
    <w:rsid w:val="00772BCF"/>
    <w:rsid w:val="00774346"/>
    <w:rsid w:val="007926B0"/>
    <w:rsid w:val="007975C1"/>
    <w:rsid w:val="007A2DB1"/>
    <w:rsid w:val="007A306B"/>
    <w:rsid w:val="007B0008"/>
    <w:rsid w:val="007B167F"/>
    <w:rsid w:val="007C0A21"/>
    <w:rsid w:val="007C4D36"/>
    <w:rsid w:val="007C50CA"/>
    <w:rsid w:val="007C5FC3"/>
    <w:rsid w:val="007D048A"/>
    <w:rsid w:val="007D115D"/>
    <w:rsid w:val="007E0090"/>
    <w:rsid w:val="007E639E"/>
    <w:rsid w:val="007E6487"/>
    <w:rsid w:val="007F3732"/>
    <w:rsid w:val="00807B43"/>
    <w:rsid w:val="00815F11"/>
    <w:rsid w:val="00833B57"/>
    <w:rsid w:val="00833E8F"/>
    <w:rsid w:val="00841E13"/>
    <w:rsid w:val="008455FF"/>
    <w:rsid w:val="00860088"/>
    <w:rsid w:val="008635AF"/>
    <w:rsid w:val="00863D63"/>
    <w:rsid w:val="008672D8"/>
    <w:rsid w:val="008933FA"/>
    <w:rsid w:val="00894199"/>
    <w:rsid w:val="00895850"/>
    <w:rsid w:val="008C0D4D"/>
    <w:rsid w:val="008D206F"/>
    <w:rsid w:val="008D6D30"/>
    <w:rsid w:val="008E0662"/>
    <w:rsid w:val="008F0F0B"/>
    <w:rsid w:val="008F70E1"/>
    <w:rsid w:val="00906608"/>
    <w:rsid w:val="009076C0"/>
    <w:rsid w:val="0091554F"/>
    <w:rsid w:val="00923D13"/>
    <w:rsid w:val="009321B4"/>
    <w:rsid w:val="009321D5"/>
    <w:rsid w:val="00935B03"/>
    <w:rsid w:val="00940F4A"/>
    <w:rsid w:val="00941DDA"/>
    <w:rsid w:val="00942884"/>
    <w:rsid w:val="009524F6"/>
    <w:rsid w:val="009539D2"/>
    <w:rsid w:val="009545D2"/>
    <w:rsid w:val="00957702"/>
    <w:rsid w:val="0096006B"/>
    <w:rsid w:val="00961151"/>
    <w:rsid w:val="009629A6"/>
    <w:rsid w:val="00962F5C"/>
    <w:rsid w:val="00967ABE"/>
    <w:rsid w:val="00972479"/>
    <w:rsid w:val="0097346F"/>
    <w:rsid w:val="00974C2E"/>
    <w:rsid w:val="0098001E"/>
    <w:rsid w:val="00980D78"/>
    <w:rsid w:val="009A6834"/>
    <w:rsid w:val="009B09E5"/>
    <w:rsid w:val="009B0B16"/>
    <w:rsid w:val="009D3DD8"/>
    <w:rsid w:val="009E0D21"/>
    <w:rsid w:val="009E2DBB"/>
    <w:rsid w:val="009E3014"/>
    <w:rsid w:val="009E4BB5"/>
    <w:rsid w:val="009F4D57"/>
    <w:rsid w:val="00A017A7"/>
    <w:rsid w:val="00A06057"/>
    <w:rsid w:val="00A104FC"/>
    <w:rsid w:val="00A12832"/>
    <w:rsid w:val="00A30BA2"/>
    <w:rsid w:val="00A360C0"/>
    <w:rsid w:val="00A528D7"/>
    <w:rsid w:val="00A53B2F"/>
    <w:rsid w:val="00A550C2"/>
    <w:rsid w:val="00A56562"/>
    <w:rsid w:val="00A568B8"/>
    <w:rsid w:val="00A57711"/>
    <w:rsid w:val="00A64D28"/>
    <w:rsid w:val="00A74B99"/>
    <w:rsid w:val="00A7714F"/>
    <w:rsid w:val="00A829D4"/>
    <w:rsid w:val="00A86A0B"/>
    <w:rsid w:val="00A87DB5"/>
    <w:rsid w:val="00A925D2"/>
    <w:rsid w:val="00A953F7"/>
    <w:rsid w:val="00AA10A5"/>
    <w:rsid w:val="00AA3C14"/>
    <w:rsid w:val="00AA59AF"/>
    <w:rsid w:val="00AA64EA"/>
    <w:rsid w:val="00AA7FEE"/>
    <w:rsid w:val="00AB19C3"/>
    <w:rsid w:val="00AB7762"/>
    <w:rsid w:val="00AD4B1E"/>
    <w:rsid w:val="00AE6B33"/>
    <w:rsid w:val="00AE78B7"/>
    <w:rsid w:val="00AF291A"/>
    <w:rsid w:val="00AF358A"/>
    <w:rsid w:val="00B02DF3"/>
    <w:rsid w:val="00B27E6D"/>
    <w:rsid w:val="00B40750"/>
    <w:rsid w:val="00B47C04"/>
    <w:rsid w:val="00B51F0B"/>
    <w:rsid w:val="00B54DA0"/>
    <w:rsid w:val="00B601D4"/>
    <w:rsid w:val="00B61BDC"/>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A55FC"/>
    <w:rsid w:val="00BB69F9"/>
    <w:rsid w:val="00BC6447"/>
    <w:rsid w:val="00BD7EF8"/>
    <w:rsid w:val="00BE05B5"/>
    <w:rsid w:val="00BE76E7"/>
    <w:rsid w:val="00BE7958"/>
    <w:rsid w:val="00BE7A4E"/>
    <w:rsid w:val="00BF22B4"/>
    <w:rsid w:val="00BF3592"/>
    <w:rsid w:val="00BF45BA"/>
    <w:rsid w:val="00C00ED1"/>
    <w:rsid w:val="00C1167B"/>
    <w:rsid w:val="00C22D37"/>
    <w:rsid w:val="00C23DBA"/>
    <w:rsid w:val="00C262FE"/>
    <w:rsid w:val="00C266A5"/>
    <w:rsid w:val="00C26DF7"/>
    <w:rsid w:val="00C30DDD"/>
    <w:rsid w:val="00C3648C"/>
    <w:rsid w:val="00C36563"/>
    <w:rsid w:val="00C42ADA"/>
    <w:rsid w:val="00C42DC6"/>
    <w:rsid w:val="00C430F6"/>
    <w:rsid w:val="00C44A09"/>
    <w:rsid w:val="00C46644"/>
    <w:rsid w:val="00C5218B"/>
    <w:rsid w:val="00C52243"/>
    <w:rsid w:val="00C70307"/>
    <w:rsid w:val="00C77CB0"/>
    <w:rsid w:val="00C80691"/>
    <w:rsid w:val="00CB264C"/>
    <w:rsid w:val="00CB2F9F"/>
    <w:rsid w:val="00CB501E"/>
    <w:rsid w:val="00CB69D5"/>
    <w:rsid w:val="00CC5097"/>
    <w:rsid w:val="00CD6046"/>
    <w:rsid w:val="00CE06CD"/>
    <w:rsid w:val="00CE7B2E"/>
    <w:rsid w:val="00CF2732"/>
    <w:rsid w:val="00CF4592"/>
    <w:rsid w:val="00CF7B01"/>
    <w:rsid w:val="00CF7EBC"/>
    <w:rsid w:val="00D2003C"/>
    <w:rsid w:val="00D2079D"/>
    <w:rsid w:val="00D24B68"/>
    <w:rsid w:val="00D41EE0"/>
    <w:rsid w:val="00D42538"/>
    <w:rsid w:val="00D56175"/>
    <w:rsid w:val="00D6360E"/>
    <w:rsid w:val="00D65B61"/>
    <w:rsid w:val="00D7247D"/>
    <w:rsid w:val="00D73054"/>
    <w:rsid w:val="00D76772"/>
    <w:rsid w:val="00D77644"/>
    <w:rsid w:val="00D82ECE"/>
    <w:rsid w:val="00D8595F"/>
    <w:rsid w:val="00D87BE8"/>
    <w:rsid w:val="00D95FE9"/>
    <w:rsid w:val="00D9687C"/>
    <w:rsid w:val="00DA21D8"/>
    <w:rsid w:val="00DA25F7"/>
    <w:rsid w:val="00DA37C3"/>
    <w:rsid w:val="00DB4CC2"/>
    <w:rsid w:val="00DC0127"/>
    <w:rsid w:val="00DC0401"/>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36B3B"/>
    <w:rsid w:val="00E404F6"/>
    <w:rsid w:val="00E47379"/>
    <w:rsid w:val="00E561F3"/>
    <w:rsid w:val="00E6258C"/>
    <w:rsid w:val="00E62B41"/>
    <w:rsid w:val="00E67555"/>
    <w:rsid w:val="00E8037D"/>
    <w:rsid w:val="00E846CF"/>
    <w:rsid w:val="00E8705A"/>
    <w:rsid w:val="00EA4772"/>
    <w:rsid w:val="00EB1FEA"/>
    <w:rsid w:val="00EC0B84"/>
    <w:rsid w:val="00EC5DBD"/>
    <w:rsid w:val="00ED0C37"/>
    <w:rsid w:val="00ED3EA0"/>
    <w:rsid w:val="00EE09C8"/>
    <w:rsid w:val="00EE2F26"/>
    <w:rsid w:val="00EF2B7C"/>
    <w:rsid w:val="00EF2C6F"/>
    <w:rsid w:val="00EF7437"/>
    <w:rsid w:val="00EF767C"/>
    <w:rsid w:val="00F00B9C"/>
    <w:rsid w:val="00F00E8A"/>
    <w:rsid w:val="00F03648"/>
    <w:rsid w:val="00F03896"/>
    <w:rsid w:val="00F04982"/>
    <w:rsid w:val="00F06BE0"/>
    <w:rsid w:val="00F23A44"/>
    <w:rsid w:val="00F2539B"/>
    <w:rsid w:val="00F25CB0"/>
    <w:rsid w:val="00F377B0"/>
    <w:rsid w:val="00F409B9"/>
    <w:rsid w:val="00F502F3"/>
    <w:rsid w:val="00F60405"/>
    <w:rsid w:val="00F63934"/>
    <w:rsid w:val="00F648EF"/>
    <w:rsid w:val="00F843FB"/>
    <w:rsid w:val="00F93FC9"/>
    <w:rsid w:val="00F967CA"/>
    <w:rsid w:val="00FA091C"/>
    <w:rsid w:val="00FA2ECA"/>
    <w:rsid w:val="00FB16E7"/>
    <w:rsid w:val="00FB3118"/>
    <w:rsid w:val="00FB33FA"/>
    <w:rsid w:val="00FB7867"/>
    <w:rsid w:val="00FC23A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3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1"/>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iso.com/documents/20142/41887799/NAESB-Digital-Certificate-Tutorial.pdf/" TargetMode="External"/><Relationship Id="rId13" Type="http://schemas.openxmlformats.org/officeDocument/2006/relationships/hyperlink" Target="https://www.nyiso.com/documents/20142/3625950/UG-25-AggSys-v3.0-Final.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atrice.harkness@nerc.net"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yiso.com/documents/20142/3625950/UG-25-AggSys-v3.0-Final.pdf/" TargetMode="External"/><Relationship Id="rId10" Type="http://schemas.openxmlformats.org/officeDocument/2006/relationships/footer" Target="footer1.xml"/><Relationship Id="rId19" Type="http://schemas.openxmlformats.org/officeDocument/2006/relationships/hyperlink" Target="https://www.nyiso.com/documents/20142/2923301/M-38-Aggregation-Final-v1-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yiso.com/documents/20142/1391862/2025-11-4%20DER-Providers-List.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isoenergy.org/engage/committees/DERTF/" TargetMode="External"/><Relationship Id="rId2" Type="http://schemas.openxmlformats.org/officeDocument/2006/relationships/hyperlink" Target="https://www.misostates.org/index.php/about/strategic-priorities" TargetMode="External"/><Relationship Id="rId1" Type="http://schemas.openxmlformats.org/officeDocument/2006/relationships/hyperlink" Target="https://www.naesb.org/pdf4/weq_rmq_bps021726reqcom_a1.docx" TargetMode="External"/><Relationship Id="rId4" Type="http://schemas.openxmlformats.org/officeDocument/2006/relationships/hyperlink" Target="https://www.misostates.org/index.php/work-products/other-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5FF1D-94F6-47AA-9AEA-F022F6CB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8152</Words>
  <Characters>46471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CT</cp:lastModifiedBy>
  <cp:revision>4</cp:revision>
  <cp:lastPrinted>2022-08-11T21:43:00Z</cp:lastPrinted>
  <dcterms:created xsi:type="dcterms:W3CDTF">2026-03-11T16:26:00Z</dcterms:created>
  <dcterms:modified xsi:type="dcterms:W3CDTF">2026-03-12T21:19:00Z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