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A4144" w14:textId="77777777" w:rsidR="000D4E0D" w:rsidRPr="008C4A8D" w:rsidRDefault="000D4E0D" w:rsidP="000D4E0D">
      <w:pPr>
        <w:spacing w:before="120" w:after="120"/>
        <w:jc w:val="center"/>
        <w:rPr>
          <w:rFonts w:ascii="Aptos" w:hAnsi="Aptos"/>
          <w:b/>
          <w:bCs/>
          <w:sz w:val="32"/>
          <w:szCs w:val="32"/>
        </w:rPr>
      </w:pPr>
      <w:r w:rsidRPr="008C4A8D">
        <w:rPr>
          <w:rFonts w:ascii="Aptos" w:hAnsi="Aptos"/>
          <w:b/>
          <w:bCs/>
          <w:sz w:val="32"/>
          <w:szCs w:val="32"/>
        </w:rPr>
        <w:t>Secure, Equitable Access to DER and Aggregation Data Through a Standardized Framework for DER Information Registries</w:t>
      </w:r>
    </w:p>
    <w:p w14:paraId="25E3F397" w14:textId="3A55C5EF" w:rsidR="00912CB2" w:rsidRPr="00127CB6" w:rsidRDefault="00127CB6" w:rsidP="00127CB6">
      <w:pPr>
        <w:keepNext/>
        <w:keepLines/>
        <w:widowControl w:val="0"/>
        <w:spacing w:before="120" w:after="120"/>
        <w:rPr>
          <w:rFonts w:ascii="Aptos" w:hAnsi="Aptos"/>
          <w:b/>
          <w:bCs/>
          <w:sz w:val="24"/>
          <w:szCs w:val="24"/>
        </w:rPr>
      </w:pPr>
      <w:r>
        <w:rPr>
          <w:rFonts w:ascii="Aptos" w:hAnsi="Aptos"/>
          <w:b/>
          <w:bCs/>
          <w:sz w:val="24"/>
          <w:szCs w:val="24"/>
        </w:rPr>
        <w:t xml:space="preserve">SPP Responses to </w:t>
      </w:r>
      <w:r w:rsidR="00B87EC8" w:rsidRPr="008C4A8D">
        <w:rPr>
          <w:rFonts w:ascii="Aptos" w:hAnsi="Aptos"/>
          <w:b/>
          <w:bCs/>
          <w:sz w:val="24"/>
          <w:szCs w:val="24"/>
        </w:rPr>
        <w:t>Areas of Needed Industry Feedback</w:t>
      </w:r>
    </w:p>
    <w:p w14:paraId="1E6701A3" w14:textId="77777777" w:rsidR="00E77F58" w:rsidRPr="00E77F58" w:rsidRDefault="00E77F58" w:rsidP="00E77F58">
      <w:pPr>
        <w:numPr>
          <w:ilvl w:val="0"/>
          <w:numId w:val="3"/>
        </w:numPr>
        <w:rPr>
          <w:rFonts w:ascii="Aptos" w:eastAsia="Times New Roman" w:hAnsi="Aptos" w:cs="Aptos"/>
          <w:kern w:val="0"/>
          <w:sz w:val="22"/>
        </w:rPr>
      </w:pPr>
      <w:r w:rsidRPr="00E77F58">
        <w:rPr>
          <w:rFonts w:ascii="Aptos" w:eastAsia="Times New Roman" w:hAnsi="Aptos" w:cs="Aptos"/>
          <w:kern w:val="0"/>
          <w:sz w:val="22"/>
        </w:rPr>
        <w:t xml:space="preserve">Would a centralized DER Entity Registry to </w:t>
      </w:r>
      <w:proofErr w:type="gramStart"/>
      <w:r w:rsidRPr="00E77F58">
        <w:rPr>
          <w:rFonts w:ascii="Aptos" w:eastAsia="Times New Roman" w:hAnsi="Aptos" w:cs="Aptos"/>
          <w:kern w:val="0"/>
          <w:sz w:val="22"/>
        </w:rPr>
        <w:t>identify</w:t>
      </w:r>
      <w:proofErr w:type="gramEnd"/>
      <w:r w:rsidRPr="00E77F58">
        <w:rPr>
          <w:rFonts w:ascii="Aptos" w:eastAsia="Times New Roman" w:hAnsi="Aptos" w:cs="Aptos"/>
          <w:kern w:val="0"/>
          <w:sz w:val="22"/>
        </w:rPr>
        <w:t xml:space="preserve"> and authenticate parties be beneficial? Why or why not?  </w:t>
      </w:r>
    </w:p>
    <w:p w14:paraId="70B682DC" w14:textId="77777777" w:rsidR="00E77F58" w:rsidRPr="00E77F58" w:rsidRDefault="00E77F58" w:rsidP="00E77F58">
      <w:pPr>
        <w:ind w:left="720"/>
        <w:rPr>
          <w:rFonts w:ascii="Aptos" w:eastAsia="Aptos" w:hAnsi="Aptos" w:cs="Aptos"/>
          <w:kern w:val="0"/>
          <w:sz w:val="22"/>
        </w:rPr>
      </w:pPr>
    </w:p>
    <w:p w14:paraId="24C7180D" w14:textId="7902E644" w:rsidR="00E77F58" w:rsidRPr="00E77F58" w:rsidRDefault="00E77F58" w:rsidP="00E77F58">
      <w:pPr>
        <w:rPr>
          <w:rFonts w:ascii="Aptos" w:eastAsia="Aptos" w:hAnsi="Aptos" w:cs="Aptos"/>
          <w:kern w:val="0"/>
          <w:sz w:val="22"/>
        </w:rPr>
      </w:pPr>
      <w:r w:rsidRPr="00E77F58">
        <w:rPr>
          <w:rFonts w:ascii="Aptos" w:eastAsia="Aptos" w:hAnsi="Aptos" w:cs="Aptos"/>
          <w:kern w:val="0"/>
          <w:sz w:val="22"/>
        </w:rPr>
        <w:t xml:space="preserve">SPP, like other RTO’s, currently has market rules and protocols that dictate requirements for registering and participation within their energy markets.  Reproduction of this within an outside registry would be duplicative, provide limited value, and increase overhead for the management of the RTO’s relationship with its market participants. To the extent the market operator, balancing authority, or other wholesale level EIR registration category </w:t>
      </w:r>
      <w:proofErr w:type="gramStart"/>
      <w:r w:rsidRPr="00E77F58">
        <w:rPr>
          <w:rFonts w:ascii="Aptos" w:eastAsia="Aptos" w:hAnsi="Aptos" w:cs="Aptos"/>
          <w:kern w:val="0"/>
          <w:sz w:val="22"/>
        </w:rPr>
        <w:t>is considered</w:t>
      </w:r>
      <w:proofErr w:type="gramEnd"/>
      <w:r w:rsidRPr="00E77F58">
        <w:rPr>
          <w:rFonts w:ascii="Aptos" w:eastAsia="Aptos" w:hAnsi="Aptos" w:cs="Aptos"/>
          <w:kern w:val="0"/>
          <w:sz w:val="22"/>
        </w:rPr>
        <w:t xml:space="preserve">, the subcommittees should not duplicate these, as it would only add to complexity of registrations within industry databases.  At the retail level, however, there </w:t>
      </w:r>
      <w:r w:rsidR="00942890">
        <w:rPr>
          <w:rFonts w:ascii="Aptos" w:eastAsia="Aptos" w:hAnsi="Aptos" w:cs="Aptos"/>
          <w:kern w:val="0"/>
          <w:sz w:val="22"/>
        </w:rPr>
        <w:t xml:space="preserve">is </w:t>
      </w:r>
      <w:r w:rsidR="00786CD3">
        <w:rPr>
          <w:rFonts w:ascii="Aptos" w:eastAsia="Aptos" w:hAnsi="Aptos" w:cs="Aptos"/>
          <w:kern w:val="0"/>
          <w:sz w:val="22"/>
        </w:rPr>
        <w:t>a</w:t>
      </w:r>
      <w:r w:rsidRPr="00E77F58">
        <w:rPr>
          <w:rFonts w:ascii="Aptos" w:eastAsia="Aptos" w:hAnsi="Aptos" w:cs="Aptos"/>
          <w:kern w:val="0"/>
          <w:sz w:val="22"/>
        </w:rPr>
        <w:t xml:space="preserve"> </w:t>
      </w:r>
      <w:r w:rsidR="00786CD3">
        <w:rPr>
          <w:rFonts w:ascii="Aptos" w:eastAsia="Aptos" w:hAnsi="Aptos" w:cs="Aptos"/>
          <w:kern w:val="0"/>
          <w:sz w:val="22"/>
        </w:rPr>
        <w:t xml:space="preserve">more </w:t>
      </w:r>
      <w:r w:rsidRPr="00E77F58">
        <w:rPr>
          <w:rFonts w:ascii="Aptos" w:eastAsia="Aptos" w:hAnsi="Aptos" w:cs="Aptos"/>
          <w:kern w:val="0"/>
          <w:sz w:val="22"/>
        </w:rPr>
        <w:t xml:space="preserve">limited </w:t>
      </w:r>
      <w:r w:rsidR="00942890">
        <w:rPr>
          <w:rFonts w:ascii="Aptos" w:eastAsia="Aptos" w:hAnsi="Aptos" w:cs="Aptos"/>
          <w:kern w:val="0"/>
          <w:sz w:val="22"/>
        </w:rPr>
        <w:t xml:space="preserve">visibility of the </w:t>
      </w:r>
      <w:r w:rsidRPr="00E77F58">
        <w:rPr>
          <w:rFonts w:ascii="Aptos" w:eastAsia="Aptos" w:hAnsi="Aptos" w:cs="Aptos"/>
          <w:kern w:val="0"/>
          <w:sz w:val="22"/>
        </w:rPr>
        <w:t xml:space="preserve">registrations and a database for those </w:t>
      </w:r>
      <w:proofErr w:type="gramStart"/>
      <w:r w:rsidRPr="00E77F58">
        <w:rPr>
          <w:rFonts w:ascii="Aptos" w:eastAsia="Aptos" w:hAnsi="Aptos" w:cs="Aptos"/>
          <w:kern w:val="0"/>
          <w:sz w:val="22"/>
        </w:rPr>
        <w:t>participating</w:t>
      </w:r>
      <w:proofErr w:type="gramEnd"/>
      <w:r w:rsidRPr="00E77F58">
        <w:rPr>
          <w:rFonts w:ascii="Aptos" w:eastAsia="Aptos" w:hAnsi="Aptos" w:cs="Aptos"/>
          <w:kern w:val="0"/>
          <w:sz w:val="22"/>
        </w:rPr>
        <w:t xml:space="preserve"> in the DER </w:t>
      </w:r>
      <w:proofErr w:type="gramStart"/>
      <w:r w:rsidRPr="00E77F58">
        <w:rPr>
          <w:rFonts w:ascii="Aptos" w:eastAsia="Aptos" w:hAnsi="Aptos" w:cs="Aptos"/>
          <w:kern w:val="0"/>
          <w:sz w:val="22"/>
        </w:rPr>
        <w:t>transactions</w:t>
      </w:r>
      <w:proofErr w:type="gramEnd"/>
      <w:r w:rsidRPr="00E77F58">
        <w:rPr>
          <w:rFonts w:ascii="Aptos" w:eastAsia="Aptos" w:hAnsi="Aptos" w:cs="Aptos"/>
          <w:kern w:val="0"/>
          <w:sz w:val="22"/>
        </w:rPr>
        <w:t xml:space="preserve"> this </w:t>
      </w:r>
      <w:r w:rsidR="00942890">
        <w:rPr>
          <w:rFonts w:ascii="Aptos" w:eastAsia="Aptos" w:hAnsi="Aptos" w:cs="Aptos"/>
          <w:kern w:val="0"/>
          <w:sz w:val="22"/>
        </w:rPr>
        <w:t>c</w:t>
      </w:r>
      <w:r w:rsidRPr="00E77F58">
        <w:rPr>
          <w:rFonts w:ascii="Aptos" w:eastAsia="Aptos" w:hAnsi="Aptos" w:cs="Aptos"/>
          <w:kern w:val="0"/>
          <w:sz w:val="22"/>
        </w:rPr>
        <w:t xml:space="preserve">ould be beneficial.  </w:t>
      </w:r>
    </w:p>
    <w:p w14:paraId="04F27462" w14:textId="77777777" w:rsidR="00E77F58" w:rsidRPr="00E77F58" w:rsidRDefault="00E77F58" w:rsidP="00E77F58">
      <w:pPr>
        <w:ind w:left="720"/>
        <w:rPr>
          <w:rFonts w:ascii="Aptos" w:eastAsia="Aptos" w:hAnsi="Aptos" w:cs="Aptos"/>
          <w:kern w:val="0"/>
          <w:sz w:val="22"/>
        </w:rPr>
      </w:pPr>
    </w:p>
    <w:p w14:paraId="646775EB" w14:textId="77777777" w:rsidR="00E77F58" w:rsidRPr="00E77F58" w:rsidRDefault="00E77F58" w:rsidP="00E77F58">
      <w:pPr>
        <w:numPr>
          <w:ilvl w:val="0"/>
          <w:numId w:val="3"/>
        </w:numPr>
        <w:rPr>
          <w:rFonts w:ascii="Aptos" w:eastAsia="Times New Roman" w:hAnsi="Aptos" w:cs="Aptos"/>
          <w:kern w:val="0"/>
          <w:sz w:val="22"/>
        </w:rPr>
      </w:pPr>
      <w:r w:rsidRPr="00E77F58">
        <w:rPr>
          <w:rFonts w:ascii="Aptos" w:eastAsia="Times New Roman" w:hAnsi="Aptos" w:cs="Aptos"/>
          <w:kern w:val="0"/>
          <w:sz w:val="22"/>
        </w:rPr>
        <w:t>Related to the DER Entity Registry specifically:</w:t>
      </w:r>
    </w:p>
    <w:p w14:paraId="7023998D" w14:textId="77777777" w:rsidR="00E77F58" w:rsidRPr="00E77F58" w:rsidRDefault="00E77F58" w:rsidP="00E77F58">
      <w:pPr>
        <w:numPr>
          <w:ilvl w:val="1"/>
          <w:numId w:val="3"/>
        </w:numPr>
        <w:rPr>
          <w:rFonts w:ascii="Aptos" w:eastAsia="Times New Roman" w:hAnsi="Aptos" w:cs="Aptos"/>
          <w:kern w:val="0"/>
          <w:sz w:val="22"/>
        </w:rPr>
      </w:pPr>
      <w:r w:rsidRPr="00E77F58">
        <w:rPr>
          <w:rFonts w:ascii="Aptos" w:eastAsia="Times New Roman" w:hAnsi="Aptos" w:cs="Aptos"/>
          <w:kern w:val="0"/>
          <w:sz w:val="22"/>
        </w:rPr>
        <w:t>Are there any additional stakeholder registration categories that need to be supported? If so, please identify and provide an explanation.</w:t>
      </w:r>
    </w:p>
    <w:p w14:paraId="20C6A69E" w14:textId="77777777" w:rsidR="00E77F58" w:rsidRPr="00E77F58" w:rsidRDefault="00E77F58" w:rsidP="00E77F58">
      <w:pPr>
        <w:numPr>
          <w:ilvl w:val="1"/>
          <w:numId w:val="3"/>
        </w:numPr>
        <w:rPr>
          <w:rFonts w:ascii="Aptos" w:eastAsia="Times New Roman" w:hAnsi="Aptos" w:cs="Aptos"/>
          <w:kern w:val="0"/>
          <w:sz w:val="22"/>
        </w:rPr>
      </w:pPr>
      <w:r w:rsidRPr="00E77F58">
        <w:rPr>
          <w:rFonts w:ascii="Aptos" w:eastAsia="Times New Roman" w:hAnsi="Aptos" w:cs="Aptos"/>
          <w:kern w:val="0"/>
          <w:sz w:val="22"/>
        </w:rPr>
        <w:t xml:space="preserve">Are there any identified stakeholder registration categories that are not needed? If so, please identify and provide an explanation.  </w:t>
      </w:r>
    </w:p>
    <w:p w14:paraId="7FF2C08E" w14:textId="77777777" w:rsidR="00E77F58" w:rsidRPr="00E77F58" w:rsidRDefault="00E77F58" w:rsidP="00E77F58">
      <w:pPr>
        <w:rPr>
          <w:rFonts w:ascii="Aptos" w:eastAsia="Aptos" w:hAnsi="Aptos" w:cs="Aptos"/>
          <w:kern w:val="0"/>
          <w:sz w:val="22"/>
        </w:rPr>
      </w:pPr>
    </w:p>
    <w:p w14:paraId="1ED1FA87" w14:textId="0D5F3150" w:rsidR="00E77F58" w:rsidRPr="00E77F58" w:rsidRDefault="00E77F58" w:rsidP="00E77F58">
      <w:pPr>
        <w:rPr>
          <w:rFonts w:ascii="Aptos" w:eastAsia="Aptos" w:hAnsi="Aptos" w:cs="Aptos"/>
          <w:kern w:val="0"/>
          <w:sz w:val="22"/>
        </w:rPr>
      </w:pPr>
      <w:r w:rsidRPr="00E77F58">
        <w:rPr>
          <w:rFonts w:ascii="Aptos" w:eastAsia="Aptos" w:hAnsi="Aptos" w:cs="Aptos"/>
          <w:kern w:val="0"/>
          <w:sz w:val="22"/>
        </w:rPr>
        <w:t xml:space="preserve">Entities already registered within the NAESB EIR should not </w:t>
      </w:r>
      <w:proofErr w:type="gramStart"/>
      <w:r w:rsidRPr="00E77F58">
        <w:rPr>
          <w:rFonts w:ascii="Aptos" w:eastAsia="Aptos" w:hAnsi="Aptos" w:cs="Aptos"/>
          <w:kern w:val="0"/>
          <w:sz w:val="22"/>
        </w:rPr>
        <w:t>be duplicated</w:t>
      </w:r>
      <w:proofErr w:type="gramEnd"/>
      <w:r w:rsidRPr="00E77F58">
        <w:rPr>
          <w:rFonts w:ascii="Aptos" w:eastAsia="Aptos" w:hAnsi="Aptos" w:cs="Aptos"/>
          <w:kern w:val="0"/>
          <w:sz w:val="22"/>
        </w:rPr>
        <w:t xml:space="preserve"> within a separate registry.</w:t>
      </w:r>
    </w:p>
    <w:p w14:paraId="7884D918" w14:textId="77777777" w:rsidR="00E77F58" w:rsidRPr="00E77F58" w:rsidRDefault="00E77F58" w:rsidP="00E77F58">
      <w:pPr>
        <w:rPr>
          <w:rFonts w:ascii="Aptos" w:eastAsia="Aptos" w:hAnsi="Aptos" w:cs="Aptos"/>
          <w:kern w:val="0"/>
          <w:sz w:val="22"/>
        </w:rPr>
      </w:pPr>
    </w:p>
    <w:p w14:paraId="1B895592" w14:textId="77777777" w:rsidR="00E77F58" w:rsidRPr="00E77F58" w:rsidRDefault="00E77F58" w:rsidP="00E77F58">
      <w:pPr>
        <w:numPr>
          <w:ilvl w:val="0"/>
          <w:numId w:val="3"/>
        </w:numPr>
        <w:rPr>
          <w:rFonts w:ascii="Aptos" w:eastAsia="Times New Roman" w:hAnsi="Aptos" w:cs="Aptos"/>
          <w:kern w:val="0"/>
          <w:sz w:val="22"/>
        </w:rPr>
      </w:pPr>
      <w:r w:rsidRPr="00E77F58">
        <w:rPr>
          <w:rFonts w:ascii="Aptos" w:eastAsia="Times New Roman" w:hAnsi="Aptos" w:cs="Aptos"/>
          <w:kern w:val="0"/>
          <w:sz w:val="22"/>
        </w:rPr>
        <w:t>Would NAESB Business Practice Standards to facilitate interoperability between existing and future DER and aggregation registries and other industry tools be beneficial? Why or why not?</w:t>
      </w:r>
    </w:p>
    <w:p w14:paraId="7EA49295" w14:textId="77777777" w:rsidR="00E77F58" w:rsidRPr="00E77F58" w:rsidRDefault="00E77F58" w:rsidP="00E77F58">
      <w:pPr>
        <w:rPr>
          <w:rFonts w:ascii="Aptos" w:eastAsia="Aptos" w:hAnsi="Aptos" w:cs="Aptos"/>
          <w:kern w:val="0"/>
          <w:sz w:val="22"/>
        </w:rPr>
      </w:pPr>
    </w:p>
    <w:p w14:paraId="0A986873" w14:textId="1297140E" w:rsidR="00E77F58" w:rsidRPr="00E77F58" w:rsidRDefault="00E77F58" w:rsidP="00E77F58">
      <w:pPr>
        <w:rPr>
          <w:rFonts w:ascii="Aptos" w:eastAsia="Aptos" w:hAnsi="Aptos" w:cs="Aptos"/>
          <w:kern w:val="0"/>
          <w:sz w:val="22"/>
        </w:rPr>
      </w:pPr>
      <w:r w:rsidRPr="00E77F58">
        <w:rPr>
          <w:rFonts w:ascii="Aptos" w:eastAsia="Aptos" w:hAnsi="Aptos" w:cs="Aptos"/>
          <w:kern w:val="0"/>
          <w:sz w:val="22"/>
        </w:rPr>
        <w:t xml:space="preserve">Organized wholesale electric markets have clear registration processes for participation.  </w:t>
      </w:r>
      <w:r w:rsidR="00F37467">
        <w:rPr>
          <w:rFonts w:ascii="Aptos" w:eastAsia="Aptos" w:hAnsi="Aptos" w:cs="Aptos"/>
          <w:kern w:val="0"/>
          <w:sz w:val="22"/>
        </w:rPr>
        <w:t xml:space="preserve">Potential </w:t>
      </w:r>
      <w:r w:rsidRPr="00E77F58">
        <w:rPr>
          <w:rFonts w:ascii="Aptos" w:eastAsia="Aptos" w:hAnsi="Aptos" w:cs="Aptos"/>
          <w:kern w:val="0"/>
          <w:sz w:val="22"/>
        </w:rPr>
        <w:t xml:space="preserve">standards </w:t>
      </w:r>
      <w:r w:rsidR="00F37467">
        <w:rPr>
          <w:rFonts w:ascii="Aptos" w:eastAsia="Aptos" w:hAnsi="Aptos" w:cs="Aptos"/>
          <w:kern w:val="0"/>
          <w:sz w:val="22"/>
        </w:rPr>
        <w:t>c</w:t>
      </w:r>
      <w:r w:rsidRPr="00E77F58">
        <w:rPr>
          <w:rFonts w:ascii="Aptos" w:eastAsia="Aptos" w:hAnsi="Aptos" w:cs="Aptos"/>
          <w:kern w:val="0"/>
          <w:sz w:val="22"/>
        </w:rPr>
        <w:t xml:space="preserve">ould focus on addressing gaps that may exist at the </w:t>
      </w:r>
      <w:r w:rsidR="005347C5">
        <w:rPr>
          <w:rFonts w:ascii="Aptos" w:eastAsia="Aptos" w:hAnsi="Aptos" w:cs="Aptos"/>
          <w:kern w:val="0"/>
          <w:sz w:val="22"/>
        </w:rPr>
        <w:t xml:space="preserve">retail </w:t>
      </w:r>
      <w:r w:rsidRPr="00E77F58">
        <w:rPr>
          <w:rFonts w:ascii="Aptos" w:eastAsia="Aptos" w:hAnsi="Aptos" w:cs="Aptos"/>
          <w:kern w:val="0"/>
          <w:sz w:val="22"/>
        </w:rPr>
        <w:t xml:space="preserve">DER device or DER asset level with data collections focused upon </w:t>
      </w:r>
      <w:proofErr w:type="gramStart"/>
      <w:r w:rsidRPr="00E77F58">
        <w:rPr>
          <w:rFonts w:ascii="Aptos" w:eastAsia="Aptos" w:hAnsi="Aptos" w:cs="Aptos"/>
          <w:kern w:val="0"/>
          <w:sz w:val="22"/>
        </w:rPr>
        <w:t>identifying</w:t>
      </w:r>
      <w:proofErr w:type="gramEnd"/>
      <w:r w:rsidRPr="00E77F58">
        <w:rPr>
          <w:rFonts w:ascii="Aptos" w:eastAsia="Aptos" w:hAnsi="Aptos" w:cs="Aptos"/>
          <w:kern w:val="0"/>
          <w:sz w:val="22"/>
        </w:rPr>
        <w:t xml:space="preserve"> location, meter, and individual customer level.  This </w:t>
      </w:r>
      <w:r w:rsidR="005347C5">
        <w:rPr>
          <w:rFonts w:ascii="Aptos" w:eastAsia="Aptos" w:hAnsi="Aptos" w:cs="Aptos"/>
          <w:kern w:val="0"/>
          <w:sz w:val="22"/>
        </w:rPr>
        <w:t>c</w:t>
      </w:r>
      <w:r w:rsidRPr="00E77F58">
        <w:rPr>
          <w:rFonts w:ascii="Aptos" w:eastAsia="Aptos" w:hAnsi="Aptos" w:cs="Aptos"/>
          <w:kern w:val="0"/>
          <w:sz w:val="22"/>
        </w:rPr>
        <w:t xml:space="preserve">ould provide the visibility of the DER assets to ensure there is no duplication of market registration or participation.  NAESB could also explore </w:t>
      </w:r>
      <w:r w:rsidR="00501A2B">
        <w:rPr>
          <w:rFonts w:ascii="Aptos" w:eastAsia="Aptos" w:hAnsi="Aptos" w:cs="Aptos"/>
          <w:kern w:val="0"/>
          <w:sz w:val="22"/>
        </w:rPr>
        <w:t>standards</w:t>
      </w:r>
      <w:r w:rsidRPr="00E77F58">
        <w:rPr>
          <w:rFonts w:ascii="Aptos" w:eastAsia="Aptos" w:hAnsi="Aptos" w:cs="Aptos"/>
          <w:kern w:val="0"/>
          <w:sz w:val="22"/>
        </w:rPr>
        <w:t xml:space="preserve"> for distribution level assets migration into and out of a participation model</w:t>
      </w:r>
      <w:r w:rsidR="00501A2B">
        <w:rPr>
          <w:rFonts w:ascii="Aptos" w:eastAsia="Aptos" w:hAnsi="Aptos" w:cs="Aptos"/>
          <w:kern w:val="0"/>
          <w:sz w:val="22"/>
        </w:rPr>
        <w:t>s</w:t>
      </w:r>
      <w:r w:rsidRPr="00E77F58">
        <w:rPr>
          <w:rFonts w:ascii="Aptos" w:eastAsia="Aptos" w:hAnsi="Aptos" w:cs="Aptos"/>
          <w:kern w:val="0"/>
          <w:sz w:val="22"/>
        </w:rPr>
        <w:t xml:space="preserve"> to ensure common updates </w:t>
      </w:r>
      <w:proofErr w:type="gramStart"/>
      <w:r w:rsidRPr="00E77F58">
        <w:rPr>
          <w:rFonts w:ascii="Aptos" w:eastAsia="Aptos" w:hAnsi="Aptos" w:cs="Aptos"/>
          <w:kern w:val="0"/>
          <w:sz w:val="22"/>
        </w:rPr>
        <w:t>are made</w:t>
      </w:r>
      <w:proofErr w:type="gramEnd"/>
      <w:r w:rsidRPr="00E77F58">
        <w:rPr>
          <w:rFonts w:ascii="Aptos" w:eastAsia="Aptos" w:hAnsi="Aptos" w:cs="Aptos"/>
          <w:kern w:val="0"/>
          <w:sz w:val="22"/>
        </w:rPr>
        <w:t>, assuming there is no conflicting requirement from the RTO.</w:t>
      </w:r>
    </w:p>
    <w:p w14:paraId="13EBC33F" w14:textId="77777777" w:rsidR="00E77F58" w:rsidRPr="00E77F58" w:rsidRDefault="00E77F58" w:rsidP="00E77F58">
      <w:pPr>
        <w:rPr>
          <w:rFonts w:ascii="Aptos" w:eastAsia="Aptos" w:hAnsi="Aptos" w:cs="Aptos"/>
          <w:kern w:val="0"/>
          <w:sz w:val="22"/>
        </w:rPr>
      </w:pPr>
    </w:p>
    <w:p w14:paraId="56ADF598" w14:textId="77777777" w:rsidR="00E77F58" w:rsidRPr="00E77F58" w:rsidRDefault="00E77F58" w:rsidP="00E77F58">
      <w:pPr>
        <w:numPr>
          <w:ilvl w:val="0"/>
          <w:numId w:val="3"/>
        </w:numPr>
        <w:rPr>
          <w:rFonts w:ascii="Aptos" w:eastAsia="Times New Roman" w:hAnsi="Aptos" w:cs="Aptos"/>
          <w:kern w:val="0"/>
          <w:sz w:val="22"/>
        </w:rPr>
      </w:pPr>
      <w:r w:rsidRPr="00E77F58">
        <w:rPr>
          <w:rFonts w:ascii="Aptos" w:eastAsia="Times New Roman" w:hAnsi="Aptos" w:cs="Aptos"/>
          <w:kern w:val="0"/>
          <w:sz w:val="22"/>
        </w:rPr>
        <w:t xml:space="preserve">Would the creation of a DER Entity Registry and the development of NAESB Business Practice Standards to facilitate interoperability be beneficial to: </w:t>
      </w:r>
    </w:p>
    <w:p w14:paraId="6AB39A6A" w14:textId="77777777" w:rsidR="00E77F58" w:rsidRPr="00E77F58" w:rsidRDefault="00E77F58" w:rsidP="00E77F58">
      <w:pPr>
        <w:numPr>
          <w:ilvl w:val="1"/>
          <w:numId w:val="3"/>
        </w:numPr>
        <w:rPr>
          <w:rFonts w:ascii="Aptos" w:eastAsia="Times New Roman" w:hAnsi="Aptos" w:cs="Aptos"/>
          <w:kern w:val="0"/>
          <w:sz w:val="22"/>
        </w:rPr>
      </w:pPr>
      <w:r w:rsidRPr="00E77F58">
        <w:rPr>
          <w:rFonts w:ascii="Aptos" w:eastAsia="Times New Roman" w:hAnsi="Aptos" w:cs="Aptos"/>
          <w:kern w:val="0"/>
          <w:sz w:val="22"/>
        </w:rPr>
        <w:t>Support broader integration of DERs and aggregations by industry? Why or why not?</w:t>
      </w:r>
    </w:p>
    <w:p w14:paraId="0737B851" w14:textId="77777777" w:rsidR="00E77F58" w:rsidRPr="00E77F58" w:rsidRDefault="00E77F58" w:rsidP="00E77F58">
      <w:pPr>
        <w:rPr>
          <w:rFonts w:ascii="Aptos" w:eastAsia="Aptos" w:hAnsi="Aptos" w:cs="Aptos"/>
          <w:kern w:val="0"/>
          <w:sz w:val="22"/>
        </w:rPr>
      </w:pPr>
    </w:p>
    <w:p w14:paraId="7FA6ACCD" w14:textId="482ED363" w:rsidR="00E77F58" w:rsidRDefault="00E77F58" w:rsidP="00E77F58">
      <w:pPr>
        <w:rPr>
          <w:rFonts w:ascii="Aptos" w:eastAsia="Aptos" w:hAnsi="Aptos" w:cs="Aptos"/>
          <w:kern w:val="0"/>
          <w:sz w:val="22"/>
        </w:rPr>
      </w:pPr>
      <w:r w:rsidRPr="00E77F58">
        <w:rPr>
          <w:rFonts w:ascii="Aptos" w:eastAsia="Aptos" w:hAnsi="Aptos" w:cs="Aptos"/>
          <w:kern w:val="0"/>
          <w:sz w:val="22"/>
        </w:rPr>
        <w:t xml:space="preserve">As </w:t>
      </w:r>
      <w:r w:rsidR="00900F0F">
        <w:rPr>
          <w:rFonts w:ascii="Aptos" w:eastAsia="Aptos" w:hAnsi="Aptos" w:cs="Aptos"/>
          <w:kern w:val="0"/>
          <w:sz w:val="22"/>
        </w:rPr>
        <w:t xml:space="preserve">the EIR </w:t>
      </w:r>
      <w:r w:rsidRPr="00E77F58">
        <w:rPr>
          <w:rFonts w:ascii="Aptos" w:eastAsia="Aptos" w:hAnsi="Aptos" w:cs="Aptos"/>
          <w:kern w:val="0"/>
          <w:sz w:val="22"/>
        </w:rPr>
        <w:t xml:space="preserve">is in place, </w:t>
      </w:r>
      <w:proofErr w:type="gramStart"/>
      <w:r w:rsidRPr="00E77F58">
        <w:rPr>
          <w:rFonts w:ascii="Aptos" w:eastAsia="Aptos" w:hAnsi="Aptos" w:cs="Aptos"/>
          <w:kern w:val="0"/>
          <w:sz w:val="22"/>
        </w:rPr>
        <w:t>additional</w:t>
      </w:r>
      <w:proofErr w:type="gramEnd"/>
      <w:r w:rsidRPr="00E77F58">
        <w:rPr>
          <w:rFonts w:ascii="Aptos" w:eastAsia="Aptos" w:hAnsi="Aptos" w:cs="Aptos"/>
          <w:kern w:val="0"/>
          <w:sz w:val="22"/>
        </w:rPr>
        <w:t xml:space="preserve"> roles may be helpful for distribution level awareness of owners and operators of the DERs</w:t>
      </w:r>
      <w:r w:rsidR="001701A9">
        <w:rPr>
          <w:rFonts w:ascii="Aptos" w:eastAsia="Aptos" w:hAnsi="Aptos" w:cs="Aptos"/>
          <w:kern w:val="0"/>
          <w:sz w:val="22"/>
        </w:rPr>
        <w:t>, however it would not be beneficial to have another registry of entities.</w:t>
      </w:r>
    </w:p>
    <w:p w14:paraId="26AB2387" w14:textId="77777777" w:rsidR="001701A9" w:rsidRPr="00E77F58" w:rsidRDefault="001701A9" w:rsidP="00E77F58">
      <w:pPr>
        <w:rPr>
          <w:rFonts w:ascii="Aptos" w:eastAsia="Aptos" w:hAnsi="Aptos" w:cs="Aptos"/>
          <w:kern w:val="0"/>
          <w:sz w:val="22"/>
        </w:rPr>
      </w:pPr>
    </w:p>
    <w:p w14:paraId="38402936" w14:textId="77777777" w:rsidR="00E77F58" w:rsidRPr="00E77F58" w:rsidRDefault="00E77F58" w:rsidP="00E77F58">
      <w:pPr>
        <w:numPr>
          <w:ilvl w:val="1"/>
          <w:numId w:val="3"/>
        </w:numPr>
        <w:rPr>
          <w:rFonts w:ascii="Aptos" w:eastAsia="Times New Roman" w:hAnsi="Aptos" w:cs="Aptos"/>
          <w:kern w:val="0"/>
          <w:sz w:val="22"/>
        </w:rPr>
      </w:pPr>
      <w:r w:rsidRPr="00E77F58">
        <w:rPr>
          <w:rFonts w:ascii="Aptos" w:eastAsia="Times New Roman" w:hAnsi="Aptos" w:cs="Aptos"/>
          <w:kern w:val="0"/>
          <w:sz w:val="22"/>
        </w:rPr>
        <w:t>Help industry respond to FERC Order No. 2222, FERC Order No. 901, and/or needs for DER data?  Why or why not?</w:t>
      </w:r>
    </w:p>
    <w:p w14:paraId="1079D676" w14:textId="77777777" w:rsidR="00E77F58" w:rsidRPr="00E77F58" w:rsidRDefault="00E77F58" w:rsidP="00E77F58">
      <w:pPr>
        <w:rPr>
          <w:rFonts w:ascii="Aptos" w:eastAsia="Aptos" w:hAnsi="Aptos" w:cs="Aptos"/>
          <w:kern w:val="0"/>
          <w:sz w:val="22"/>
        </w:rPr>
      </w:pPr>
    </w:p>
    <w:p w14:paraId="2D25182D" w14:textId="46A2D97A" w:rsidR="00E77F58" w:rsidRPr="00E77F58" w:rsidRDefault="00E77F58" w:rsidP="00E77F58">
      <w:pPr>
        <w:rPr>
          <w:rFonts w:ascii="Aptos" w:eastAsia="Aptos" w:hAnsi="Aptos" w:cs="Aptos"/>
          <w:kern w:val="0"/>
          <w:sz w:val="22"/>
        </w:rPr>
      </w:pPr>
      <w:r w:rsidRPr="00E77F58">
        <w:rPr>
          <w:rFonts w:ascii="Aptos" w:eastAsia="Aptos" w:hAnsi="Aptos" w:cs="Aptos"/>
          <w:kern w:val="0"/>
          <w:sz w:val="22"/>
        </w:rPr>
        <w:t>It is unclear how those with</w:t>
      </w:r>
      <w:r w:rsidR="001701A9">
        <w:rPr>
          <w:rFonts w:ascii="Aptos" w:eastAsia="Aptos" w:hAnsi="Aptos" w:cs="Aptos"/>
          <w:kern w:val="0"/>
          <w:sz w:val="22"/>
        </w:rPr>
        <w:t xml:space="preserve"> FERC tariff revisions addressing </w:t>
      </w:r>
      <w:r w:rsidRPr="00E77F58">
        <w:rPr>
          <w:rFonts w:ascii="Aptos" w:eastAsia="Aptos" w:hAnsi="Aptos" w:cs="Aptos"/>
          <w:kern w:val="0"/>
          <w:sz w:val="22"/>
        </w:rPr>
        <w:t xml:space="preserve">Order 2222 would </w:t>
      </w:r>
      <w:proofErr w:type="gramStart"/>
      <w:r w:rsidRPr="00E77F58">
        <w:rPr>
          <w:rFonts w:ascii="Aptos" w:eastAsia="Aptos" w:hAnsi="Aptos" w:cs="Aptos"/>
          <w:kern w:val="0"/>
          <w:sz w:val="22"/>
        </w:rPr>
        <w:t>benefit</w:t>
      </w:r>
      <w:proofErr w:type="gramEnd"/>
      <w:r w:rsidRPr="00E77F58">
        <w:rPr>
          <w:rFonts w:ascii="Aptos" w:eastAsia="Aptos" w:hAnsi="Aptos" w:cs="Aptos"/>
          <w:kern w:val="0"/>
          <w:sz w:val="22"/>
        </w:rPr>
        <w:t xml:space="preserve"> from </w:t>
      </w:r>
      <w:proofErr w:type="gramStart"/>
      <w:r w:rsidRPr="00E77F58">
        <w:rPr>
          <w:rFonts w:ascii="Aptos" w:eastAsia="Aptos" w:hAnsi="Aptos" w:cs="Aptos"/>
          <w:kern w:val="0"/>
          <w:sz w:val="22"/>
        </w:rPr>
        <w:t>additional</w:t>
      </w:r>
      <w:proofErr w:type="gramEnd"/>
      <w:r w:rsidRPr="00E77F58">
        <w:rPr>
          <w:rFonts w:ascii="Aptos" w:eastAsia="Aptos" w:hAnsi="Aptos" w:cs="Aptos"/>
          <w:kern w:val="0"/>
          <w:sz w:val="22"/>
        </w:rPr>
        <w:t xml:space="preserve"> standards or registries.  The entities which would be </w:t>
      </w:r>
      <w:proofErr w:type="gramStart"/>
      <w:r w:rsidRPr="00E77F58">
        <w:rPr>
          <w:rFonts w:ascii="Aptos" w:eastAsia="Aptos" w:hAnsi="Aptos" w:cs="Aptos"/>
          <w:kern w:val="0"/>
          <w:sz w:val="22"/>
        </w:rPr>
        <w:t>participating</w:t>
      </w:r>
      <w:proofErr w:type="gramEnd"/>
      <w:r w:rsidRPr="00E77F58">
        <w:rPr>
          <w:rFonts w:ascii="Aptos" w:eastAsia="Aptos" w:hAnsi="Aptos" w:cs="Aptos"/>
          <w:kern w:val="0"/>
          <w:sz w:val="22"/>
        </w:rPr>
        <w:t xml:space="preserve"> under such an order, </w:t>
      </w:r>
      <w:proofErr w:type="gramStart"/>
      <w:r w:rsidRPr="00E77F58">
        <w:rPr>
          <w:rFonts w:ascii="Aptos" w:eastAsia="Aptos" w:hAnsi="Aptos" w:cs="Aptos"/>
          <w:kern w:val="0"/>
          <w:sz w:val="22"/>
        </w:rPr>
        <w:t>e.g.</w:t>
      </w:r>
      <w:proofErr w:type="gramEnd"/>
      <w:r w:rsidRPr="00E77F58">
        <w:rPr>
          <w:rFonts w:ascii="Aptos" w:eastAsia="Aptos" w:hAnsi="Aptos" w:cs="Aptos"/>
          <w:kern w:val="0"/>
          <w:sz w:val="22"/>
        </w:rPr>
        <w:t xml:space="preserve"> DER, Aggregators, </w:t>
      </w:r>
      <w:r w:rsidR="001701A9">
        <w:rPr>
          <w:rFonts w:ascii="Aptos" w:eastAsia="Aptos" w:hAnsi="Aptos" w:cs="Aptos"/>
          <w:kern w:val="0"/>
          <w:sz w:val="22"/>
        </w:rPr>
        <w:t xml:space="preserve">Distribution Utilities, </w:t>
      </w:r>
      <w:r w:rsidRPr="00E77F58">
        <w:rPr>
          <w:rFonts w:ascii="Aptos" w:eastAsia="Aptos" w:hAnsi="Aptos" w:cs="Aptos"/>
          <w:kern w:val="0"/>
          <w:sz w:val="22"/>
        </w:rPr>
        <w:t>etc.</w:t>
      </w:r>
      <w:r w:rsidR="006D0379">
        <w:rPr>
          <w:rFonts w:ascii="Aptos" w:eastAsia="Aptos" w:hAnsi="Aptos" w:cs="Aptos"/>
          <w:kern w:val="0"/>
          <w:sz w:val="22"/>
        </w:rPr>
        <w:t>,</w:t>
      </w:r>
      <w:r w:rsidRPr="00E77F58">
        <w:rPr>
          <w:rFonts w:ascii="Aptos" w:eastAsia="Aptos" w:hAnsi="Aptos" w:cs="Aptos"/>
          <w:kern w:val="0"/>
          <w:sz w:val="22"/>
        </w:rPr>
        <w:t xml:space="preserve"> could benefit from the organization and visibility of these resources, however this is not a wholesale level domain, rather a retail level opportunity.</w:t>
      </w:r>
    </w:p>
    <w:p w14:paraId="031D4FBE" w14:textId="77777777" w:rsidR="00E77F58" w:rsidRPr="00E77F58" w:rsidRDefault="00E77F58" w:rsidP="00E77F58">
      <w:pPr>
        <w:rPr>
          <w:rFonts w:ascii="Aptos" w:eastAsia="Aptos" w:hAnsi="Aptos" w:cs="Aptos"/>
          <w:kern w:val="0"/>
          <w:sz w:val="22"/>
        </w:rPr>
      </w:pPr>
    </w:p>
    <w:p w14:paraId="1688D3E3" w14:textId="77777777" w:rsidR="00E77F58" w:rsidRPr="00E77F58" w:rsidRDefault="00E77F58" w:rsidP="00E77F58">
      <w:pPr>
        <w:numPr>
          <w:ilvl w:val="0"/>
          <w:numId w:val="3"/>
        </w:numPr>
        <w:rPr>
          <w:rFonts w:ascii="Aptos" w:eastAsia="Times New Roman" w:hAnsi="Aptos" w:cs="Aptos"/>
          <w:kern w:val="0"/>
          <w:sz w:val="22"/>
        </w:rPr>
      </w:pPr>
      <w:r w:rsidRPr="00E77F58">
        <w:rPr>
          <w:rFonts w:ascii="Aptos" w:eastAsia="Times New Roman" w:hAnsi="Aptos" w:cs="Aptos"/>
          <w:kern w:val="0"/>
          <w:sz w:val="22"/>
        </w:rPr>
        <w:t xml:space="preserve">Please provide information about your organization’s role in the electric industry (e.g., market operator, distribution utility, etc.)?  </w:t>
      </w:r>
    </w:p>
    <w:p w14:paraId="1A357739" w14:textId="77777777" w:rsidR="00E77F58" w:rsidRPr="00E77F58" w:rsidRDefault="00E77F58" w:rsidP="00E77F58">
      <w:pPr>
        <w:rPr>
          <w:rFonts w:ascii="Aptos" w:eastAsia="Aptos" w:hAnsi="Aptos" w:cs="Aptos"/>
          <w:kern w:val="0"/>
          <w:sz w:val="22"/>
        </w:rPr>
      </w:pPr>
    </w:p>
    <w:p w14:paraId="102B8254" w14:textId="3CDE9707" w:rsidR="00E77F58" w:rsidRDefault="00E77F58" w:rsidP="00E77F58">
      <w:pPr>
        <w:rPr>
          <w:rFonts w:ascii="Aptos" w:eastAsia="Aptos" w:hAnsi="Aptos" w:cs="Aptos"/>
          <w:kern w:val="0"/>
          <w:sz w:val="22"/>
        </w:rPr>
      </w:pPr>
      <w:r w:rsidRPr="00E77F58">
        <w:rPr>
          <w:rFonts w:ascii="Aptos" w:eastAsia="Aptos" w:hAnsi="Aptos" w:cs="Aptos"/>
          <w:kern w:val="0"/>
          <w:sz w:val="22"/>
        </w:rPr>
        <w:t>SPP is an RTO with responsibilities for Reliability Coordination, Balancing Authority, Market Operator, Transmission Service Provider, Planning Coordinator, and Reserve Sharing Group.</w:t>
      </w:r>
    </w:p>
    <w:p w14:paraId="15D05D28" w14:textId="77777777" w:rsidR="001701A9" w:rsidRPr="00E77F58" w:rsidRDefault="001701A9" w:rsidP="00E77F58">
      <w:pPr>
        <w:rPr>
          <w:rFonts w:ascii="Aptos" w:eastAsia="Aptos" w:hAnsi="Aptos" w:cs="Aptos"/>
          <w:kern w:val="0"/>
          <w:sz w:val="22"/>
        </w:rPr>
      </w:pPr>
    </w:p>
    <w:p w14:paraId="703381F7" w14:textId="77777777" w:rsidR="00E77F58" w:rsidRPr="00E77F58" w:rsidRDefault="00E77F58" w:rsidP="00E77F58">
      <w:pPr>
        <w:numPr>
          <w:ilvl w:val="0"/>
          <w:numId w:val="3"/>
        </w:numPr>
        <w:rPr>
          <w:rFonts w:ascii="Aptos" w:eastAsia="Times New Roman" w:hAnsi="Aptos" w:cs="Aptos"/>
          <w:kern w:val="0"/>
          <w:sz w:val="22"/>
        </w:rPr>
      </w:pPr>
      <w:r w:rsidRPr="00E77F58">
        <w:rPr>
          <w:rFonts w:ascii="Aptos" w:eastAsia="Times New Roman" w:hAnsi="Aptos" w:cs="Aptos"/>
          <w:kern w:val="0"/>
          <w:sz w:val="22"/>
        </w:rPr>
        <w:t>Please provide any additional information, questions, or considerations that could provide guidance to the subcommittees in determining how to proceed.</w:t>
      </w:r>
    </w:p>
    <w:p w14:paraId="030DDC71" w14:textId="77777777" w:rsidR="00E77F58" w:rsidRPr="00E77F58" w:rsidRDefault="00E77F58" w:rsidP="00E77F58">
      <w:pPr>
        <w:ind w:left="720"/>
        <w:rPr>
          <w:rFonts w:ascii="Aptos" w:eastAsia="Aptos" w:hAnsi="Aptos" w:cs="Aptos"/>
          <w:kern w:val="0"/>
          <w:sz w:val="22"/>
        </w:rPr>
      </w:pPr>
    </w:p>
    <w:p w14:paraId="45CE8A55" w14:textId="201A1479" w:rsidR="00E77F58" w:rsidRPr="00E77F58" w:rsidRDefault="00E77F58" w:rsidP="00E77F58">
      <w:pPr>
        <w:rPr>
          <w:rFonts w:ascii="Aptos" w:eastAsia="Aptos" w:hAnsi="Aptos" w:cs="Aptos"/>
          <w:kern w:val="0"/>
          <w:sz w:val="22"/>
        </w:rPr>
      </w:pPr>
      <w:r w:rsidRPr="00E77F58">
        <w:rPr>
          <w:rFonts w:ascii="Aptos" w:eastAsia="Aptos" w:hAnsi="Aptos" w:cs="Aptos"/>
          <w:kern w:val="0"/>
          <w:sz w:val="22"/>
        </w:rPr>
        <w:t>With organized wholesale markets</w:t>
      </w:r>
      <w:r w:rsidR="00AE384B">
        <w:rPr>
          <w:rFonts w:ascii="Aptos" w:eastAsia="Aptos" w:hAnsi="Aptos" w:cs="Aptos"/>
          <w:kern w:val="0"/>
          <w:sz w:val="22"/>
        </w:rPr>
        <w:t xml:space="preserve"> </w:t>
      </w:r>
      <w:r w:rsidR="00185D8D">
        <w:rPr>
          <w:rFonts w:ascii="Aptos" w:eastAsia="Aptos" w:hAnsi="Aptos" w:cs="Aptos"/>
          <w:kern w:val="0"/>
          <w:sz w:val="22"/>
        </w:rPr>
        <w:t xml:space="preserve">already having defined </w:t>
      </w:r>
      <w:r w:rsidR="00AE384B">
        <w:rPr>
          <w:rFonts w:ascii="Aptos" w:eastAsia="Aptos" w:hAnsi="Aptos" w:cs="Aptos"/>
          <w:kern w:val="0"/>
          <w:sz w:val="22"/>
        </w:rPr>
        <w:t>registration requirements</w:t>
      </w:r>
      <w:r w:rsidRPr="00E77F58">
        <w:rPr>
          <w:rFonts w:ascii="Aptos" w:eastAsia="Aptos" w:hAnsi="Aptos" w:cs="Aptos"/>
          <w:kern w:val="0"/>
          <w:sz w:val="22"/>
        </w:rPr>
        <w:t xml:space="preserve">, the focus </w:t>
      </w:r>
      <w:r w:rsidR="00185D8D">
        <w:rPr>
          <w:rFonts w:ascii="Aptos" w:eastAsia="Aptos" w:hAnsi="Aptos" w:cs="Aptos"/>
          <w:kern w:val="0"/>
          <w:sz w:val="22"/>
        </w:rPr>
        <w:t>for th</w:t>
      </w:r>
      <w:r w:rsidR="00AC36EF">
        <w:rPr>
          <w:rFonts w:ascii="Aptos" w:eastAsia="Aptos" w:hAnsi="Aptos" w:cs="Aptos"/>
          <w:kern w:val="0"/>
          <w:sz w:val="22"/>
        </w:rPr>
        <w:t xml:space="preserve">ese annual plans should </w:t>
      </w:r>
      <w:r w:rsidR="001F0759">
        <w:rPr>
          <w:rFonts w:ascii="Aptos" w:eastAsia="Aptos" w:hAnsi="Aptos" w:cs="Aptos"/>
          <w:kern w:val="0"/>
          <w:sz w:val="22"/>
        </w:rPr>
        <w:t>be</w:t>
      </w:r>
      <w:r w:rsidR="00AC36EF">
        <w:rPr>
          <w:rFonts w:ascii="Aptos" w:eastAsia="Aptos" w:hAnsi="Aptos" w:cs="Aptos"/>
          <w:kern w:val="0"/>
          <w:sz w:val="22"/>
        </w:rPr>
        <w:t xml:space="preserve"> upon </w:t>
      </w:r>
      <w:r w:rsidRPr="00E77F58">
        <w:rPr>
          <w:rFonts w:ascii="Aptos" w:eastAsia="Aptos" w:hAnsi="Aptos" w:cs="Aptos"/>
          <w:kern w:val="0"/>
          <w:sz w:val="22"/>
        </w:rPr>
        <w:t xml:space="preserve">retail registries and standardization.  This will ensure proposed standards do not conflict with developed and adopted market rules.  The most beneficial standards </w:t>
      </w:r>
      <w:proofErr w:type="gramStart"/>
      <w:r w:rsidRPr="00E77F58">
        <w:rPr>
          <w:rFonts w:ascii="Aptos" w:eastAsia="Aptos" w:hAnsi="Aptos" w:cs="Aptos"/>
          <w:kern w:val="0"/>
          <w:sz w:val="22"/>
        </w:rPr>
        <w:t>appear to be</w:t>
      </w:r>
      <w:proofErr w:type="gramEnd"/>
      <w:r w:rsidRPr="00E77F58">
        <w:rPr>
          <w:rFonts w:ascii="Aptos" w:eastAsia="Aptos" w:hAnsi="Aptos" w:cs="Aptos"/>
          <w:kern w:val="0"/>
          <w:sz w:val="22"/>
        </w:rPr>
        <w:t xml:space="preserve"> focused upon DER assets, DER </w:t>
      </w:r>
      <w:r w:rsidR="00390229">
        <w:rPr>
          <w:rFonts w:ascii="Aptos" w:eastAsia="Aptos" w:hAnsi="Aptos" w:cs="Aptos"/>
          <w:kern w:val="0"/>
          <w:sz w:val="22"/>
        </w:rPr>
        <w:t>owners</w:t>
      </w:r>
      <w:r w:rsidRPr="00E77F58">
        <w:rPr>
          <w:rFonts w:ascii="Aptos" w:eastAsia="Aptos" w:hAnsi="Aptos" w:cs="Aptos"/>
          <w:kern w:val="0"/>
          <w:sz w:val="22"/>
        </w:rPr>
        <w:t>, and descriptors for those at a common level to support integration by distribution entities and aggregators.  </w:t>
      </w:r>
    </w:p>
    <w:p w14:paraId="1F9DA9F6" w14:textId="77777777" w:rsidR="00E77F58" w:rsidRPr="00E77F58" w:rsidRDefault="00E77F58" w:rsidP="00E77F58">
      <w:pPr>
        <w:rPr>
          <w:rFonts w:ascii="Aptos" w:eastAsia="Aptos" w:hAnsi="Aptos" w:cs="Aptos"/>
          <w:kern w:val="0"/>
          <w:sz w:val="22"/>
        </w:rPr>
      </w:pPr>
    </w:p>
    <w:p w14:paraId="34E4921B" w14:textId="12321B1D" w:rsidR="008F72DF" w:rsidRPr="00D45310" w:rsidRDefault="008F72DF" w:rsidP="00D45310">
      <w:pPr>
        <w:spacing w:before="120" w:after="120"/>
        <w:jc w:val="both"/>
        <w:rPr>
          <w:rFonts w:ascii="Aptos" w:hAnsi="Aptos"/>
          <w:szCs w:val="20"/>
        </w:rPr>
      </w:pPr>
    </w:p>
    <w:sectPr w:rsidR="008F72DF" w:rsidRPr="00D45310">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933AF" w14:textId="77777777" w:rsidR="005E499B" w:rsidRDefault="005E499B" w:rsidP="00DF387C">
      <w:r>
        <w:separator/>
      </w:r>
    </w:p>
  </w:endnote>
  <w:endnote w:type="continuationSeparator" w:id="0">
    <w:p w14:paraId="79076AFB" w14:textId="77777777" w:rsidR="005E499B" w:rsidRDefault="005E499B" w:rsidP="00DF3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C72D" w14:textId="5A31138B" w:rsidR="00EA7B17" w:rsidRDefault="00EA7B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211B" w14:textId="4314A1E9" w:rsidR="00FA277C" w:rsidRPr="00397CB7" w:rsidRDefault="00397CB7" w:rsidP="00FA277C">
    <w:pPr>
      <w:pStyle w:val="Footer"/>
      <w:jc w:val="right"/>
      <w:rPr>
        <w:rFonts w:ascii="Aptos" w:hAnsi="Aptos"/>
        <w:noProof/>
        <w:sz w:val="16"/>
        <w:szCs w:val="16"/>
      </w:rPr>
    </w:pPr>
    <w:r>
      <w:rPr>
        <w:rFonts w:ascii="Aptos" w:hAnsi="Aptos"/>
        <w:sz w:val="16"/>
        <w:szCs w:val="16"/>
      </w:rPr>
      <w:t>P</w:t>
    </w:r>
    <w:r w:rsidR="00FA277C" w:rsidRPr="00397CB7">
      <w:rPr>
        <w:rFonts w:ascii="Aptos" w:hAnsi="Aptos"/>
        <w:sz w:val="16"/>
        <w:szCs w:val="16"/>
      </w:rPr>
      <w:t xml:space="preserve">age </w:t>
    </w:r>
    <w:sdt>
      <w:sdtPr>
        <w:rPr>
          <w:rFonts w:ascii="Aptos" w:hAnsi="Aptos"/>
          <w:sz w:val="16"/>
          <w:szCs w:val="16"/>
        </w:rPr>
        <w:id w:val="135308976"/>
        <w:docPartObj>
          <w:docPartGallery w:val="Page Numbers (Bottom of Page)"/>
          <w:docPartUnique/>
        </w:docPartObj>
      </w:sdtPr>
      <w:sdtEndPr>
        <w:rPr>
          <w:noProof/>
        </w:rPr>
      </w:sdtEndPr>
      <w:sdtContent>
        <w:r w:rsidR="00FA277C" w:rsidRPr="00397CB7">
          <w:rPr>
            <w:rFonts w:ascii="Aptos" w:hAnsi="Aptos"/>
            <w:sz w:val="16"/>
            <w:szCs w:val="16"/>
          </w:rPr>
          <w:fldChar w:fldCharType="begin"/>
        </w:r>
        <w:r w:rsidR="00FA277C" w:rsidRPr="00397CB7">
          <w:rPr>
            <w:rFonts w:ascii="Aptos" w:hAnsi="Aptos"/>
            <w:sz w:val="16"/>
            <w:szCs w:val="16"/>
          </w:rPr>
          <w:instrText xml:space="preserve"> PAGE   \* MERGEFORMAT </w:instrText>
        </w:r>
        <w:r w:rsidR="00FA277C" w:rsidRPr="00397CB7">
          <w:rPr>
            <w:rFonts w:ascii="Aptos" w:hAnsi="Aptos"/>
            <w:sz w:val="16"/>
            <w:szCs w:val="16"/>
          </w:rPr>
          <w:fldChar w:fldCharType="separate"/>
        </w:r>
        <w:r w:rsidR="00FA277C" w:rsidRPr="00397CB7">
          <w:rPr>
            <w:rFonts w:ascii="Aptos" w:hAnsi="Aptos"/>
            <w:noProof/>
            <w:sz w:val="16"/>
            <w:szCs w:val="16"/>
          </w:rPr>
          <w:t>2</w:t>
        </w:r>
        <w:r w:rsidR="00FA277C" w:rsidRPr="00397CB7">
          <w:rPr>
            <w:rFonts w:ascii="Aptos" w:hAnsi="Aptos"/>
            <w:noProof/>
            <w:sz w:val="16"/>
            <w:szCs w:val="16"/>
          </w:rPr>
          <w:fldChar w:fldCharType="end"/>
        </w:r>
      </w:sdtContent>
    </w:sdt>
  </w:p>
  <w:p w14:paraId="62ECAD48" w14:textId="77777777" w:rsidR="00FA277C" w:rsidRDefault="00FA277C" w:rsidP="00FA27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1D9EB" w14:textId="55DECC4F" w:rsidR="00EA7B17" w:rsidRDefault="00EA7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7D0B5" w14:textId="77777777" w:rsidR="005E499B" w:rsidRDefault="005E499B" w:rsidP="00DF387C">
      <w:r>
        <w:separator/>
      </w:r>
    </w:p>
  </w:footnote>
  <w:footnote w:type="continuationSeparator" w:id="0">
    <w:p w14:paraId="571458B7" w14:textId="77777777" w:rsidR="005E499B" w:rsidRDefault="005E499B" w:rsidP="00DF3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E20E6"/>
    <w:multiLevelType w:val="hybridMultilevel"/>
    <w:tmpl w:val="4A5630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5C6444"/>
    <w:multiLevelType w:val="hybridMultilevel"/>
    <w:tmpl w:val="C30C4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6164182">
    <w:abstractNumId w:val="0"/>
  </w:num>
  <w:num w:numId="2" w16cid:durableId="545414247">
    <w:abstractNumId w:val="1"/>
  </w:num>
  <w:num w:numId="3" w16cid:durableId="17949777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E0D"/>
    <w:rsid w:val="00010ABC"/>
    <w:rsid w:val="000155B3"/>
    <w:rsid w:val="0002637B"/>
    <w:rsid w:val="00027520"/>
    <w:rsid w:val="00027C24"/>
    <w:rsid w:val="00036C22"/>
    <w:rsid w:val="00040420"/>
    <w:rsid w:val="00050808"/>
    <w:rsid w:val="00054D1D"/>
    <w:rsid w:val="000630F2"/>
    <w:rsid w:val="00082A71"/>
    <w:rsid w:val="00091294"/>
    <w:rsid w:val="00093838"/>
    <w:rsid w:val="000A33BD"/>
    <w:rsid w:val="000B1736"/>
    <w:rsid w:val="000B78FC"/>
    <w:rsid w:val="000C425F"/>
    <w:rsid w:val="000D2D38"/>
    <w:rsid w:val="000D4E0D"/>
    <w:rsid w:val="000D5FC6"/>
    <w:rsid w:val="000E657F"/>
    <w:rsid w:val="00103121"/>
    <w:rsid w:val="00121C12"/>
    <w:rsid w:val="0012589D"/>
    <w:rsid w:val="00127CB6"/>
    <w:rsid w:val="001335CA"/>
    <w:rsid w:val="00134910"/>
    <w:rsid w:val="001466F3"/>
    <w:rsid w:val="00164DD2"/>
    <w:rsid w:val="001701A9"/>
    <w:rsid w:val="001702E1"/>
    <w:rsid w:val="00170C41"/>
    <w:rsid w:val="00173849"/>
    <w:rsid w:val="00185D8D"/>
    <w:rsid w:val="001906BD"/>
    <w:rsid w:val="00196E70"/>
    <w:rsid w:val="001A710A"/>
    <w:rsid w:val="001B3CF1"/>
    <w:rsid w:val="001C3FDB"/>
    <w:rsid w:val="001D2C15"/>
    <w:rsid w:val="001D74C7"/>
    <w:rsid w:val="001F0759"/>
    <w:rsid w:val="001F5C75"/>
    <w:rsid w:val="00200E72"/>
    <w:rsid w:val="00202F6D"/>
    <w:rsid w:val="00205ECC"/>
    <w:rsid w:val="002204B2"/>
    <w:rsid w:val="00230562"/>
    <w:rsid w:val="002339EA"/>
    <w:rsid w:val="00244E15"/>
    <w:rsid w:val="00261B28"/>
    <w:rsid w:val="00262F4C"/>
    <w:rsid w:val="00280EB2"/>
    <w:rsid w:val="00282B88"/>
    <w:rsid w:val="00292BAE"/>
    <w:rsid w:val="00297539"/>
    <w:rsid w:val="00297588"/>
    <w:rsid w:val="002A07F8"/>
    <w:rsid w:val="002A53FA"/>
    <w:rsid w:val="002A554A"/>
    <w:rsid w:val="002B45F3"/>
    <w:rsid w:val="002C4E6C"/>
    <w:rsid w:val="002C57C5"/>
    <w:rsid w:val="002D3743"/>
    <w:rsid w:val="002D4719"/>
    <w:rsid w:val="002E0F33"/>
    <w:rsid w:val="002E27A3"/>
    <w:rsid w:val="002E6223"/>
    <w:rsid w:val="002F6185"/>
    <w:rsid w:val="00312200"/>
    <w:rsid w:val="003312E0"/>
    <w:rsid w:val="00331A5F"/>
    <w:rsid w:val="00346D82"/>
    <w:rsid w:val="0036032A"/>
    <w:rsid w:val="003634AD"/>
    <w:rsid w:val="00364253"/>
    <w:rsid w:val="00364401"/>
    <w:rsid w:val="00370ABA"/>
    <w:rsid w:val="00385FBD"/>
    <w:rsid w:val="00390229"/>
    <w:rsid w:val="00397CB7"/>
    <w:rsid w:val="003B1A8A"/>
    <w:rsid w:val="003B577D"/>
    <w:rsid w:val="00401CC8"/>
    <w:rsid w:val="0041196E"/>
    <w:rsid w:val="00426DFE"/>
    <w:rsid w:val="0042793A"/>
    <w:rsid w:val="00432949"/>
    <w:rsid w:val="00442A84"/>
    <w:rsid w:val="00453B2B"/>
    <w:rsid w:val="00455A7C"/>
    <w:rsid w:val="0046155A"/>
    <w:rsid w:val="00482986"/>
    <w:rsid w:val="004854D4"/>
    <w:rsid w:val="0049124E"/>
    <w:rsid w:val="0049649A"/>
    <w:rsid w:val="004A4FC7"/>
    <w:rsid w:val="004D3869"/>
    <w:rsid w:val="004E3032"/>
    <w:rsid w:val="004F3E5C"/>
    <w:rsid w:val="004F41EB"/>
    <w:rsid w:val="00501A2B"/>
    <w:rsid w:val="005069E8"/>
    <w:rsid w:val="00517D25"/>
    <w:rsid w:val="00533DB1"/>
    <w:rsid w:val="005347C5"/>
    <w:rsid w:val="00537749"/>
    <w:rsid w:val="0054113A"/>
    <w:rsid w:val="0055575E"/>
    <w:rsid w:val="00561B79"/>
    <w:rsid w:val="0056683F"/>
    <w:rsid w:val="00591B28"/>
    <w:rsid w:val="005D0308"/>
    <w:rsid w:val="005D6DF9"/>
    <w:rsid w:val="005D7F08"/>
    <w:rsid w:val="005E499B"/>
    <w:rsid w:val="005E7781"/>
    <w:rsid w:val="00612CAD"/>
    <w:rsid w:val="00621D4B"/>
    <w:rsid w:val="00633137"/>
    <w:rsid w:val="006403EA"/>
    <w:rsid w:val="00662FBF"/>
    <w:rsid w:val="00684723"/>
    <w:rsid w:val="00687DCA"/>
    <w:rsid w:val="00690EAB"/>
    <w:rsid w:val="0069298B"/>
    <w:rsid w:val="006A2354"/>
    <w:rsid w:val="006B17F0"/>
    <w:rsid w:val="006B3B68"/>
    <w:rsid w:val="006D0379"/>
    <w:rsid w:val="006D1C0F"/>
    <w:rsid w:val="006D525D"/>
    <w:rsid w:val="006E5D1A"/>
    <w:rsid w:val="006F0D0C"/>
    <w:rsid w:val="007046D0"/>
    <w:rsid w:val="00710651"/>
    <w:rsid w:val="00744F96"/>
    <w:rsid w:val="00751E8A"/>
    <w:rsid w:val="007637EB"/>
    <w:rsid w:val="00767019"/>
    <w:rsid w:val="007771DB"/>
    <w:rsid w:val="00781A2C"/>
    <w:rsid w:val="00786019"/>
    <w:rsid w:val="00786CD3"/>
    <w:rsid w:val="007918CC"/>
    <w:rsid w:val="007924DB"/>
    <w:rsid w:val="007A4168"/>
    <w:rsid w:val="007A51BB"/>
    <w:rsid w:val="007A54CE"/>
    <w:rsid w:val="007C4BE2"/>
    <w:rsid w:val="007D5C67"/>
    <w:rsid w:val="007E38FE"/>
    <w:rsid w:val="0081045C"/>
    <w:rsid w:val="00811550"/>
    <w:rsid w:val="00824F5F"/>
    <w:rsid w:val="00832A22"/>
    <w:rsid w:val="00840193"/>
    <w:rsid w:val="00844873"/>
    <w:rsid w:val="00845CAA"/>
    <w:rsid w:val="0085118F"/>
    <w:rsid w:val="00851960"/>
    <w:rsid w:val="00860547"/>
    <w:rsid w:val="0087058E"/>
    <w:rsid w:val="00884F8D"/>
    <w:rsid w:val="008919E2"/>
    <w:rsid w:val="00897500"/>
    <w:rsid w:val="008A38C6"/>
    <w:rsid w:val="008A507F"/>
    <w:rsid w:val="008C4A8D"/>
    <w:rsid w:val="008D4628"/>
    <w:rsid w:val="008F72DF"/>
    <w:rsid w:val="00900F0F"/>
    <w:rsid w:val="00910FB3"/>
    <w:rsid w:val="00912CB2"/>
    <w:rsid w:val="00912EB3"/>
    <w:rsid w:val="00916132"/>
    <w:rsid w:val="00922E29"/>
    <w:rsid w:val="00932E3F"/>
    <w:rsid w:val="00942890"/>
    <w:rsid w:val="00957632"/>
    <w:rsid w:val="0096305A"/>
    <w:rsid w:val="00963407"/>
    <w:rsid w:val="00964C63"/>
    <w:rsid w:val="00980278"/>
    <w:rsid w:val="00985ED7"/>
    <w:rsid w:val="00992218"/>
    <w:rsid w:val="00994360"/>
    <w:rsid w:val="0099566F"/>
    <w:rsid w:val="009A2DD3"/>
    <w:rsid w:val="009D06BB"/>
    <w:rsid w:val="009D2643"/>
    <w:rsid w:val="009D2C15"/>
    <w:rsid w:val="009E0104"/>
    <w:rsid w:val="009E1A72"/>
    <w:rsid w:val="009F07C6"/>
    <w:rsid w:val="009F4FFD"/>
    <w:rsid w:val="00A11E24"/>
    <w:rsid w:val="00A16EF6"/>
    <w:rsid w:val="00A21A6C"/>
    <w:rsid w:val="00A30E89"/>
    <w:rsid w:val="00A4570A"/>
    <w:rsid w:val="00A464C1"/>
    <w:rsid w:val="00A47C98"/>
    <w:rsid w:val="00A60C8A"/>
    <w:rsid w:val="00A61FB4"/>
    <w:rsid w:val="00A77D4C"/>
    <w:rsid w:val="00A854EB"/>
    <w:rsid w:val="00A96E98"/>
    <w:rsid w:val="00A97A4D"/>
    <w:rsid w:val="00AA331A"/>
    <w:rsid w:val="00AA4727"/>
    <w:rsid w:val="00AB449B"/>
    <w:rsid w:val="00AB4D3E"/>
    <w:rsid w:val="00AB616B"/>
    <w:rsid w:val="00AC36EF"/>
    <w:rsid w:val="00AD540E"/>
    <w:rsid w:val="00AE384B"/>
    <w:rsid w:val="00B02DC5"/>
    <w:rsid w:val="00B232AB"/>
    <w:rsid w:val="00B24D81"/>
    <w:rsid w:val="00B25768"/>
    <w:rsid w:val="00B34319"/>
    <w:rsid w:val="00B36738"/>
    <w:rsid w:val="00B522FD"/>
    <w:rsid w:val="00B635E8"/>
    <w:rsid w:val="00B87EC8"/>
    <w:rsid w:val="00BA0396"/>
    <w:rsid w:val="00BD5AAF"/>
    <w:rsid w:val="00BE42CE"/>
    <w:rsid w:val="00BE72F0"/>
    <w:rsid w:val="00BF24BB"/>
    <w:rsid w:val="00C1036A"/>
    <w:rsid w:val="00C11792"/>
    <w:rsid w:val="00C156EB"/>
    <w:rsid w:val="00C22C69"/>
    <w:rsid w:val="00C2709A"/>
    <w:rsid w:val="00C40704"/>
    <w:rsid w:val="00C439F5"/>
    <w:rsid w:val="00C5404B"/>
    <w:rsid w:val="00C57CBA"/>
    <w:rsid w:val="00C7236E"/>
    <w:rsid w:val="00C76B67"/>
    <w:rsid w:val="00C76F7D"/>
    <w:rsid w:val="00C7777A"/>
    <w:rsid w:val="00C806E2"/>
    <w:rsid w:val="00C84451"/>
    <w:rsid w:val="00C90AA0"/>
    <w:rsid w:val="00C92351"/>
    <w:rsid w:val="00CA1AEC"/>
    <w:rsid w:val="00CB56BF"/>
    <w:rsid w:val="00CD7A6C"/>
    <w:rsid w:val="00CF1605"/>
    <w:rsid w:val="00D02873"/>
    <w:rsid w:val="00D04389"/>
    <w:rsid w:val="00D05FD0"/>
    <w:rsid w:val="00D11595"/>
    <w:rsid w:val="00D124BC"/>
    <w:rsid w:val="00D26610"/>
    <w:rsid w:val="00D3628C"/>
    <w:rsid w:val="00D45310"/>
    <w:rsid w:val="00D4576D"/>
    <w:rsid w:val="00D4603F"/>
    <w:rsid w:val="00D530C7"/>
    <w:rsid w:val="00D76EA2"/>
    <w:rsid w:val="00D80508"/>
    <w:rsid w:val="00D84A0D"/>
    <w:rsid w:val="00D853DD"/>
    <w:rsid w:val="00D93E75"/>
    <w:rsid w:val="00DA07C4"/>
    <w:rsid w:val="00DD74F6"/>
    <w:rsid w:val="00DE25E7"/>
    <w:rsid w:val="00DE4AA6"/>
    <w:rsid w:val="00DE781F"/>
    <w:rsid w:val="00DF387C"/>
    <w:rsid w:val="00E025E9"/>
    <w:rsid w:val="00E04862"/>
    <w:rsid w:val="00E04A91"/>
    <w:rsid w:val="00E04C48"/>
    <w:rsid w:val="00E1180D"/>
    <w:rsid w:val="00E21373"/>
    <w:rsid w:val="00E2472D"/>
    <w:rsid w:val="00E314DA"/>
    <w:rsid w:val="00E32900"/>
    <w:rsid w:val="00E40028"/>
    <w:rsid w:val="00E44AD8"/>
    <w:rsid w:val="00E45761"/>
    <w:rsid w:val="00E54EFE"/>
    <w:rsid w:val="00E623EE"/>
    <w:rsid w:val="00E7306A"/>
    <w:rsid w:val="00E77F58"/>
    <w:rsid w:val="00E973E4"/>
    <w:rsid w:val="00E97C3D"/>
    <w:rsid w:val="00EA7B17"/>
    <w:rsid w:val="00ED6579"/>
    <w:rsid w:val="00EF083F"/>
    <w:rsid w:val="00EF4B17"/>
    <w:rsid w:val="00F032B5"/>
    <w:rsid w:val="00F0641D"/>
    <w:rsid w:val="00F251A0"/>
    <w:rsid w:val="00F37233"/>
    <w:rsid w:val="00F37467"/>
    <w:rsid w:val="00F5147B"/>
    <w:rsid w:val="00F52A6B"/>
    <w:rsid w:val="00F6619B"/>
    <w:rsid w:val="00F82363"/>
    <w:rsid w:val="00F909AF"/>
    <w:rsid w:val="00FA277C"/>
    <w:rsid w:val="00FA3274"/>
    <w:rsid w:val="00FA7751"/>
    <w:rsid w:val="00FB494C"/>
    <w:rsid w:val="00FB55E6"/>
    <w:rsid w:val="00FC4276"/>
    <w:rsid w:val="00FD05C3"/>
    <w:rsid w:val="00FE44E2"/>
    <w:rsid w:val="00FF0AC0"/>
    <w:rsid w:val="00FF1A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73867"/>
  <w15:chartTrackingRefBased/>
  <w15:docId w15:val="{4E5CAF74-2765-4F3E-99D0-C003BE93C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4E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4E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4E0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4E0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D4E0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D4E0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4E0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4E0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4E0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E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4E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4E0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4E0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D4E0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D4E0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4E0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4E0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4E0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4E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E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E0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E0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4E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4E0D"/>
    <w:rPr>
      <w:i/>
      <w:iCs/>
      <w:color w:val="404040" w:themeColor="text1" w:themeTint="BF"/>
    </w:rPr>
  </w:style>
  <w:style w:type="paragraph" w:styleId="ListParagraph">
    <w:name w:val="List Paragraph"/>
    <w:basedOn w:val="Normal"/>
    <w:uiPriority w:val="34"/>
    <w:qFormat/>
    <w:rsid w:val="000D4E0D"/>
    <w:pPr>
      <w:ind w:left="720"/>
      <w:contextualSpacing/>
    </w:pPr>
  </w:style>
  <w:style w:type="character" w:styleId="IntenseEmphasis">
    <w:name w:val="Intense Emphasis"/>
    <w:basedOn w:val="DefaultParagraphFont"/>
    <w:uiPriority w:val="21"/>
    <w:qFormat/>
    <w:rsid w:val="000D4E0D"/>
    <w:rPr>
      <w:i/>
      <w:iCs/>
      <w:color w:val="2F5496" w:themeColor="accent1" w:themeShade="BF"/>
    </w:rPr>
  </w:style>
  <w:style w:type="paragraph" w:styleId="IntenseQuote">
    <w:name w:val="Intense Quote"/>
    <w:basedOn w:val="Normal"/>
    <w:next w:val="Normal"/>
    <w:link w:val="IntenseQuoteChar"/>
    <w:uiPriority w:val="30"/>
    <w:qFormat/>
    <w:rsid w:val="000D4E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4E0D"/>
    <w:rPr>
      <w:i/>
      <w:iCs/>
      <w:color w:val="2F5496" w:themeColor="accent1" w:themeShade="BF"/>
    </w:rPr>
  </w:style>
  <w:style w:type="character" w:styleId="IntenseReference">
    <w:name w:val="Intense Reference"/>
    <w:basedOn w:val="DefaultParagraphFont"/>
    <w:uiPriority w:val="32"/>
    <w:qFormat/>
    <w:rsid w:val="000D4E0D"/>
    <w:rPr>
      <w:b/>
      <w:bCs/>
      <w:smallCaps/>
      <w:color w:val="2F5496" w:themeColor="accent1" w:themeShade="BF"/>
      <w:spacing w:val="5"/>
    </w:rPr>
  </w:style>
  <w:style w:type="paragraph" w:styleId="FootnoteText">
    <w:name w:val="footnote text"/>
    <w:basedOn w:val="Normal"/>
    <w:link w:val="FootnoteTextChar"/>
    <w:uiPriority w:val="99"/>
    <w:semiHidden/>
    <w:unhideWhenUsed/>
    <w:rsid w:val="00DF387C"/>
    <w:rPr>
      <w:szCs w:val="20"/>
    </w:rPr>
  </w:style>
  <w:style w:type="character" w:customStyle="1" w:styleId="FootnoteTextChar">
    <w:name w:val="Footnote Text Char"/>
    <w:basedOn w:val="DefaultParagraphFont"/>
    <w:link w:val="FootnoteText"/>
    <w:uiPriority w:val="99"/>
    <w:semiHidden/>
    <w:rsid w:val="00DF387C"/>
    <w:rPr>
      <w:szCs w:val="20"/>
    </w:rPr>
  </w:style>
  <w:style w:type="character" w:styleId="FootnoteReference">
    <w:name w:val="footnote reference"/>
    <w:basedOn w:val="DefaultParagraphFont"/>
    <w:uiPriority w:val="99"/>
    <w:semiHidden/>
    <w:unhideWhenUsed/>
    <w:rsid w:val="00DF387C"/>
    <w:rPr>
      <w:vertAlign w:val="superscript"/>
    </w:rPr>
  </w:style>
  <w:style w:type="table" w:styleId="TableGrid">
    <w:name w:val="Table Grid"/>
    <w:basedOn w:val="TableNormal"/>
    <w:uiPriority w:val="39"/>
    <w:rsid w:val="00C43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277C"/>
    <w:pPr>
      <w:tabs>
        <w:tab w:val="center" w:pos="4680"/>
        <w:tab w:val="right" w:pos="9360"/>
      </w:tabs>
    </w:pPr>
  </w:style>
  <w:style w:type="character" w:customStyle="1" w:styleId="HeaderChar">
    <w:name w:val="Header Char"/>
    <w:basedOn w:val="DefaultParagraphFont"/>
    <w:link w:val="Header"/>
    <w:uiPriority w:val="99"/>
    <w:rsid w:val="00FA277C"/>
  </w:style>
  <w:style w:type="paragraph" w:styleId="Footer">
    <w:name w:val="footer"/>
    <w:basedOn w:val="Normal"/>
    <w:link w:val="FooterChar"/>
    <w:uiPriority w:val="99"/>
    <w:unhideWhenUsed/>
    <w:rsid w:val="00FA277C"/>
    <w:pPr>
      <w:tabs>
        <w:tab w:val="center" w:pos="4680"/>
        <w:tab w:val="right" w:pos="9360"/>
      </w:tabs>
    </w:pPr>
  </w:style>
  <w:style w:type="character" w:customStyle="1" w:styleId="FooterChar">
    <w:name w:val="Footer Char"/>
    <w:basedOn w:val="DefaultParagraphFont"/>
    <w:link w:val="Footer"/>
    <w:uiPriority w:val="99"/>
    <w:rsid w:val="00FA277C"/>
  </w:style>
  <w:style w:type="character" w:styleId="Hyperlink">
    <w:name w:val="Hyperlink"/>
    <w:basedOn w:val="DefaultParagraphFont"/>
    <w:uiPriority w:val="99"/>
    <w:unhideWhenUsed/>
    <w:rsid w:val="00FA277C"/>
    <w:rPr>
      <w:color w:val="0563C1" w:themeColor="hyperlink"/>
      <w:u w:val="single"/>
    </w:rPr>
  </w:style>
  <w:style w:type="character" w:styleId="UnresolvedMention">
    <w:name w:val="Unresolved Mention"/>
    <w:basedOn w:val="DefaultParagraphFont"/>
    <w:uiPriority w:val="99"/>
    <w:semiHidden/>
    <w:unhideWhenUsed/>
    <w:rsid w:val="00FA277C"/>
    <w:rPr>
      <w:color w:val="605E5C"/>
      <w:shd w:val="clear" w:color="auto" w:fill="E1DFDD"/>
    </w:rPr>
  </w:style>
  <w:style w:type="character" w:styleId="CommentReference">
    <w:name w:val="annotation reference"/>
    <w:basedOn w:val="DefaultParagraphFont"/>
    <w:uiPriority w:val="99"/>
    <w:semiHidden/>
    <w:unhideWhenUsed/>
    <w:rsid w:val="002339EA"/>
    <w:rPr>
      <w:sz w:val="16"/>
      <w:szCs w:val="16"/>
    </w:rPr>
  </w:style>
  <w:style w:type="paragraph" w:styleId="CommentText">
    <w:name w:val="annotation text"/>
    <w:basedOn w:val="Normal"/>
    <w:link w:val="CommentTextChar"/>
    <w:uiPriority w:val="99"/>
    <w:semiHidden/>
    <w:unhideWhenUsed/>
    <w:rsid w:val="002339EA"/>
    <w:rPr>
      <w:szCs w:val="20"/>
    </w:rPr>
  </w:style>
  <w:style w:type="character" w:customStyle="1" w:styleId="CommentTextChar">
    <w:name w:val="Comment Text Char"/>
    <w:basedOn w:val="DefaultParagraphFont"/>
    <w:link w:val="CommentText"/>
    <w:uiPriority w:val="99"/>
    <w:semiHidden/>
    <w:rsid w:val="002339EA"/>
    <w:rPr>
      <w:szCs w:val="20"/>
    </w:rPr>
  </w:style>
  <w:style w:type="paragraph" w:styleId="CommentSubject">
    <w:name w:val="annotation subject"/>
    <w:basedOn w:val="CommentText"/>
    <w:next w:val="CommentText"/>
    <w:link w:val="CommentSubjectChar"/>
    <w:uiPriority w:val="99"/>
    <w:semiHidden/>
    <w:unhideWhenUsed/>
    <w:rsid w:val="002339EA"/>
    <w:rPr>
      <w:b/>
      <w:bCs/>
    </w:rPr>
  </w:style>
  <w:style w:type="character" w:customStyle="1" w:styleId="CommentSubjectChar">
    <w:name w:val="Comment Subject Char"/>
    <w:basedOn w:val="CommentTextChar"/>
    <w:link w:val="CommentSubject"/>
    <w:uiPriority w:val="99"/>
    <w:semiHidden/>
    <w:rsid w:val="002339EA"/>
    <w:rPr>
      <w:b/>
      <w:bCs/>
      <w:szCs w:val="20"/>
    </w:rPr>
  </w:style>
  <w:style w:type="paragraph" w:styleId="Revision">
    <w:name w:val="Revision"/>
    <w:hidden/>
    <w:uiPriority w:val="99"/>
    <w:semiHidden/>
    <w:rsid w:val="002339EA"/>
  </w:style>
  <w:style w:type="character" w:styleId="FollowedHyperlink">
    <w:name w:val="FollowedHyperlink"/>
    <w:basedOn w:val="DefaultParagraphFont"/>
    <w:uiPriority w:val="99"/>
    <w:semiHidden/>
    <w:unhideWhenUsed/>
    <w:rsid w:val="001466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EA987-19F7-41B2-AC0B-B76BCBC8C54C}">
  <ds:schemaRefs>
    <ds:schemaRef ds:uri="http://schemas.openxmlformats.org/officeDocument/2006/bibliography"/>
  </ds:schemaRefs>
</ds:datastoreItem>
</file>

<file path=docMetadata/LabelInfo.xml><?xml version="1.0" encoding="utf-8"?>
<clbl:labelList xmlns:clbl="http://schemas.microsoft.com/office/2020/mipLabelMetadata">
  <clbl:label id="{e9692091-66b8-45b5-9087-387cbcef98ca}" enabled="1" method="Privileged" siteId="{3230926a-71b7-4370-a137-197badc066a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3552</Characters>
  <Application>Microsoft Office Word</Application>
  <DocSecurity>0</DocSecurity>
  <Lines>29</Lines>
  <Paragraphs>8</Paragraphs>
  <ScaleCrop>false</ScaleCrop>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NAESB</dc:creator>
  <cp:keywords/>
  <dc:description/>
  <cp:lastModifiedBy>Joshua Phillips</cp:lastModifiedBy>
  <cp:revision>3</cp:revision>
  <dcterms:created xsi:type="dcterms:W3CDTF">2026-03-10T22:39:00Z</dcterms:created>
  <dcterms:modified xsi:type="dcterms:W3CDTF">2026-03-10T22:39:00Z</dcterms:modified>
</cp:coreProperties>
</file>