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94B2" w14:textId="118A921D" w:rsidR="00DB243F" w:rsidRDefault="00DB243F" w:rsidP="00DB243F">
      <w:pPr>
        <w:tabs>
          <w:tab w:val="num" w:pos="720"/>
        </w:tabs>
        <w:ind w:left="720" w:hanging="360"/>
        <w:jc w:val="center"/>
      </w:pPr>
      <w:r w:rsidRPr="00CA6E1A">
        <w:rPr>
          <w:sz w:val="22"/>
          <w:szCs w:val="22"/>
        </w:rPr>
        <w:t xml:space="preserve">Informal Comments Submitted by H. Maples, </w:t>
      </w:r>
      <w:proofErr w:type="spellStart"/>
      <w:r w:rsidRPr="00CA6E1A">
        <w:rPr>
          <w:sz w:val="22"/>
          <w:szCs w:val="22"/>
        </w:rPr>
        <w:t>Evergy</w:t>
      </w:r>
      <w:proofErr w:type="spellEnd"/>
    </w:p>
    <w:p w14:paraId="7FDE630B" w14:textId="77777777" w:rsidR="00DB243F" w:rsidRDefault="00DB243F" w:rsidP="00DB243F">
      <w:pPr>
        <w:tabs>
          <w:tab w:val="num" w:pos="720"/>
        </w:tabs>
        <w:ind w:left="720" w:hanging="360"/>
      </w:pPr>
    </w:p>
    <w:p w14:paraId="23A637EC" w14:textId="77777777" w:rsidR="00DB243F" w:rsidRDefault="00DB243F" w:rsidP="00DB243F">
      <w:pPr>
        <w:numPr>
          <w:ilvl w:val="0"/>
          <w:numId w:val="1"/>
        </w:numPr>
        <w:rPr>
          <w:rFonts w:eastAsia="Times New Roman"/>
        </w:rPr>
      </w:pPr>
      <w:r>
        <w:rPr>
          <w:rFonts w:eastAsia="Times New Roman"/>
          <w:sz w:val="22"/>
          <w:szCs w:val="22"/>
        </w:rPr>
        <w:t>Would a centralized DER Entity Registry to identify and authenticate parties be beneficial? Why or why not?</w:t>
      </w:r>
    </w:p>
    <w:p w14:paraId="3ABC17D3" w14:textId="77777777" w:rsidR="00DB243F" w:rsidRDefault="00DB243F" w:rsidP="00DB243F">
      <w:pPr>
        <w:ind w:left="720"/>
      </w:pPr>
      <w:r>
        <w:rPr>
          <w:color w:val="FF0000"/>
          <w:sz w:val="22"/>
          <w:szCs w:val="22"/>
        </w:rPr>
        <w:t>Yes, this would be a useful check against the data we currently collect.  Might also help installers provide consistent data.  Might also solve the problem of reporting this information to State Commission Staff, which they requested as part of a new IRP Process.</w:t>
      </w:r>
    </w:p>
    <w:p w14:paraId="5CEAD13E" w14:textId="77777777" w:rsidR="00DB243F" w:rsidRDefault="00DB243F" w:rsidP="00DB243F">
      <w:pPr>
        <w:numPr>
          <w:ilvl w:val="0"/>
          <w:numId w:val="2"/>
        </w:numPr>
        <w:rPr>
          <w:rFonts w:eastAsia="Times New Roman"/>
        </w:rPr>
      </w:pPr>
      <w:r>
        <w:rPr>
          <w:rFonts w:eastAsia="Times New Roman"/>
          <w:sz w:val="22"/>
          <w:szCs w:val="22"/>
        </w:rPr>
        <w:t>Related to the DER Entity Registry specifically:</w:t>
      </w:r>
      <w:r>
        <w:rPr>
          <w:rFonts w:eastAsia="Times New Roman"/>
        </w:rPr>
        <w:t xml:space="preserve"> </w:t>
      </w:r>
    </w:p>
    <w:p w14:paraId="376A1E53" w14:textId="77777777" w:rsidR="00DB243F" w:rsidRDefault="00DB243F" w:rsidP="00DB243F">
      <w:pPr>
        <w:numPr>
          <w:ilvl w:val="1"/>
          <w:numId w:val="2"/>
        </w:numPr>
        <w:rPr>
          <w:rFonts w:eastAsia="Times New Roman"/>
        </w:rPr>
      </w:pPr>
      <w:r>
        <w:rPr>
          <w:rFonts w:eastAsia="Times New Roman"/>
          <w:sz w:val="22"/>
          <w:szCs w:val="22"/>
        </w:rPr>
        <w:t>Are there any additional stakeholder registration categories that need to be supported? If so, please identify and provide an explanation.</w:t>
      </w:r>
    </w:p>
    <w:p w14:paraId="7D1A3815" w14:textId="77777777" w:rsidR="00DB243F" w:rsidRDefault="00DB243F" w:rsidP="00DB243F">
      <w:pPr>
        <w:numPr>
          <w:ilvl w:val="1"/>
          <w:numId w:val="2"/>
        </w:numPr>
        <w:rPr>
          <w:rFonts w:eastAsia="Times New Roman"/>
        </w:rPr>
      </w:pPr>
      <w:r>
        <w:rPr>
          <w:rFonts w:eastAsia="Times New Roman"/>
          <w:sz w:val="22"/>
          <w:szCs w:val="22"/>
        </w:rPr>
        <w:t xml:space="preserve">Are there any identified stakeholder registration categories that are not needed? If so, please identify and provide an explanation. </w:t>
      </w:r>
    </w:p>
    <w:p w14:paraId="71E666FA" w14:textId="77777777" w:rsidR="00DB243F" w:rsidRDefault="00DB243F" w:rsidP="00DB243F">
      <w:pPr>
        <w:numPr>
          <w:ilvl w:val="0"/>
          <w:numId w:val="2"/>
        </w:numPr>
        <w:rPr>
          <w:rFonts w:eastAsia="Times New Roman"/>
        </w:rPr>
      </w:pPr>
      <w:r>
        <w:rPr>
          <w:rFonts w:eastAsia="Times New Roman"/>
          <w:sz w:val="22"/>
          <w:szCs w:val="22"/>
        </w:rPr>
        <w:t>Would NAESB Business Practice Standards to facilitate interoperability between existing and future DER and aggregation registries and other industry tools be beneficial? Why or why not?</w:t>
      </w:r>
    </w:p>
    <w:p w14:paraId="2F096DA5" w14:textId="77777777" w:rsidR="00DB243F" w:rsidRDefault="00DB243F" w:rsidP="00DB243F">
      <w:pPr>
        <w:ind w:left="720"/>
      </w:pPr>
      <w:r>
        <w:rPr>
          <w:color w:val="FF0000"/>
          <w:sz w:val="22"/>
          <w:szCs w:val="22"/>
        </w:rPr>
        <w:t>Yes, anything to help provide cleaner data and/or easier access to the data will assist in using it in beneficial ways as described above.</w:t>
      </w:r>
    </w:p>
    <w:p w14:paraId="17C03147" w14:textId="77777777" w:rsidR="00DB243F" w:rsidRDefault="00DB243F" w:rsidP="00DB243F">
      <w:pPr>
        <w:numPr>
          <w:ilvl w:val="0"/>
          <w:numId w:val="3"/>
        </w:numPr>
        <w:rPr>
          <w:rFonts w:eastAsia="Times New Roman"/>
        </w:rPr>
      </w:pPr>
      <w:r>
        <w:rPr>
          <w:rFonts w:eastAsia="Times New Roman"/>
          <w:sz w:val="22"/>
          <w:szCs w:val="22"/>
        </w:rPr>
        <w:t xml:space="preserve">Would the creation of a DER Entity Registry and the development of NAESB Business Practice Standards to facilitate interoperability be beneficial to: </w:t>
      </w:r>
    </w:p>
    <w:p w14:paraId="432F3E92" w14:textId="77777777" w:rsidR="00DB243F" w:rsidRDefault="00DB243F" w:rsidP="00DB243F">
      <w:pPr>
        <w:numPr>
          <w:ilvl w:val="1"/>
          <w:numId w:val="3"/>
        </w:numPr>
        <w:rPr>
          <w:rFonts w:eastAsia="Times New Roman"/>
        </w:rPr>
      </w:pPr>
      <w:r>
        <w:rPr>
          <w:rFonts w:eastAsia="Times New Roman"/>
          <w:sz w:val="22"/>
          <w:szCs w:val="22"/>
        </w:rPr>
        <w:t>Support broader integration of DERs and aggregations by industry? Why or why not?</w:t>
      </w:r>
    </w:p>
    <w:p w14:paraId="06802F59" w14:textId="77777777" w:rsidR="00DB243F" w:rsidRDefault="00DB243F" w:rsidP="00DB243F">
      <w:pPr>
        <w:ind w:left="1080"/>
      </w:pPr>
      <w:r>
        <w:rPr>
          <w:color w:val="FF0000"/>
          <w:sz w:val="22"/>
          <w:szCs w:val="22"/>
        </w:rPr>
        <w:t>Yes, it would give useful information to determine adoption rates by area/program and to help better forecast future adoption rates (locations/size/DER types).</w:t>
      </w:r>
    </w:p>
    <w:p w14:paraId="7EA527AB" w14:textId="77777777" w:rsidR="00DB243F" w:rsidRDefault="00DB243F" w:rsidP="00DB243F">
      <w:pPr>
        <w:numPr>
          <w:ilvl w:val="1"/>
          <w:numId w:val="4"/>
        </w:numPr>
        <w:rPr>
          <w:rFonts w:eastAsia="Times New Roman"/>
        </w:rPr>
      </w:pPr>
      <w:r>
        <w:rPr>
          <w:rFonts w:eastAsia="Times New Roman"/>
          <w:sz w:val="22"/>
          <w:szCs w:val="22"/>
        </w:rPr>
        <w:t>Help industry respond to FERC Order No. 2222, FERC Order No. 901, and/or needs for DER data?  Why or why not?</w:t>
      </w:r>
    </w:p>
    <w:p w14:paraId="20EFD01F" w14:textId="77777777" w:rsidR="00DB243F" w:rsidRDefault="00DB243F" w:rsidP="00DB243F">
      <w:pPr>
        <w:ind w:left="1080"/>
      </w:pPr>
      <w:r>
        <w:rPr>
          <w:color w:val="FF0000"/>
          <w:sz w:val="22"/>
          <w:szCs w:val="22"/>
        </w:rPr>
        <w:t xml:space="preserve">Yes, same as a plus streamline data collection to help meet 2222 timelines and new NERC standard requirements. However, this effect is lost if there is low participation and it is not clear what the enforcement mechanism for use might be. </w:t>
      </w:r>
    </w:p>
    <w:p w14:paraId="2B0FF8A0" w14:textId="77777777" w:rsidR="00DB243F" w:rsidRDefault="00DB243F" w:rsidP="00DB243F">
      <w:pPr>
        <w:numPr>
          <w:ilvl w:val="0"/>
          <w:numId w:val="5"/>
        </w:numPr>
        <w:rPr>
          <w:rFonts w:eastAsia="Times New Roman"/>
        </w:rPr>
      </w:pPr>
      <w:r>
        <w:rPr>
          <w:rFonts w:eastAsia="Times New Roman"/>
          <w:sz w:val="22"/>
          <w:szCs w:val="22"/>
        </w:rPr>
        <w:t>Please provide information about your organization’s role in the electric industry (e.g., market operator, distribution utility, etc.).</w:t>
      </w:r>
    </w:p>
    <w:p w14:paraId="1EC1D0EB" w14:textId="77777777" w:rsidR="00DB243F" w:rsidRDefault="00DB243F" w:rsidP="00DB243F">
      <w:pPr>
        <w:ind w:left="720"/>
      </w:pPr>
      <w:proofErr w:type="spellStart"/>
      <w:r>
        <w:rPr>
          <w:color w:val="FF0000"/>
          <w:sz w:val="22"/>
          <w:szCs w:val="22"/>
        </w:rPr>
        <w:t>Evergy</w:t>
      </w:r>
      <w:proofErr w:type="spellEnd"/>
      <w:r>
        <w:rPr>
          <w:color w:val="FF0000"/>
          <w:sz w:val="22"/>
          <w:szCs w:val="22"/>
        </w:rPr>
        <w:t xml:space="preserve"> is a vertically integrated IOU with generation, transmission, and distribution assets. </w:t>
      </w:r>
      <w:proofErr w:type="spellStart"/>
      <w:r>
        <w:rPr>
          <w:color w:val="FF0000"/>
          <w:sz w:val="22"/>
          <w:szCs w:val="22"/>
        </w:rPr>
        <w:t>Evergy</w:t>
      </w:r>
      <w:proofErr w:type="spellEnd"/>
      <w:r>
        <w:rPr>
          <w:color w:val="FF0000"/>
          <w:sz w:val="22"/>
          <w:szCs w:val="22"/>
        </w:rPr>
        <w:t xml:space="preserve"> has approximately 1.6 million customers and 15,000+ DER customers. </w:t>
      </w:r>
    </w:p>
    <w:p w14:paraId="0C788318" w14:textId="77777777" w:rsidR="00DB243F" w:rsidRDefault="00DB243F" w:rsidP="00DB243F">
      <w:pPr>
        <w:numPr>
          <w:ilvl w:val="0"/>
          <w:numId w:val="6"/>
        </w:numPr>
        <w:rPr>
          <w:rFonts w:eastAsia="Times New Roman"/>
        </w:rPr>
      </w:pPr>
      <w:r>
        <w:rPr>
          <w:rFonts w:eastAsia="Times New Roman"/>
          <w:sz w:val="22"/>
          <w:szCs w:val="22"/>
        </w:rPr>
        <w:t>Please provide any additional information, questions, or considerations that could provide guidance to the subcommittees in determining how to proceed.</w:t>
      </w:r>
    </w:p>
    <w:p w14:paraId="0649DA48" w14:textId="77777777" w:rsidR="00DB243F" w:rsidRDefault="00DB243F" w:rsidP="00DB243F">
      <w:pPr>
        <w:ind w:left="720"/>
      </w:pPr>
      <w:r>
        <w:rPr>
          <w:color w:val="FF0000"/>
          <w:sz w:val="22"/>
          <w:szCs w:val="22"/>
        </w:rPr>
        <w:t>Retirement dates of the assets.  To help better determine anticipated lifespans of different DERs.</w:t>
      </w:r>
    </w:p>
    <w:p w14:paraId="5A47B639" w14:textId="77777777" w:rsidR="00DB243F" w:rsidRDefault="00DB243F" w:rsidP="00DB243F">
      <w:pPr>
        <w:ind w:left="720"/>
      </w:pPr>
      <w:r>
        <w:rPr>
          <w:color w:val="FF0000"/>
          <w:sz w:val="22"/>
          <w:szCs w:val="22"/>
        </w:rPr>
        <w:t>There is also a concern about who would have access to this data to avoid unwanted solicitations.</w:t>
      </w:r>
    </w:p>
    <w:p w14:paraId="41146029" w14:textId="77777777" w:rsidR="00E54F8B" w:rsidRDefault="00E54F8B"/>
    <w:sectPr w:rsidR="00E54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5330"/>
    <w:multiLevelType w:val="multilevel"/>
    <w:tmpl w:val="1BA8544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C0B3624"/>
    <w:multiLevelType w:val="multilevel"/>
    <w:tmpl w:val="6AA2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0D90C6B"/>
    <w:multiLevelType w:val="multilevel"/>
    <w:tmpl w:val="0E203BB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875A6B"/>
    <w:multiLevelType w:val="multilevel"/>
    <w:tmpl w:val="090204B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0E5155C"/>
    <w:multiLevelType w:val="multilevel"/>
    <w:tmpl w:val="3382628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E026CF3"/>
    <w:multiLevelType w:val="multilevel"/>
    <w:tmpl w:val="DE503970"/>
    <w:lvl w:ilvl="0">
      <w:start w:val="4"/>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57504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528293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31151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8260002">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134851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684849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3F"/>
    <w:rsid w:val="00762EA0"/>
    <w:rsid w:val="009D6590"/>
    <w:rsid w:val="00CA6E1A"/>
    <w:rsid w:val="00DB243F"/>
    <w:rsid w:val="00E5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C579"/>
  <w15:chartTrackingRefBased/>
  <w15:docId w15:val="{2FF487EC-2E00-4C6A-81F3-96B32A48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43F"/>
    <w:pPr>
      <w:spacing w:after="0" w:line="240" w:lineRule="auto"/>
    </w:pPr>
    <w:rPr>
      <w:rFonts w:ascii="Aptos" w:eastAsia="Calibri" w:hAnsi="Aptos" w:cs="Aptos"/>
      <w:kern w:val="0"/>
      <w14:ligatures w14:val="none"/>
    </w:rPr>
  </w:style>
  <w:style w:type="paragraph" w:styleId="Heading1">
    <w:name w:val="heading 1"/>
    <w:basedOn w:val="Normal"/>
    <w:next w:val="Normal"/>
    <w:link w:val="Heading1Char"/>
    <w:uiPriority w:val="9"/>
    <w:qFormat/>
    <w:rsid w:val="00DB243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243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243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B243F"/>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B243F"/>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B243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B243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B243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B243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4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24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24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24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24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2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43F"/>
    <w:rPr>
      <w:rFonts w:eastAsiaTheme="majorEastAsia" w:cstheme="majorBidi"/>
      <w:color w:val="272727" w:themeColor="text1" w:themeTint="D8"/>
    </w:rPr>
  </w:style>
  <w:style w:type="paragraph" w:styleId="Title">
    <w:name w:val="Title"/>
    <w:basedOn w:val="Normal"/>
    <w:next w:val="Normal"/>
    <w:link w:val="TitleChar"/>
    <w:uiPriority w:val="10"/>
    <w:qFormat/>
    <w:rsid w:val="00DB243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2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43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2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43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B243F"/>
    <w:rPr>
      <w:i/>
      <w:iCs/>
      <w:color w:val="404040" w:themeColor="text1" w:themeTint="BF"/>
    </w:rPr>
  </w:style>
  <w:style w:type="paragraph" w:styleId="ListParagraph">
    <w:name w:val="List Paragraph"/>
    <w:basedOn w:val="Normal"/>
    <w:uiPriority w:val="34"/>
    <w:qFormat/>
    <w:rsid w:val="00DB243F"/>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B243F"/>
    <w:rPr>
      <w:i/>
      <w:iCs/>
      <w:color w:val="2F5496" w:themeColor="accent1" w:themeShade="BF"/>
    </w:rPr>
  </w:style>
  <w:style w:type="paragraph" w:styleId="IntenseQuote">
    <w:name w:val="Intense Quote"/>
    <w:basedOn w:val="Normal"/>
    <w:next w:val="Normal"/>
    <w:link w:val="IntenseQuoteChar"/>
    <w:uiPriority w:val="30"/>
    <w:qFormat/>
    <w:rsid w:val="00DB243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B243F"/>
    <w:rPr>
      <w:i/>
      <w:iCs/>
      <w:color w:val="2F5496" w:themeColor="accent1" w:themeShade="BF"/>
    </w:rPr>
  </w:style>
  <w:style w:type="character" w:styleId="IntenseReference">
    <w:name w:val="Intense Reference"/>
    <w:basedOn w:val="DefaultParagraphFont"/>
    <w:uiPriority w:val="32"/>
    <w:qFormat/>
    <w:rsid w:val="00DB24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Montes de Oca</dc:creator>
  <cp:keywords/>
  <dc:description/>
  <cp:lastModifiedBy>Sandra Montes de Oca</cp:lastModifiedBy>
  <cp:revision>2</cp:revision>
  <dcterms:created xsi:type="dcterms:W3CDTF">2026-03-09T21:15:00Z</dcterms:created>
  <dcterms:modified xsi:type="dcterms:W3CDTF">2026-03-09T21:19:00Z</dcterms:modified>
</cp:coreProperties>
</file>