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36E8" w14:textId="77777777" w:rsidR="00EB5DFE" w:rsidRPr="00EB5DFE" w:rsidRDefault="00EB5DFE" w:rsidP="00EB5DFE">
      <w:pPr>
        <w:spacing w:after="0" w:line="240" w:lineRule="auto"/>
        <w:outlineLvl w:val="1"/>
        <w:rPr>
          <w:rFonts w:ascii="Times New Roman" w:eastAsia="Times New Roman" w:hAnsi="Times New Roman" w:cs="Times New Roman"/>
          <w:b/>
          <w:bCs/>
          <w:kern w:val="0"/>
          <w14:ligatures w14:val="none"/>
        </w:rPr>
      </w:pPr>
      <w:r w:rsidRPr="00EB5DFE">
        <w:rPr>
          <w:rFonts w:ascii="Times New Roman" w:eastAsia="Times New Roman" w:hAnsi="Times New Roman" w:cs="Times New Roman"/>
          <w:b/>
          <w:bCs/>
          <w:kern w:val="0"/>
          <w14:ligatures w14:val="none"/>
        </w:rPr>
        <w:t>Draft NAESB Feedback – DER Entity Registry Concept</w:t>
      </w:r>
    </w:p>
    <w:p w14:paraId="63963D3E"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15B860FF"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b/>
          <w:bCs/>
          <w:kern w:val="0"/>
          <w14:ligatures w14:val="none"/>
        </w:rPr>
        <w:t>Organization:</w:t>
      </w:r>
      <w:r w:rsidRPr="00EB5DFE">
        <w:rPr>
          <w:rFonts w:ascii="Times New Roman" w:eastAsia="Times New Roman" w:hAnsi="Times New Roman" w:cs="Times New Roman"/>
          <w:kern w:val="0"/>
          <w14:ligatures w14:val="none"/>
        </w:rPr>
        <w:t xml:space="preserve"> Entergy</w:t>
      </w:r>
    </w:p>
    <w:p w14:paraId="5D6DD892"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b/>
          <w:bCs/>
          <w:kern w:val="0"/>
          <w14:ligatures w14:val="none"/>
        </w:rPr>
        <w:t>Industry Role:</w:t>
      </w:r>
      <w:r w:rsidRPr="00EB5DFE">
        <w:rPr>
          <w:rFonts w:ascii="Times New Roman" w:eastAsia="Times New Roman" w:hAnsi="Times New Roman" w:cs="Times New Roman"/>
          <w:kern w:val="0"/>
          <w14:ligatures w14:val="none"/>
        </w:rPr>
        <w:t xml:space="preserve"> Transmission Owner / Distribution Provider / Load Serving Entity / Market Participant</w:t>
      </w:r>
    </w:p>
    <w:p w14:paraId="5A1A533F" w14:textId="64C0DA47" w:rsidR="00EB5DFE" w:rsidRPr="00EB5DFE" w:rsidRDefault="00EB5DFE" w:rsidP="00EB5DFE">
      <w:pPr>
        <w:spacing w:after="0" w:line="240" w:lineRule="auto"/>
        <w:rPr>
          <w:rFonts w:ascii="Times New Roman" w:eastAsia="Times New Roman" w:hAnsi="Times New Roman" w:cs="Times New Roman"/>
          <w:kern w:val="0"/>
          <w14:ligatures w14:val="none"/>
        </w:rPr>
      </w:pPr>
    </w:p>
    <w:p w14:paraId="3EF87B8B" w14:textId="77777777" w:rsidR="00EB5DFE" w:rsidRPr="00EB5DFE" w:rsidRDefault="00EB5DFE" w:rsidP="00EB5DFE">
      <w:pPr>
        <w:spacing w:after="0" w:line="240" w:lineRule="auto"/>
        <w:outlineLvl w:val="0"/>
        <w:rPr>
          <w:rFonts w:ascii="Times New Roman" w:eastAsia="Times New Roman" w:hAnsi="Times New Roman" w:cs="Times New Roman"/>
          <w:b/>
          <w:bCs/>
          <w:kern w:val="36"/>
          <w14:ligatures w14:val="none"/>
        </w:rPr>
      </w:pPr>
      <w:r w:rsidRPr="00EB5DFE">
        <w:rPr>
          <w:rFonts w:ascii="Times New Roman" w:eastAsia="Times New Roman" w:hAnsi="Times New Roman" w:cs="Times New Roman"/>
          <w:b/>
          <w:bCs/>
          <w:kern w:val="36"/>
          <w14:ligatures w14:val="none"/>
        </w:rPr>
        <w:t>1. Would a centralized DER entity registry to identify and authenticate parties be beneficial? Why or why not?</w:t>
      </w:r>
    </w:p>
    <w:p w14:paraId="5DA84D4D"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1CAA5998"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Entergy generally supports the concept of a centralized DER entity registry that can identify and authenticate participating parties.</w:t>
      </w:r>
    </w:p>
    <w:p w14:paraId="4E3BCECB"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677932E3"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As DER participation and aggregation expands in response to FERC Order 2222 and related initiatives, the number of entities interacting across distribution utilities, aggregators, market operators, and other stakeholders will continue to grow. A centralized registry could provide value by:</w:t>
      </w:r>
    </w:p>
    <w:p w14:paraId="2FA212F2" w14:textId="77777777" w:rsidR="00EB5DFE" w:rsidRPr="00EB5DFE" w:rsidRDefault="00EB5DFE" w:rsidP="00EB5DFE">
      <w:pPr>
        <w:numPr>
          <w:ilvl w:val="0"/>
          <w:numId w:val="1"/>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 xml:space="preserve">Establishing a </w:t>
      </w:r>
      <w:r w:rsidRPr="00EB5DFE">
        <w:rPr>
          <w:rFonts w:ascii="Times New Roman" w:eastAsia="Times New Roman" w:hAnsi="Times New Roman" w:cs="Times New Roman"/>
          <w:b/>
          <w:bCs/>
          <w:kern w:val="0"/>
          <w14:ligatures w14:val="none"/>
        </w:rPr>
        <w:t>baseline authentication process</w:t>
      </w:r>
      <w:r w:rsidRPr="00EB5DFE">
        <w:rPr>
          <w:rFonts w:ascii="Times New Roman" w:eastAsia="Times New Roman" w:hAnsi="Times New Roman" w:cs="Times New Roman"/>
          <w:kern w:val="0"/>
          <w14:ligatures w14:val="none"/>
        </w:rPr>
        <w:t xml:space="preserve"> for DER-related market participants.</w:t>
      </w:r>
    </w:p>
    <w:p w14:paraId="77BD97A4" w14:textId="77777777" w:rsidR="00EB5DFE" w:rsidRPr="00EB5DFE" w:rsidRDefault="00EB5DFE" w:rsidP="00EB5DFE">
      <w:pPr>
        <w:numPr>
          <w:ilvl w:val="0"/>
          <w:numId w:val="1"/>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 xml:space="preserve">Providing a </w:t>
      </w:r>
      <w:r w:rsidRPr="00EB5DFE">
        <w:rPr>
          <w:rFonts w:ascii="Times New Roman" w:eastAsia="Times New Roman" w:hAnsi="Times New Roman" w:cs="Times New Roman"/>
          <w:b/>
          <w:bCs/>
          <w:kern w:val="0"/>
          <w14:ligatures w14:val="none"/>
        </w:rPr>
        <w:t>trusted reference for verifying aggregators and associated entities</w:t>
      </w:r>
      <w:r w:rsidRPr="00EB5DFE">
        <w:rPr>
          <w:rFonts w:ascii="Times New Roman" w:eastAsia="Times New Roman" w:hAnsi="Times New Roman" w:cs="Times New Roman"/>
          <w:kern w:val="0"/>
          <w14:ligatures w14:val="none"/>
        </w:rPr>
        <w:t>.</w:t>
      </w:r>
    </w:p>
    <w:p w14:paraId="3F6F6497" w14:textId="77777777" w:rsidR="00EB5DFE" w:rsidRPr="00EB5DFE" w:rsidRDefault="00EB5DFE" w:rsidP="00EB5DFE">
      <w:pPr>
        <w:numPr>
          <w:ilvl w:val="0"/>
          <w:numId w:val="1"/>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 xml:space="preserve">Improving </w:t>
      </w:r>
      <w:r w:rsidRPr="00EB5DFE">
        <w:rPr>
          <w:rFonts w:ascii="Times New Roman" w:eastAsia="Times New Roman" w:hAnsi="Times New Roman" w:cs="Times New Roman"/>
          <w:b/>
          <w:bCs/>
          <w:kern w:val="0"/>
          <w14:ligatures w14:val="none"/>
        </w:rPr>
        <w:t>data consistency and transparency</w:t>
      </w:r>
      <w:r w:rsidRPr="00EB5DFE">
        <w:rPr>
          <w:rFonts w:ascii="Times New Roman" w:eastAsia="Times New Roman" w:hAnsi="Times New Roman" w:cs="Times New Roman"/>
          <w:kern w:val="0"/>
          <w14:ligatures w14:val="none"/>
        </w:rPr>
        <w:t xml:space="preserve"> regarding participating organizations.</w:t>
      </w:r>
    </w:p>
    <w:p w14:paraId="2F72D1FE" w14:textId="77777777" w:rsidR="00EB5DFE" w:rsidRPr="00EB5DFE" w:rsidRDefault="00EB5DFE" w:rsidP="00EB5DFE">
      <w:pPr>
        <w:numPr>
          <w:ilvl w:val="0"/>
          <w:numId w:val="1"/>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Reducing the need for utilities and system operators to independently verify counterparties.</w:t>
      </w:r>
    </w:p>
    <w:p w14:paraId="62EECEA5"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7E7A73D1"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As DER aggregation scales, the administrative complexity of validating and coordinating with multiple aggregators and third-party entities could become increasingly burdensome. A centralized authentication process could streamline these interactions.</w:t>
      </w:r>
    </w:p>
    <w:p w14:paraId="3ABA1E00"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111DB042"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 xml:space="preserve">However, the registry should be designed carefully to </w:t>
      </w:r>
      <w:r w:rsidRPr="00EB5DFE">
        <w:rPr>
          <w:rFonts w:ascii="Times New Roman" w:eastAsia="Times New Roman" w:hAnsi="Times New Roman" w:cs="Times New Roman"/>
          <w:b/>
          <w:bCs/>
          <w:kern w:val="0"/>
          <w14:ligatures w14:val="none"/>
        </w:rPr>
        <w:t>avoid duplication with existing industry registries</w:t>
      </w:r>
      <w:r w:rsidRPr="00EB5DFE">
        <w:rPr>
          <w:rFonts w:ascii="Times New Roman" w:eastAsia="Times New Roman" w:hAnsi="Times New Roman" w:cs="Times New Roman"/>
          <w:kern w:val="0"/>
          <w14:ligatures w14:val="none"/>
        </w:rPr>
        <w:t>, particularly the NAESB Electric Industry Registry (EIR). If possible, the DER registry should leverage existing EIR registrations rather than requiring entities already registered in EIR to register again through a separate process.</w:t>
      </w:r>
    </w:p>
    <w:p w14:paraId="3AFF87AD" w14:textId="5582D46C" w:rsidR="00EB5DFE" w:rsidRPr="00EB5DFE" w:rsidRDefault="00EB5DFE" w:rsidP="00EB5DFE">
      <w:pPr>
        <w:spacing w:after="0" w:line="240" w:lineRule="auto"/>
        <w:rPr>
          <w:rFonts w:ascii="Times New Roman" w:eastAsia="Times New Roman" w:hAnsi="Times New Roman" w:cs="Times New Roman"/>
          <w:kern w:val="0"/>
          <w14:ligatures w14:val="none"/>
        </w:rPr>
      </w:pPr>
    </w:p>
    <w:p w14:paraId="7804DE6C" w14:textId="77777777" w:rsidR="00EB5DFE" w:rsidRPr="00EB5DFE" w:rsidRDefault="00EB5DFE" w:rsidP="00EB5DFE">
      <w:pPr>
        <w:spacing w:after="0" w:line="240" w:lineRule="auto"/>
        <w:outlineLvl w:val="0"/>
        <w:rPr>
          <w:rFonts w:ascii="Times New Roman" w:eastAsia="Times New Roman" w:hAnsi="Times New Roman" w:cs="Times New Roman"/>
          <w:b/>
          <w:bCs/>
          <w:kern w:val="36"/>
          <w14:ligatures w14:val="none"/>
        </w:rPr>
      </w:pPr>
      <w:r w:rsidRPr="00EB5DFE">
        <w:rPr>
          <w:rFonts w:ascii="Times New Roman" w:eastAsia="Times New Roman" w:hAnsi="Times New Roman" w:cs="Times New Roman"/>
          <w:b/>
          <w:bCs/>
          <w:kern w:val="36"/>
          <w14:ligatures w14:val="none"/>
        </w:rPr>
        <w:t>2. Are there additional stakeholder registration categories that should be supported?</w:t>
      </w:r>
    </w:p>
    <w:p w14:paraId="6DD5C89F"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3D7E7179"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The stakeholder categories identified in the concept paper generally appear appropriate. However, Entergy recommends consideration of an additional category:</w:t>
      </w:r>
    </w:p>
    <w:p w14:paraId="36D41695"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017333FD"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b/>
          <w:bCs/>
          <w:kern w:val="0"/>
          <w14:ligatures w14:val="none"/>
        </w:rPr>
        <w:t>DER Owner</w:t>
      </w:r>
    </w:p>
    <w:p w14:paraId="3B9E2CEE"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3E2E6CE5"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In some cases, the entity that owns the DER asset may be different from the entity that aggregates or represents those resources in wholesale markets. Recognizing the DER owner as a distinct category may provide better visibility into asset ownership and responsibilities within the aggregation structure.</w:t>
      </w:r>
    </w:p>
    <w:p w14:paraId="1614689B"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27FDCCDD"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Otherwise, the listed entities—including aggregators, distribution system providers, market operators, reliability coordinators, and regulators—appear appropriate.</w:t>
      </w:r>
    </w:p>
    <w:p w14:paraId="4EA909DC" w14:textId="171C0C07" w:rsidR="00EB5DFE" w:rsidRPr="00EB5DFE" w:rsidRDefault="00EB5DFE" w:rsidP="00EB5DFE">
      <w:pPr>
        <w:spacing w:after="0" w:line="240" w:lineRule="auto"/>
        <w:rPr>
          <w:rFonts w:ascii="Times New Roman" w:eastAsia="Times New Roman" w:hAnsi="Times New Roman" w:cs="Times New Roman"/>
          <w:kern w:val="0"/>
          <w14:ligatures w14:val="none"/>
        </w:rPr>
      </w:pPr>
    </w:p>
    <w:p w14:paraId="45EC1304" w14:textId="77777777" w:rsidR="00EB5DFE" w:rsidRPr="00EB5DFE" w:rsidRDefault="00EB5DFE" w:rsidP="00EB5DFE">
      <w:pPr>
        <w:spacing w:after="0" w:line="240" w:lineRule="auto"/>
        <w:outlineLvl w:val="0"/>
        <w:rPr>
          <w:rFonts w:ascii="Times New Roman" w:eastAsia="Times New Roman" w:hAnsi="Times New Roman" w:cs="Times New Roman"/>
          <w:b/>
          <w:bCs/>
          <w:kern w:val="36"/>
          <w14:ligatures w14:val="none"/>
        </w:rPr>
      </w:pPr>
      <w:r w:rsidRPr="00EB5DFE">
        <w:rPr>
          <w:rFonts w:ascii="Times New Roman" w:eastAsia="Times New Roman" w:hAnsi="Times New Roman" w:cs="Times New Roman"/>
          <w:b/>
          <w:bCs/>
          <w:kern w:val="36"/>
          <w14:ligatures w14:val="none"/>
        </w:rPr>
        <w:lastRenderedPageBreak/>
        <w:t>3. Would NAESB business practice standards to facilitate interoperability between existing and future DER registries be beneficial?</w:t>
      </w:r>
    </w:p>
    <w:p w14:paraId="0CA24EFB"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49BCB472"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Entergy supports the development of NAESB business practice standards to facilitate interoperability between DER registries and related industry systems.</w:t>
      </w:r>
    </w:p>
    <w:p w14:paraId="67635B45"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69B14872"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DER participation will span multiple RTO/ISO regions, market platforms, and vendor systems. Standardized business practices could:</w:t>
      </w:r>
    </w:p>
    <w:p w14:paraId="51352A36" w14:textId="77777777" w:rsidR="00EB5DFE" w:rsidRPr="00EB5DFE" w:rsidRDefault="00EB5DFE" w:rsidP="00EB5DFE">
      <w:pPr>
        <w:numPr>
          <w:ilvl w:val="0"/>
          <w:numId w:val="2"/>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 xml:space="preserve">Improve </w:t>
      </w:r>
      <w:r w:rsidRPr="00EB5DFE">
        <w:rPr>
          <w:rFonts w:ascii="Times New Roman" w:eastAsia="Times New Roman" w:hAnsi="Times New Roman" w:cs="Times New Roman"/>
          <w:b/>
          <w:bCs/>
          <w:kern w:val="0"/>
          <w14:ligatures w14:val="none"/>
        </w:rPr>
        <w:t>interoperability across RTO/ISO markets</w:t>
      </w:r>
    </w:p>
    <w:p w14:paraId="7FA12990" w14:textId="77777777" w:rsidR="00EB5DFE" w:rsidRPr="00EB5DFE" w:rsidRDefault="00EB5DFE" w:rsidP="00EB5DFE">
      <w:pPr>
        <w:numPr>
          <w:ilvl w:val="0"/>
          <w:numId w:val="2"/>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 xml:space="preserve">Allow aggregators and market participants operating in multiple regions to use </w:t>
      </w:r>
      <w:r w:rsidRPr="00EB5DFE">
        <w:rPr>
          <w:rFonts w:ascii="Times New Roman" w:eastAsia="Times New Roman" w:hAnsi="Times New Roman" w:cs="Times New Roman"/>
          <w:b/>
          <w:bCs/>
          <w:kern w:val="0"/>
          <w14:ligatures w14:val="none"/>
        </w:rPr>
        <w:t>consistent data structures and processes</w:t>
      </w:r>
    </w:p>
    <w:p w14:paraId="64C4723F" w14:textId="77777777" w:rsidR="00EB5DFE" w:rsidRPr="00EB5DFE" w:rsidRDefault="00EB5DFE" w:rsidP="00EB5DFE">
      <w:pPr>
        <w:numPr>
          <w:ilvl w:val="0"/>
          <w:numId w:val="2"/>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 xml:space="preserve">Improve </w:t>
      </w:r>
      <w:r w:rsidRPr="00EB5DFE">
        <w:rPr>
          <w:rFonts w:ascii="Times New Roman" w:eastAsia="Times New Roman" w:hAnsi="Times New Roman" w:cs="Times New Roman"/>
          <w:b/>
          <w:bCs/>
          <w:kern w:val="0"/>
          <w14:ligatures w14:val="none"/>
        </w:rPr>
        <w:t>data quality and standardization across systems</w:t>
      </w:r>
    </w:p>
    <w:p w14:paraId="5F5FBB2B" w14:textId="77777777" w:rsidR="00EB5DFE" w:rsidRPr="00EB5DFE" w:rsidRDefault="00EB5DFE" w:rsidP="00EB5DFE">
      <w:pPr>
        <w:numPr>
          <w:ilvl w:val="0"/>
          <w:numId w:val="2"/>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Support more efficient integration with existing market and operational tools</w:t>
      </w:r>
    </w:p>
    <w:p w14:paraId="769C4A1E"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64D45782"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Flexibility will be important, however, as different regions may maintain unique data requirements and market rules.</w:t>
      </w:r>
    </w:p>
    <w:p w14:paraId="412E04BF" w14:textId="2A062563" w:rsidR="00EB5DFE" w:rsidRPr="00EB5DFE" w:rsidRDefault="00EB5DFE" w:rsidP="00EB5DFE">
      <w:pPr>
        <w:spacing w:after="0" w:line="240" w:lineRule="auto"/>
        <w:rPr>
          <w:rFonts w:ascii="Times New Roman" w:eastAsia="Times New Roman" w:hAnsi="Times New Roman" w:cs="Times New Roman"/>
          <w:kern w:val="0"/>
          <w14:ligatures w14:val="none"/>
        </w:rPr>
      </w:pPr>
    </w:p>
    <w:p w14:paraId="1D78EA28" w14:textId="77777777" w:rsidR="00EB5DFE" w:rsidRPr="00EB5DFE" w:rsidRDefault="00EB5DFE" w:rsidP="00EB5DFE">
      <w:pPr>
        <w:spacing w:after="0" w:line="240" w:lineRule="auto"/>
        <w:outlineLvl w:val="0"/>
        <w:rPr>
          <w:rFonts w:ascii="Times New Roman" w:eastAsia="Times New Roman" w:hAnsi="Times New Roman" w:cs="Times New Roman"/>
          <w:b/>
          <w:bCs/>
          <w:kern w:val="36"/>
          <w14:ligatures w14:val="none"/>
        </w:rPr>
      </w:pPr>
      <w:r w:rsidRPr="00EB5DFE">
        <w:rPr>
          <w:rFonts w:ascii="Times New Roman" w:eastAsia="Times New Roman" w:hAnsi="Times New Roman" w:cs="Times New Roman"/>
          <w:b/>
          <w:bCs/>
          <w:kern w:val="36"/>
          <w14:ligatures w14:val="none"/>
        </w:rPr>
        <w:t>4. Would creation of a DER entity registry and related NAESB standards support broader integration of DERs and aggregations?</w:t>
      </w:r>
    </w:p>
    <w:p w14:paraId="42BBC10B"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37E9ABE6"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Yes. A DER entity registry combined with interoperable standards could help lower barriers to participation and support broader DER integration.</w:t>
      </w:r>
    </w:p>
    <w:p w14:paraId="1A74556C"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7BFDD2EB"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Benefits could include:</w:t>
      </w:r>
    </w:p>
    <w:p w14:paraId="53917489" w14:textId="77777777" w:rsidR="00EB5DFE" w:rsidRPr="00EB5DFE" w:rsidRDefault="00EB5DFE" w:rsidP="00EB5DFE">
      <w:pPr>
        <w:numPr>
          <w:ilvl w:val="0"/>
          <w:numId w:val="3"/>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 xml:space="preserve">Standardized </w:t>
      </w:r>
      <w:r w:rsidRPr="00EB5DFE">
        <w:rPr>
          <w:rFonts w:ascii="Times New Roman" w:eastAsia="Times New Roman" w:hAnsi="Times New Roman" w:cs="Times New Roman"/>
          <w:b/>
          <w:bCs/>
          <w:kern w:val="0"/>
          <w14:ligatures w14:val="none"/>
        </w:rPr>
        <w:t>data formats and communication protocols</w:t>
      </w:r>
    </w:p>
    <w:p w14:paraId="0E308CA8" w14:textId="77777777" w:rsidR="00EB5DFE" w:rsidRPr="00EB5DFE" w:rsidRDefault="00EB5DFE" w:rsidP="00EB5DFE">
      <w:pPr>
        <w:numPr>
          <w:ilvl w:val="0"/>
          <w:numId w:val="3"/>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 xml:space="preserve">Improved </w:t>
      </w:r>
      <w:r w:rsidRPr="00EB5DFE">
        <w:rPr>
          <w:rFonts w:ascii="Times New Roman" w:eastAsia="Times New Roman" w:hAnsi="Times New Roman" w:cs="Times New Roman"/>
          <w:b/>
          <w:bCs/>
          <w:kern w:val="0"/>
          <w14:ligatures w14:val="none"/>
        </w:rPr>
        <w:t>coordination between distribution utilities, aggregators, and market operators</w:t>
      </w:r>
    </w:p>
    <w:p w14:paraId="7790B72F" w14:textId="77777777" w:rsidR="00EB5DFE" w:rsidRPr="00EB5DFE" w:rsidRDefault="00EB5DFE" w:rsidP="00EB5DFE">
      <w:pPr>
        <w:numPr>
          <w:ilvl w:val="0"/>
          <w:numId w:val="3"/>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Streamlined onboarding of new market participants</w:t>
      </w:r>
    </w:p>
    <w:p w14:paraId="05D08216" w14:textId="77777777" w:rsidR="00EB5DFE" w:rsidRPr="00EB5DFE" w:rsidRDefault="00EB5DFE" w:rsidP="00EB5DFE">
      <w:pPr>
        <w:numPr>
          <w:ilvl w:val="0"/>
          <w:numId w:val="3"/>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 xml:space="preserve">Improved </w:t>
      </w:r>
      <w:r w:rsidRPr="00EB5DFE">
        <w:rPr>
          <w:rFonts w:ascii="Times New Roman" w:eastAsia="Times New Roman" w:hAnsi="Times New Roman" w:cs="Times New Roman"/>
          <w:b/>
          <w:bCs/>
          <w:kern w:val="0"/>
          <w14:ligatures w14:val="none"/>
        </w:rPr>
        <w:t>cybersecurity and authentication controls</w:t>
      </w:r>
    </w:p>
    <w:p w14:paraId="2B1B2AC9" w14:textId="77777777" w:rsidR="00EB5DFE" w:rsidRPr="00EB5DFE" w:rsidRDefault="00EB5DFE" w:rsidP="00EB5DFE">
      <w:pPr>
        <w:numPr>
          <w:ilvl w:val="0"/>
          <w:numId w:val="3"/>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Reduced reliance on ad hoc data exchanges (e.g., manual data sharing or email-based processes)</w:t>
      </w:r>
    </w:p>
    <w:p w14:paraId="4C451B9D"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12413187"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These capabilities may help support industry implementation of FERC Order 2222 and other DER-related initiatives.</w:t>
      </w:r>
    </w:p>
    <w:p w14:paraId="6A15B333" w14:textId="48D50D53" w:rsidR="00EB5DFE" w:rsidRPr="00EB5DFE" w:rsidRDefault="00EB5DFE" w:rsidP="00EB5DFE">
      <w:pPr>
        <w:spacing w:after="0" w:line="240" w:lineRule="auto"/>
        <w:rPr>
          <w:rFonts w:ascii="Times New Roman" w:eastAsia="Times New Roman" w:hAnsi="Times New Roman" w:cs="Times New Roman"/>
          <w:kern w:val="0"/>
          <w14:ligatures w14:val="none"/>
        </w:rPr>
      </w:pPr>
    </w:p>
    <w:p w14:paraId="5D889D58" w14:textId="77777777" w:rsidR="00EB5DFE" w:rsidRPr="00EB5DFE" w:rsidRDefault="00EB5DFE" w:rsidP="00EB5DFE">
      <w:pPr>
        <w:spacing w:after="0" w:line="240" w:lineRule="auto"/>
        <w:outlineLvl w:val="0"/>
        <w:rPr>
          <w:rFonts w:ascii="Times New Roman" w:eastAsia="Times New Roman" w:hAnsi="Times New Roman" w:cs="Times New Roman"/>
          <w:b/>
          <w:bCs/>
          <w:kern w:val="36"/>
          <w14:ligatures w14:val="none"/>
        </w:rPr>
      </w:pPr>
      <w:r w:rsidRPr="00EB5DFE">
        <w:rPr>
          <w:rFonts w:ascii="Times New Roman" w:eastAsia="Times New Roman" w:hAnsi="Times New Roman" w:cs="Times New Roman"/>
          <w:b/>
          <w:bCs/>
          <w:kern w:val="36"/>
          <w14:ligatures w14:val="none"/>
        </w:rPr>
        <w:t>5. How would the registry support industry needs related to FERC Order 2222, Order 901, or other DER initiatives?</w:t>
      </w:r>
    </w:p>
    <w:p w14:paraId="5D090F6F"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3FA206B1"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A DER entity registry could support industry implementation of FERC Order 2222 and other DER-related initiatives by improving visibility into participating entities and enabling more standardized data sharing.</w:t>
      </w:r>
    </w:p>
    <w:p w14:paraId="45E78752"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5E3F3884"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Specifically, a registry could:</w:t>
      </w:r>
    </w:p>
    <w:p w14:paraId="3A681717" w14:textId="77777777" w:rsidR="00EB5DFE" w:rsidRPr="00EB5DFE" w:rsidRDefault="00EB5DFE" w:rsidP="00EB5DFE">
      <w:pPr>
        <w:numPr>
          <w:ilvl w:val="0"/>
          <w:numId w:val="4"/>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Improve identification of entities participating in DER aggregations</w:t>
      </w:r>
    </w:p>
    <w:p w14:paraId="464A9FDA" w14:textId="77777777" w:rsidR="00EB5DFE" w:rsidRPr="00EB5DFE" w:rsidRDefault="00EB5DFE" w:rsidP="00EB5DFE">
      <w:pPr>
        <w:numPr>
          <w:ilvl w:val="0"/>
          <w:numId w:val="4"/>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Facilitate communication between distribution utilities and aggregators</w:t>
      </w:r>
    </w:p>
    <w:p w14:paraId="37E34783" w14:textId="77777777" w:rsidR="00EB5DFE" w:rsidRPr="00EB5DFE" w:rsidRDefault="00EB5DFE" w:rsidP="00EB5DFE">
      <w:pPr>
        <w:numPr>
          <w:ilvl w:val="0"/>
          <w:numId w:val="4"/>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lastRenderedPageBreak/>
        <w:t>Support standardized information exchange needed for DER registration, coordination, and market participation</w:t>
      </w:r>
    </w:p>
    <w:p w14:paraId="253B33D9" w14:textId="77777777" w:rsidR="00EB5DFE" w:rsidRPr="00EB5DFE" w:rsidRDefault="00EB5DFE" w:rsidP="00EB5DFE">
      <w:pPr>
        <w:numPr>
          <w:ilvl w:val="0"/>
          <w:numId w:val="4"/>
        </w:num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Improve consistency in how DER-related entities are represented across different regions and systems</w:t>
      </w:r>
    </w:p>
    <w:p w14:paraId="6B40DBB4" w14:textId="306CF222" w:rsidR="00EB5DFE" w:rsidRPr="00EB5DFE" w:rsidRDefault="00EB5DFE" w:rsidP="00EB5DFE">
      <w:pPr>
        <w:spacing w:after="0" w:line="240" w:lineRule="auto"/>
        <w:rPr>
          <w:rFonts w:ascii="Times New Roman" w:eastAsia="Times New Roman" w:hAnsi="Times New Roman" w:cs="Times New Roman"/>
          <w:kern w:val="0"/>
          <w14:ligatures w14:val="none"/>
        </w:rPr>
      </w:pPr>
    </w:p>
    <w:p w14:paraId="32397A5C" w14:textId="77777777" w:rsidR="00EB5DFE" w:rsidRPr="00EB5DFE" w:rsidRDefault="00EB5DFE" w:rsidP="00EB5DFE">
      <w:pPr>
        <w:spacing w:after="0" w:line="240" w:lineRule="auto"/>
        <w:outlineLvl w:val="0"/>
        <w:rPr>
          <w:rFonts w:ascii="Times New Roman" w:eastAsia="Times New Roman" w:hAnsi="Times New Roman" w:cs="Times New Roman"/>
          <w:b/>
          <w:bCs/>
          <w:kern w:val="36"/>
          <w14:ligatures w14:val="none"/>
        </w:rPr>
      </w:pPr>
      <w:r w:rsidRPr="00EB5DFE">
        <w:rPr>
          <w:rFonts w:ascii="Times New Roman" w:eastAsia="Times New Roman" w:hAnsi="Times New Roman" w:cs="Times New Roman"/>
          <w:b/>
          <w:bCs/>
          <w:kern w:val="36"/>
          <w14:ligatures w14:val="none"/>
        </w:rPr>
        <w:t>6. Additional considerations</w:t>
      </w:r>
    </w:p>
    <w:p w14:paraId="6217D989"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48014CDD"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While Entergy supports the general direction of the concept, several considerations should be addressed as the initiative progresses:</w:t>
      </w:r>
    </w:p>
    <w:p w14:paraId="74EE89EE"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56FA38DE" w14:textId="60EAA80A"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b/>
          <w:bCs/>
          <w:kern w:val="0"/>
          <w14:ligatures w14:val="none"/>
        </w:rPr>
        <w:t>Avoid unnecessary administrative burden</w:t>
      </w:r>
    </w:p>
    <w:p w14:paraId="586484B9"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The registry should not require utilities or other participants to continuously update large volumes of information unless clearly necessary. Administrative requirements should be proportionate and practical for participating organizations.</w:t>
      </w:r>
    </w:p>
    <w:p w14:paraId="23449283"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045FBA92" w14:textId="6BEC3CF0"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b/>
          <w:bCs/>
          <w:kern w:val="0"/>
          <w14:ligatures w14:val="none"/>
        </w:rPr>
        <w:t>Leverage existing systems</w:t>
      </w:r>
    </w:p>
    <w:p w14:paraId="67852DDB"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Where possible, the DER registry should leverage existing NAESB tools (such as the Electric Industry Registry) to avoid duplicative registration processes.</w:t>
      </w:r>
    </w:p>
    <w:p w14:paraId="7B3D1AF3"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13E0D021" w14:textId="1C405AE8"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b/>
          <w:bCs/>
          <w:kern w:val="0"/>
          <w14:ligatures w14:val="none"/>
        </w:rPr>
        <w:t>Protect sensitive operational information</w:t>
      </w:r>
    </w:p>
    <w:p w14:paraId="329D2E92"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Care should be taken to ensure that the registry does not require disclosure of sensitive system information or operational data that could introduce cybersecurity or reliability concerns.</w:t>
      </w:r>
    </w:p>
    <w:p w14:paraId="531073CD"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p>
    <w:p w14:paraId="1AAC6C46" w14:textId="5E91D90B"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b/>
          <w:bCs/>
          <w:kern w:val="0"/>
          <w14:ligatures w14:val="none"/>
        </w:rPr>
        <w:t>Maintain reasonable implementation costs</w:t>
      </w:r>
    </w:p>
    <w:p w14:paraId="63C26FE7" w14:textId="77777777" w:rsidR="00EB5DFE" w:rsidRPr="00EB5DFE" w:rsidRDefault="00EB5DFE" w:rsidP="00EB5DFE">
      <w:pPr>
        <w:spacing w:after="0" w:line="240" w:lineRule="auto"/>
        <w:rPr>
          <w:rFonts w:ascii="Times New Roman" w:eastAsia="Times New Roman" w:hAnsi="Times New Roman" w:cs="Times New Roman"/>
          <w:kern w:val="0"/>
          <w14:ligatures w14:val="none"/>
        </w:rPr>
      </w:pPr>
      <w:r w:rsidRPr="00EB5DFE">
        <w:rPr>
          <w:rFonts w:ascii="Times New Roman" w:eastAsia="Times New Roman" w:hAnsi="Times New Roman" w:cs="Times New Roman"/>
          <w:kern w:val="0"/>
          <w14:ligatures w14:val="none"/>
        </w:rPr>
        <w:t>Implementation of registry requirements should remain cost-effective and should not create significant new operational obligations for utilities, particularly related to maintaining or validating large datasets.</w:t>
      </w:r>
    </w:p>
    <w:p w14:paraId="64F4F511" w14:textId="77777777" w:rsidR="006371F7" w:rsidRPr="00EB5DFE" w:rsidRDefault="006371F7" w:rsidP="00EB5DFE">
      <w:pPr>
        <w:spacing w:after="0"/>
      </w:pPr>
    </w:p>
    <w:sectPr w:rsidR="006371F7" w:rsidRPr="00EB5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A2A72"/>
    <w:multiLevelType w:val="multilevel"/>
    <w:tmpl w:val="20D4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E358B"/>
    <w:multiLevelType w:val="multilevel"/>
    <w:tmpl w:val="B260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9519A"/>
    <w:multiLevelType w:val="multilevel"/>
    <w:tmpl w:val="89A6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83055"/>
    <w:multiLevelType w:val="multilevel"/>
    <w:tmpl w:val="EF86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621214">
    <w:abstractNumId w:val="0"/>
  </w:num>
  <w:num w:numId="2" w16cid:durableId="608974098">
    <w:abstractNumId w:val="3"/>
  </w:num>
  <w:num w:numId="3" w16cid:durableId="308753903">
    <w:abstractNumId w:val="1"/>
  </w:num>
  <w:num w:numId="4" w16cid:durableId="1980452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FE"/>
    <w:rsid w:val="006371F7"/>
    <w:rsid w:val="00941A0D"/>
    <w:rsid w:val="009B25B5"/>
    <w:rsid w:val="00A40F38"/>
    <w:rsid w:val="00C854B2"/>
    <w:rsid w:val="00CA52FB"/>
    <w:rsid w:val="00EB5DFE"/>
    <w:rsid w:val="00FC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3FF7"/>
  <w15:chartTrackingRefBased/>
  <w15:docId w15:val="{B6B6EAC2-58BC-914C-A38C-1D964B86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5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5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DFE"/>
    <w:rPr>
      <w:rFonts w:eastAsiaTheme="majorEastAsia" w:cstheme="majorBidi"/>
      <w:color w:val="272727" w:themeColor="text1" w:themeTint="D8"/>
    </w:rPr>
  </w:style>
  <w:style w:type="paragraph" w:styleId="Title">
    <w:name w:val="Title"/>
    <w:basedOn w:val="Normal"/>
    <w:next w:val="Normal"/>
    <w:link w:val="TitleChar"/>
    <w:uiPriority w:val="10"/>
    <w:qFormat/>
    <w:rsid w:val="00EB5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DFE"/>
    <w:pPr>
      <w:spacing w:before="160"/>
      <w:jc w:val="center"/>
    </w:pPr>
    <w:rPr>
      <w:i/>
      <w:iCs/>
      <w:color w:val="404040" w:themeColor="text1" w:themeTint="BF"/>
    </w:rPr>
  </w:style>
  <w:style w:type="character" w:customStyle="1" w:styleId="QuoteChar">
    <w:name w:val="Quote Char"/>
    <w:basedOn w:val="DefaultParagraphFont"/>
    <w:link w:val="Quote"/>
    <w:uiPriority w:val="29"/>
    <w:rsid w:val="00EB5DFE"/>
    <w:rPr>
      <w:i/>
      <w:iCs/>
      <w:color w:val="404040" w:themeColor="text1" w:themeTint="BF"/>
    </w:rPr>
  </w:style>
  <w:style w:type="paragraph" w:styleId="ListParagraph">
    <w:name w:val="List Paragraph"/>
    <w:basedOn w:val="Normal"/>
    <w:uiPriority w:val="34"/>
    <w:qFormat/>
    <w:rsid w:val="00EB5DFE"/>
    <w:pPr>
      <w:ind w:left="720"/>
      <w:contextualSpacing/>
    </w:pPr>
  </w:style>
  <w:style w:type="character" w:styleId="IntenseEmphasis">
    <w:name w:val="Intense Emphasis"/>
    <w:basedOn w:val="DefaultParagraphFont"/>
    <w:uiPriority w:val="21"/>
    <w:qFormat/>
    <w:rsid w:val="00EB5DFE"/>
    <w:rPr>
      <w:i/>
      <w:iCs/>
      <w:color w:val="0F4761" w:themeColor="accent1" w:themeShade="BF"/>
    </w:rPr>
  </w:style>
  <w:style w:type="paragraph" w:styleId="IntenseQuote">
    <w:name w:val="Intense Quote"/>
    <w:basedOn w:val="Normal"/>
    <w:next w:val="Normal"/>
    <w:link w:val="IntenseQuoteChar"/>
    <w:uiPriority w:val="30"/>
    <w:qFormat/>
    <w:rsid w:val="00EB5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DFE"/>
    <w:rPr>
      <w:i/>
      <w:iCs/>
      <w:color w:val="0F4761" w:themeColor="accent1" w:themeShade="BF"/>
    </w:rPr>
  </w:style>
  <w:style w:type="character" w:styleId="IntenseReference">
    <w:name w:val="Intense Reference"/>
    <w:basedOn w:val="DefaultParagraphFont"/>
    <w:uiPriority w:val="32"/>
    <w:qFormat/>
    <w:rsid w:val="00EB5DFE"/>
    <w:rPr>
      <w:b/>
      <w:bCs/>
      <w:smallCaps/>
      <w:color w:val="0F4761" w:themeColor="accent1" w:themeShade="BF"/>
      <w:spacing w:val="5"/>
    </w:rPr>
  </w:style>
  <w:style w:type="paragraph" w:customStyle="1" w:styleId="p1">
    <w:name w:val="p1"/>
    <w:basedOn w:val="Normal"/>
    <w:rsid w:val="00EB5D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EB5DFE"/>
  </w:style>
  <w:style w:type="paragraph" w:customStyle="1" w:styleId="p2">
    <w:name w:val="p2"/>
    <w:basedOn w:val="Normal"/>
    <w:rsid w:val="00EB5DF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EB5D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EB5DFE"/>
  </w:style>
  <w:style w:type="paragraph" w:customStyle="1" w:styleId="p4">
    <w:name w:val="p4"/>
    <w:basedOn w:val="Normal"/>
    <w:rsid w:val="00EB5D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EB5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F57DA5526904BBA75338E80325C3E" ma:contentTypeVersion="12" ma:contentTypeDescription="Create a new document." ma:contentTypeScope="" ma:versionID="d0846aa76c94385972bb13eaf4e06fb3">
  <xsd:schema xmlns:xsd="http://www.w3.org/2001/XMLSchema" xmlns:xs="http://www.w3.org/2001/XMLSchema" xmlns:p="http://schemas.microsoft.com/office/2006/metadata/properties" xmlns:ns2="9983c71a-9c6d-44e0-a048-7a5f1eb3da8a" xmlns:ns3="89a6dbff-a07c-4518-ba02-00cdff9285a5" targetNamespace="http://schemas.microsoft.com/office/2006/metadata/properties" ma:root="true" ma:fieldsID="c9db5a104806263cd0baf42c25ea51da" ns2:_="" ns3:_="">
    <xsd:import namespace="9983c71a-9c6d-44e0-a048-7a5f1eb3da8a"/>
    <xsd:import namespace="89a6dbff-a07c-4518-ba02-00cdff928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3c71a-9c6d-44e0-a048-7a5f1eb3d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8c2d8e-49e9-4a0e-b321-1f2a931403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6dbff-a07c-4518-ba02-00cdff9285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9d5522-b774-4abd-87fa-cddd53489b5c}" ma:internalName="TaxCatchAll" ma:showField="CatchAllData" ma:web="89a6dbff-a07c-4518-ba02-00cdff928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a6dbff-a07c-4518-ba02-00cdff9285a5" xsi:nil="true"/>
    <lcf76f155ced4ddcb4097134ff3c332f xmlns="9983c71a-9c6d-44e0-a048-7a5f1eb3da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BF4AF-A612-43A2-99E8-C757015C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3c71a-9c6d-44e0-a048-7a5f1eb3da8a"/>
    <ds:schemaRef ds:uri="89a6dbff-a07c-4518-ba02-00cdff928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29ED5-3E2A-4D46-AC6D-1C9225FB53D6}">
  <ds:schemaRefs>
    <ds:schemaRef ds:uri="http://schemas.microsoft.com/office/2006/metadata/properties"/>
    <ds:schemaRef ds:uri="http://schemas.microsoft.com/office/infopath/2007/PartnerControls"/>
    <ds:schemaRef ds:uri="89a6dbff-a07c-4518-ba02-00cdff9285a5"/>
    <ds:schemaRef ds:uri="9983c71a-9c6d-44e0-a048-7a5f1eb3da8a"/>
  </ds:schemaRefs>
</ds:datastoreItem>
</file>

<file path=customXml/itemProps3.xml><?xml version="1.0" encoding="utf-8"?>
<ds:datastoreItem xmlns:ds="http://schemas.openxmlformats.org/officeDocument/2006/customXml" ds:itemID="{21B02048-B820-4ED4-AE0C-D0FE2AD9F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Jones</dc:creator>
  <cp:keywords/>
  <dc:description/>
  <cp:lastModifiedBy>Chamberlain, Thomas</cp:lastModifiedBy>
  <cp:revision>2</cp:revision>
  <dcterms:created xsi:type="dcterms:W3CDTF">2026-03-10T20:47:00Z</dcterms:created>
  <dcterms:modified xsi:type="dcterms:W3CDTF">2026-03-10T20:47:00Z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91f082-e357-48ae-be1c-7e151bab59c6_Enabled">
    <vt:lpwstr>true</vt:lpwstr>
  </property>
  <property fmtid="{D5CDD505-2E9C-101B-9397-08002B2CF9AE}" pid="3" name="MSIP_Label_4391f082-e357-48ae-be1c-7e151bab59c6_SetDate">
    <vt:lpwstr>2026-03-09T21:48:14Z</vt:lpwstr>
  </property>
  <property fmtid="{D5CDD505-2E9C-101B-9397-08002B2CF9AE}" pid="4" name="MSIP_Label_4391f082-e357-48ae-be1c-7e151bab59c6_Method">
    <vt:lpwstr>Standard</vt:lpwstr>
  </property>
  <property fmtid="{D5CDD505-2E9C-101B-9397-08002B2CF9AE}" pid="5" name="MSIP_Label_4391f082-e357-48ae-be1c-7e151bab59c6_Name">
    <vt:lpwstr>4391f082-e357-48ae-be1c-7e151bab59c6</vt:lpwstr>
  </property>
  <property fmtid="{D5CDD505-2E9C-101B-9397-08002B2CF9AE}" pid="6" name="MSIP_Label_4391f082-e357-48ae-be1c-7e151bab59c6_SiteId">
    <vt:lpwstr>e0c13469-6a2d-4ac3-835b-8ec9ed03c9a7</vt:lpwstr>
  </property>
  <property fmtid="{D5CDD505-2E9C-101B-9397-08002B2CF9AE}" pid="7" name="MSIP_Label_4391f082-e357-48ae-be1c-7e151bab59c6_ActionId">
    <vt:lpwstr>52bb06eb-2992-410e-b2f3-1fd14cc92a08</vt:lpwstr>
  </property>
  <property fmtid="{D5CDD505-2E9C-101B-9397-08002B2CF9AE}" pid="8" name="MSIP_Label_4391f082-e357-48ae-be1c-7e151bab59c6_ContentBits">
    <vt:lpwstr>0</vt:lpwstr>
  </property>
  <property fmtid="{D5CDD505-2E9C-101B-9397-08002B2CF9AE}" pid="9" name="MSIP_Label_4391f082-e357-48ae-be1c-7e151bab59c6_Tag">
    <vt:lpwstr>10, 3, 0, 1</vt:lpwstr>
  </property>
  <property fmtid="{D5CDD505-2E9C-101B-9397-08002B2CF9AE}" pid="10" name="ContentTypeId">
    <vt:lpwstr>0x010100614F57DA5526904BBA75338E80325C3E</vt:lpwstr>
  </property>
</Properties>
</file>