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39" w:rsidRDefault="00F67A39" w:rsidP="00F67A39">
      <w:pPr>
        <w:pStyle w:val="NoSpacing"/>
        <w:rPr>
          <w:sz w:val="24"/>
          <w:szCs w:val="24"/>
        </w:rPr>
      </w:pPr>
      <w:r>
        <w:rPr>
          <w:sz w:val="24"/>
          <w:szCs w:val="24"/>
        </w:rPr>
        <w:t>Order 890 P 1215</w:t>
      </w:r>
    </w:p>
    <w:p w:rsidR="00F67A39" w:rsidRDefault="00F67A39" w:rsidP="00F67A39">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B3354B" w:rsidRDefault="00B3354B" w:rsidP="00F67A39">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P644</w:t>
      </w:r>
    </w:p>
    <w:p w:rsidR="00B3354B" w:rsidRPr="00B3354B" w:rsidRDefault="00B3354B" w:rsidP="00B3354B">
      <w:pPr>
        <w:autoSpaceDE w:val="0"/>
        <w:autoSpaceDN w:val="0"/>
        <w:adjustRightInd w:val="0"/>
        <w:spacing w:after="0" w:line="240" w:lineRule="auto"/>
        <w:ind w:left="720"/>
        <w:rPr>
          <w:rFonts w:cs="TimesNewRomanPSMT"/>
          <w:sz w:val="24"/>
          <w:szCs w:val="24"/>
          <w:highlight w:val="yellow"/>
        </w:rPr>
      </w:pPr>
      <w:r w:rsidRPr="00B3354B">
        <w:rPr>
          <w:rFonts w:cs="TimesNewRomanPSMT"/>
          <w:sz w:val="24"/>
          <w:szCs w:val="24"/>
          <w:highlight w:val="yellow"/>
        </w:rPr>
        <w:t>The Commission affirms the decision in Order No. 890 to limit rollover rights to</w:t>
      </w:r>
    </w:p>
    <w:p w:rsidR="00B3354B" w:rsidRPr="00B3354B" w:rsidRDefault="00B3354B" w:rsidP="00B3354B">
      <w:pPr>
        <w:autoSpaceDE w:val="0"/>
        <w:autoSpaceDN w:val="0"/>
        <w:adjustRightInd w:val="0"/>
        <w:spacing w:after="0" w:line="240" w:lineRule="auto"/>
        <w:ind w:left="720"/>
        <w:rPr>
          <w:rFonts w:cs="TimesNewRomanPSMT"/>
          <w:sz w:val="24"/>
          <w:szCs w:val="24"/>
        </w:rPr>
      </w:pPr>
      <w:r w:rsidRPr="00B3354B">
        <w:rPr>
          <w:rFonts w:cs="TimesNewRomanPSMT"/>
          <w:sz w:val="24"/>
          <w:szCs w:val="24"/>
          <w:highlight w:val="yellow"/>
        </w:rPr>
        <w:t>contracts with a minimum term of five years.</w:t>
      </w:r>
    </w:p>
    <w:p w:rsidR="00F67A39" w:rsidRDefault="00F67A39" w:rsidP="00F67A39">
      <w:pPr>
        <w:pStyle w:val="NoSpacing"/>
        <w:rPr>
          <w:sz w:val="24"/>
          <w:szCs w:val="24"/>
        </w:rPr>
      </w:pPr>
    </w:p>
    <w:p w:rsidR="00F67A39" w:rsidRPr="00D249B8" w:rsidRDefault="00F67A39" w:rsidP="00F67A39">
      <w:pPr>
        <w:pStyle w:val="NoSpacing"/>
        <w:rPr>
          <w:sz w:val="24"/>
          <w:szCs w:val="24"/>
        </w:rPr>
      </w:pPr>
      <w:r w:rsidRPr="00D249B8">
        <w:rPr>
          <w:sz w:val="24"/>
          <w:szCs w:val="24"/>
        </w:rPr>
        <w:t>Order 890-A P 645</w:t>
      </w:r>
    </w:p>
    <w:p w:rsidR="00F67A39" w:rsidRDefault="00F67A39" w:rsidP="00B3354B">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 xml:space="preserve">it is the length of a network customer’s network service agreement, not the length of the power contract supporting a network resource </w:t>
      </w:r>
      <w:proofErr w:type="gramStart"/>
      <w:r w:rsidRPr="005E4FC2">
        <w:rPr>
          <w:rFonts w:cs="TimesNewRomanPSMT"/>
          <w:sz w:val="24"/>
          <w:szCs w:val="24"/>
          <w:highlight w:val="yellow"/>
        </w:rPr>
        <w:t>designation, that</w:t>
      </w:r>
      <w:proofErr w:type="gramEnd"/>
      <w:r w:rsidRPr="005E4FC2">
        <w:rPr>
          <w:rFonts w:cs="TimesNewRomanPSMT"/>
          <w:sz w:val="24"/>
          <w:szCs w:val="24"/>
          <w:highlight w:val="yellow"/>
        </w:rPr>
        <w:t xml:space="preserve"> determines whether the customer is eligible for rollover.</w:t>
      </w:r>
      <w:r w:rsidR="00C032C9">
        <w:rPr>
          <w:rFonts w:cs="TimesNewRomanPSMT"/>
          <w:sz w:val="24"/>
          <w:szCs w:val="24"/>
        </w:rPr>
        <w:t xml:space="preserve"> </w:t>
      </w:r>
      <w:r w:rsidR="00C032C9" w:rsidRPr="00C032C9">
        <w:rPr>
          <w:rFonts w:cs="TimesNewRomanPSMT"/>
          <w:sz w:val="24"/>
          <w:szCs w:val="24"/>
          <w:highlight w:val="yellow"/>
        </w:rPr>
        <w:t>Thus, the availability of five-year power contracts is not determinative of the</w:t>
      </w:r>
      <w:r w:rsidR="00C032C9" w:rsidRPr="00C032C9">
        <w:rPr>
          <w:rFonts w:cs="TimesNewRomanPSMT"/>
          <w:sz w:val="24"/>
          <w:szCs w:val="24"/>
          <w:highlight w:val="yellow"/>
        </w:rPr>
        <w:t xml:space="preserve"> </w:t>
      </w:r>
      <w:r w:rsidR="00C032C9" w:rsidRPr="00C032C9">
        <w:rPr>
          <w:rFonts w:cs="TimesNewRomanPSMT"/>
          <w:sz w:val="24"/>
          <w:szCs w:val="24"/>
          <w:highlight w:val="yellow"/>
        </w:rPr>
        <w:t>ability of transmission customers to obtain rollover rights.</w:t>
      </w:r>
    </w:p>
    <w:p w:rsidR="00B3354B" w:rsidRPr="00C032C9" w:rsidRDefault="00B3354B" w:rsidP="00B3354B">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 648</w:t>
      </w:r>
    </w:p>
    <w:p w:rsidR="00B3354B" w:rsidRDefault="00B3354B" w:rsidP="00B3354B">
      <w:pPr>
        <w:autoSpaceDE w:val="0"/>
        <w:autoSpaceDN w:val="0"/>
        <w:adjustRightInd w:val="0"/>
        <w:spacing w:after="0" w:line="240" w:lineRule="auto"/>
        <w:ind w:left="720"/>
        <w:rPr>
          <w:rFonts w:cs="TimesNewRomanPSMT"/>
          <w:sz w:val="24"/>
          <w:szCs w:val="24"/>
        </w:rPr>
      </w:pPr>
      <w:r w:rsidRPr="0041345A">
        <w:rPr>
          <w:rFonts w:cs="TimesNewRomanPSMT"/>
          <w:sz w:val="24"/>
          <w:szCs w:val="24"/>
        </w:rPr>
        <w:t>…As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sz w:val="24"/>
          <w:szCs w:val="24"/>
        </w:rPr>
      </w:pPr>
      <w:r>
        <w:rPr>
          <w:sz w:val="24"/>
          <w:szCs w:val="24"/>
        </w:rPr>
        <w:t>Order 890-B P 148</w:t>
      </w:r>
    </w:p>
    <w:p w:rsidR="00F67A39" w:rsidRDefault="00F67A39" w:rsidP="00F67A39">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undesignate resources pursuant to that service </w:t>
      </w:r>
      <w:r w:rsidRPr="00D249B8">
        <w:rPr>
          <w:rFonts w:cs="TimesNewRomanPSMT"/>
          <w:sz w:val="24"/>
          <w:szCs w:val="24"/>
        </w:rPr>
        <w:lastRenderedPageBreak/>
        <w:t>agreement, subject to the availability of adequate transmission capability to accommodate the request.</w:t>
      </w:r>
    </w:p>
    <w:p w:rsidR="00F67A39" w:rsidRDefault="00F67A39" w:rsidP="00F67A39">
      <w:pPr>
        <w:autoSpaceDE w:val="0"/>
        <w:autoSpaceDN w:val="0"/>
        <w:adjustRightInd w:val="0"/>
        <w:spacing w:after="0" w:line="240" w:lineRule="auto"/>
        <w:ind w:left="720"/>
        <w:rPr>
          <w:rFonts w:cs="TimesNewRomanPSMT"/>
          <w:sz w:val="24"/>
          <w:szCs w:val="24"/>
        </w:rPr>
      </w:pPr>
    </w:p>
    <w:p w:rsidR="00F67A39" w:rsidRPr="00B3354B" w:rsidRDefault="00F67A39" w:rsidP="00F67A39">
      <w:pPr>
        <w:autoSpaceDE w:val="0"/>
        <w:autoSpaceDN w:val="0"/>
        <w:adjustRightInd w:val="0"/>
        <w:spacing w:after="0" w:line="240" w:lineRule="auto"/>
        <w:rPr>
          <w:rFonts w:cs="TimesNewRomanPSMT"/>
          <w:b/>
          <w:sz w:val="24"/>
          <w:szCs w:val="24"/>
        </w:rPr>
      </w:pPr>
      <w:r w:rsidRPr="00B3354B">
        <w:rPr>
          <w:rFonts w:cs="TimesNewRomanPSMT"/>
          <w:b/>
          <w:sz w:val="24"/>
          <w:szCs w:val="24"/>
        </w:rPr>
        <w:t>123 FERC ¶ 61,299</w:t>
      </w:r>
    </w:p>
    <w:p w:rsidR="00F67A39" w:rsidRPr="00B3354B" w:rsidRDefault="00F67A39" w:rsidP="00F67A39">
      <w:pPr>
        <w:autoSpaceDE w:val="0"/>
        <w:autoSpaceDN w:val="0"/>
        <w:adjustRightInd w:val="0"/>
        <w:spacing w:after="0" w:line="240" w:lineRule="auto"/>
        <w:ind w:left="720"/>
        <w:rPr>
          <w:rFonts w:cs="TimesNewRomanPSMT"/>
          <w:b/>
          <w:sz w:val="24"/>
          <w:szCs w:val="24"/>
        </w:rPr>
      </w:pPr>
      <w:r w:rsidRPr="00B3354B">
        <w:rPr>
          <w:rFonts w:cs="TimesNewRomanPSMT"/>
          <w:b/>
          <w:sz w:val="24"/>
          <w:szCs w:val="24"/>
        </w:rPr>
        <w:t>18 CFR Part 37</w:t>
      </w:r>
    </w:p>
    <w:p w:rsidR="00F67A39" w:rsidRDefault="00F67A39" w:rsidP="00F67A39">
      <w:pPr>
        <w:autoSpaceDE w:val="0"/>
        <w:autoSpaceDN w:val="0"/>
        <w:adjustRightInd w:val="0"/>
        <w:spacing w:after="0" w:line="240" w:lineRule="auto"/>
        <w:ind w:left="720"/>
        <w:rPr>
          <w:rFonts w:ascii="TimesNewRomanPSMT" w:hAnsi="TimesNewRomanPSMT" w:cs="TimesNewRomanPSMT"/>
          <w:sz w:val="26"/>
          <w:szCs w:val="26"/>
        </w:rPr>
      </w:pPr>
      <w:bookmarkStart w:id="0" w:name="_GoBack"/>
      <w:bookmarkEnd w:id="0"/>
    </w:p>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Rollover Rights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141. </w:t>
      </w:r>
      <w:r w:rsidRPr="00F67A39">
        <w:rPr>
          <w:rFonts w:cs="TimesNewRomanPSMT"/>
          <w:sz w:val="24"/>
          <w:szCs w:val="24"/>
          <w:highlight w:val="yellow"/>
        </w:rPr>
        <w:t>In Order No. 890-A, the Commission affirmed the decision in Order No. 890 to</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limit rollover rights to contracts with a minimum term of five years.</w:t>
      </w:r>
      <w:r w:rsidRPr="00F67A39">
        <w:rPr>
          <w:rFonts w:cs="TimesNewRomanPSMT"/>
          <w:sz w:val="24"/>
          <w:szCs w:val="24"/>
        </w:rPr>
        <w:t xml:space="preserve"> The Commission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rejected requests to condition application of the minimum five-year term on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demonstration that the relevant generation markets support five-year power supply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contracts. The Commission explained that </w:t>
      </w:r>
      <w:r w:rsidRPr="00F67A39">
        <w:rPr>
          <w:rFonts w:cs="TimesNewRomanPSMT"/>
          <w:sz w:val="24"/>
          <w:szCs w:val="24"/>
          <w:highlight w:val="yellow"/>
        </w:rPr>
        <w:t>the purpose of its reform of the rollover policy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is to align the rights and obligations of the customer with those of the transmission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provider</w:t>
      </w:r>
      <w:r w:rsidRPr="00F67A39">
        <w:rPr>
          <w:rFonts w:cs="TimesNewRomanPSMT"/>
          <w:sz w:val="24"/>
          <w:szCs w:val="24"/>
        </w:rPr>
        <w:t>, not with the availability of supplies within a market or particular commercial</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practices in a region. The Commission noted that a point-to-point customer does not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need to have a five-year power contract in order to secure a five-year transmission service</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contract and that t</w:t>
      </w:r>
      <w:r w:rsidRPr="00F67A39">
        <w:rPr>
          <w:rFonts w:cs="TimesNewRomanPSMT"/>
          <w:sz w:val="24"/>
          <w:szCs w:val="24"/>
          <w:highlight w:val="yellow"/>
        </w:rPr>
        <w:t>he length of the network customer’s service agreement, not the length</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of the power contract supporting a network resource designation, determines whether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Customer</w:t>
      </w:r>
      <w:r w:rsidRPr="00F67A39">
        <w:rPr>
          <w:rFonts w:cs="TimesNewRomanPSMT"/>
          <w:sz w:val="24"/>
          <w:szCs w:val="24"/>
          <w:highlight w:val="yellow"/>
        </w:rPr>
        <w:t xml:space="preserve"> is eligible for rollover.</w:t>
      </w:r>
    </w:p>
    <w:p w:rsidR="002717A3" w:rsidRDefault="002D320F"/>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Commission Determination</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148. </w:t>
      </w:r>
      <w:r w:rsidRPr="00F67A39">
        <w:rPr>
          <w:rFonts w:cs="TimesNewRomanPSMT"/>
          <w:sz w:val="24"/>
          <w:szCs w:val="24"/>
          <w:highlight w:val="yellow"/>
        </w:rPr>
        <w:t>The Commission affirms the determination in Order No. 890-A that the length of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network customer’s network service agreement,</w:t>
      </w:r>
      <w:r w:rsidRPr="00F67A39">
        <w:rPr>
          <w:rFonts w:cs="TimesNewRomanPSMT"/>
          <w:sz w:val="24"/>
          <w:szCs w:val="24"/>
        </w:rPr>
        <w:t xml:space="preserve"> not the length of a power contract</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supporting a network service agreement, </w:t>
      </w:r>
      <w:r w:rsidRPr="00F67A39">
        <w:rPr>
          <w:rFonts w:cs="TimesNewRomanPSMT"/>
          <w:sz w:val="24"/>
          <w:szCs w:val="24"/>
          <w:highlight w:val="yellow"/>
        </w:rPr>
        <w:t>determines whether the network customer is</w:t>
      </w:r>
    </w:p>
    <w:p w:rsidR="00F67A39" w:rsidRPr="00F67A39" w:rsidRDefault="00F67A39" w:rsidP="00F67A39">
      <w:pPr>
        <w:autoSpaceDE w:val="0"/>
        <w:autoSpaceDN w:val="0"/>
        <w:adjustRightInd w:val="0"/>
        <w:spacing w:after="0" w:line="240" w:lineRule="auto"/>
        <w:rPr>
          <w:rFonts w:cs="TimesNewRomanPSMT"/>
          <w:sz w:val="24"/>
          <w:szCs w:val="24"/>
          <w:highlight w:val="cyan"/>
        </w:rPr>
      </w:pPr>
      <w:r w:rsidRPr="00F67A39">
        <w:rPr>
          <w:rFonts w:cs="TimesNewRomanPSMT"/>
          <w:sz w:val="24"/>
          <w:szCs w:val="24"/>
          <w:highlight w:val="yellow"/>
        </w:rPr>
        <w:t>eligible for rollover rights</w:t>
      </w:r>
      <w:r w:rsidRPr="00F67A39">
        <w:rPr>
          <w:rFonts w:cs="TimesNewRomanPSMT"/>
          <w:sz w:val="24"/>
          <w:szCs w:val="24"/>
        </w:rPr>
        <w:t>.</w:t>
      </w:r>
      <w:r>
        <w:rPr>
          <w:rFonts w:cs="Times New Roman"/>
          <w:b/>
          <w:bCs/>
          <w:sz w:val="24"/>
          <w:szCs w:val="24"/>
        </w:rPr>
        <w:t xml:space="preserve"> </w:t>
      </w:r>
      <w:r w:rsidRPr="00F67A39">
        <w:rPr>
          <w:rFonts w:cs="TimesNewRomanPSMT"/>
          <w:sz w:val="24"/>
          <w:szCs w:val="24"/>
          <w:highlight w:val="cyan"/>
        </w:rPr>
        <w:t>A network customer’s eligibility for rollover rights is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cyan"/>
        </w:rPr>
        <w:t>distinct from its ability to rollover a particular resource designation</w:t>
      </w:r>
      <w:r w:rsidRPr="00F67A39">
        <w:rPr>
          <w:rFonts w:cs="TimesNewRomanPSMT"/>
          <w:sz w:val="24"/>
          <w:szCs w:val="24"/>
        </w:rPr>
        <w:t xml:space="preserve">. </w:t>
      </w:r>
      <w:r w:rsidRPr="00F67A39">
        <w:rPr>
          <w:rFonts w:cs="TimesNewRomanPSMT"/>
          <w:sz w:val="24"/>
          <w:szCs w:val="24"/>
          <w:highlight w:val="yellow"/>
        </w:rPr>
        <w:t>In order for a</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network customer to qualify for rollover rights, it must have a network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that satisfies the minimum term necessary for rollover rights</w:t>
      </w:r>
      <w:r w:rsidRPr="00F67A39">
        <w:rPr>
          <w:rFonts w:cs="TimesNewRomanPSMT"/>
          <w:sz w:val="24"/>
          <w:szCs w:val="24"/>
        </w:rPr>
        <w:t>. The network customer may</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then continue to designate and undesignate resources pursuant to that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subject to the availability of adequate transmission capability to accommodate the</w:t>
      </w:r>
    </w:p>
    <w:p w:rsidR="00F67A39" w:rsidRDefault="00F67A39" w:rsidP="00F67A39">
      <w:pPr>
        <w:rPr>
          <w:rFonts w:cs="TimesNewRomanPSMT"/>
          <w:sz w:val="24"/>
          <w:szCs w:val="24"/>
        </w:rPr>
      </w:pPr>
      <w:r w:rsidRPr="00F67A39">
        <w:rPr>
          <w:rFonts w:cs="TimesNewRomanPSMT"/>
          <w:sz w:val="24"/>
          <w:szCs w:val="24"/>
        </w:rPr>
        <w:t>Request</w:t>
      </w:r>
      <w:r w:rsidRPr="00F67A39">
        <w:rPr>
          <w:rFonts w:cs="TimesNewRomanPSMT"/>
          <w:sz w:val="24"/>
          <w:szCs w:val="24"/>
        </w:rPr>
        <w:t>.</w:t>
      </w:r>
    </w:p>
    <w:p w:rsidR="00F67A39" w:rsidRPr="003629C8" w:rsidRDefault="00F67A39" w:rsidP="00F67A39">
      <w:pPr>
        <w:autoSpaceDE w:val="0"/>
        <w:autoSpaceDN w:val="0"/>
        <w:adjustRightInd w:val="0"/>
        <w:spacing w:after="0" w:line="240" w:lineRule="auto"/>
        <w:rPr>
          <w:rFonts w:cs="TimesNewRomanPSMT"/>
          <w:sz w:val="24"/>
          <w:szCs w:val="24"/>
        </w:rPr>
      </w:pPr>
      <w:r w:rsidRPr="003629C8">
        <w:rPr>
          <w:rFonts w:cs="TimesNewRomanPSMT"/>
          <w:sz w:val="24"/>
          <w:szCs w:val="24"/>
        </w:rPr>
        <w:t xml:space="preserve">149. </w:t>
      </w:r>
      <w:r w:rsidRPr="003629C8">
        <w:rPr>
          <w:rFonts w:cs="TimesNewRomanPSMT"/>
          <w:sz w:val="24"/>
          <w:szCs w:val="24"/>
        </w:rPr>
        <w:t>In considering that issue, the</w:t>
      </w:r>
      <w:r w:rsidRPr="003629C8">
        <w:rPr>
          <w:rFonts w:cs="TimesNewRomanPSMT"/>
          <w:sz w:val="24"/>
          <w:szCs w:val="24"/>
        </w:rPr>
        <w:t xml:space="preserve"> </w:t>
      </w:r>
      <w:r w:rsidRPr="003629C8">
        <w:rPr>
          <w:rFonts w:cs="TimesNewRomanPSMT"/>
          <w:sz w:val="24"/>
          <w:szCs w:val="24"/>
        </w:rPr>
        <w:t>Commission first addressed whether rollover rights are available to network customers,</w:t>
      </w:r>
      <w:r w:rsidRPr="003629C8">
        <w:rPr>
          <w:rFonts w:cs="TimesNewRomanPSMT"/>
          <w:sz w:val="24"/>
          <w:szCs w:val="24"/>
        </w:rPr>
        <w:t xml:space="preserve"> </w:t>
      </w:r>
      <w:r w:rsidRPr="003629C8">
        <w:rPr>
          <w:rFonts w:cs="TimesNewRomanPSMT"/>
          <w:sz w:val="24"/>
          <w:szCs w:val="24"/>
          <w:highlight w:val="yellow"/>
        </w:rPr>
        <w:t xml:space="preserve">concluding that all network customers of the </w:t>
      </w:r>
      <w:r w:rsidRPr="003629C8">
        <w:rPr>
          <w:rFonts w:cs="TimesNewRomanPSMT"/>
          <w:sz w:val="24"/>
          <w:szCs w:val="24"/>
          <w:highlight w:val="yellow"/>
        </w:rPr>
        <w:t>t</w:t>
      </w:r>
      <w:r w:rsidRPr="003629C8">
        <w:rPr>
          <w:rFonts w:cs="TimesNewRomanPSMT"/>
          <w:sz w:val="24"/>
          <w:szCs w:val="24"/>
          <w:highlight w:val="yellow"/>
        </w:rPr>
        <w:t>ransmission system are long-term users of</w:t>
      </w:r>
      <w:r w:rsidRPr="003629C8">
        <w:rPr>
          <w:rFonts w:cs="TimesNewRomanPSMT"/>
          <w:sz w:val="24"/>
          <w:szCs w:val="24"/>
          <w:highlight w:val="yellow"/>
        </w:rPr>
        <w:t xml:space="preserve"> </w:t>
      </w:r>
      <w:r w:rsidRPr="003629C8">
        <w:rPr>
          <w:rFonts w:cs="TimesNewRomanPSMT"/>
          <w:sz w:val="24"/>
          <w:szCs w:val="24"/>
          <w:highlight w:val="yellow"/>
        </w:rPr>
        <w:t>the system and, therefore, meet the minimum term required to qualify for rollover rights.</w:t>
      </w:r>
    </w:p>
    <w:p w:rsidR="00F67A39" w:rsidRPr="001B4F64" w:rsidRDefault="001B4F64" w:rsidP="001B4F64">
      <w:pPr>
        <w:autoSpaceDE w:val="0"/>
        <w:autoSpaceDN w:val="0"/>
        <w:adjustRightInd w:val="0"/>
        <w:spacing w:after="0" w:line="240" w:lineRule="auto"/>
        <w:rPr>
          <w:rFonts w:cs="TimesNewRomanPSMT"/>
          <w:sz w:val="24"/>
          <w:szCs w:val="24"/>
        </w:rPr>
      </w:pPr>
      <w:r w:rsidRPr="001B4F64">
        <w:rPr>
          <w:rFonts w:cs="TimesNewRomanPSMT"/>
          <w:sz w:val="24"/>
          <w:szCs w:val="24"/>
        </w:rPr>
        <w:t>However, when the</w:t>
      </w:r>
      <w:r w:rsidRPr="001B4F64">
        <w:rPr>
          <w:rFonts w:cs="TimesNewRomanPSMT"/>
          <w:sz w:val="24"/>
          <w:szCs w:val="24"/>
        </w:rPr>
        <w:t xml:space="preserve"> </w:t>
      </w:r>
      <w:r w:rsidRPr="001B4F64">
        <w:rPr>
          <w:rFonts w:cs="TimesNewRomanPSMT"/>
          <w:sz w:val="24"/>
          <w:szCs w:val="24"/>
        </w:rPr>
        <w:t>Commission extended the minimum contract commitment for rollover rights from one</w:t>
      </w:r>
      <w:r w:rsidRPr="001B4F64">
        <w:rPr>
          <w:rFonts w:cs="TimesNewRomanPSMT"/>
          <w:sz w:val="24"/>
          <w:szCs w:val="24"/>
        </w:rPr>
        <w:t xml:space="preserve"> </w:t>
      </w:r>
      <w:r w:rsidRPr="001B4F64">
        <w:rPr>
          <w:rFonts w:cs="TimesNewRomanPSMT"/>
          <w:sz w:val="24"/>
          <w:szCs w:val="24"/>
        </w:rPr>
        <w:t xml:space="preserve">year to five years, it was necessary to state more clearly that a </w:t>
      </w:r>
      <w:r w:rsidRPr="001B4F64">
        <w:rPr>
          <w:rFonts w:cs="TimesNewRomanPSMT"/>
          <w:sz w:val="24"/>
          <w:szCs w:val="24"/>
          <w:highlight w:val="yellow"/>
        </w:rPr>
        <w:t>network customer’s</w:t>
      </w:r>
      <w:r w:rsidRPr="001B4F64">
        <w:rPr>
          <w:rFonts w:cs="TimesNewRomanPSMT"/>
          <w:sz w:val="24"/>
          <w:szCs w:val="24"/>
          <w:highlight w:val="yellow"/>
        </w:rPr>
        <w:t xml:space="preserve"> </w:t>
      </w:r>
      <w:r w:rsidRPr="001B4F64">
        <w:rPr>
          <w:rFonts w:cs="TimesNewRomanPSMT"/>
          <w:sz w:val="24"/>
          <w:szCs w:val="24"/>
          <w:highlight w:val="yellow"/>
        </w:rPr>
        <w:t>threshold eligibility for rollover rights is linked to the term of its network service</w:t>
      </w:r>
      <w:r w:rsidRPr="001B4F64">
        <w:rPr>
          <w:rFonts w:cs="TimesNewRomanPSMT"/>
          <w:sz w:val="24"/>
          <w:szCs w:val="24"/>
          <w:highlight w:val="yellow"/>
        </w:rPr>
        <w:t xml:space="preserve"> </w:t>
      </w:r>
      <w:r w:rsidRPr="001B4F64">
        <w:rPr>
          <w:rFonts w:cs="TimesNewRomanPSMT"/>
          <w:sz w:val="24"/>
          <w:szCs w:val="24"/>
          <w:highlight w:val="yellow"/>
        </w:rPr>
        <w:t>agreement.</w:t>
      </w:r>
    </w:p>
    <w:p w:rsidR="00F67A39" w:rsidRP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rFonts w:cs="TimesNewRomanPSMT"/>
          <w:sz w:val="24"/>
          <w:szCs w:val="24"/>
        </w:rPr>
      </w:pPr>
      <w:r>
        <w:rPr>
          <w:rFonts w:cs="TimesNewRomanPSMT"/>
          <w:sz w:val="24"/>
          <w:szCs w:val="24"/>
        </w:rPr>
        <w:t>Possible conclusions from above:</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lastRenderedPageBreak/>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associated with addition of new NITS resources.</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rsidR="00F67A39" w:rsidRDefault="00F67A39"/>
    <w:sectPr w:rsidR="00F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9"/>
    <w:rsid w:val="001B4F64"/>
    <w:rsid w:val="002D320F"/>
    <w:rsid w:val="00302A48"/>
    <w:rsid w:val="003629C8"/>
    <w:rsid w:val="009F6C52"/>
    <w:rsid w:val="00B3354B"/>
    <w:rsid w:val="00C032C9"/>
    <w:rsid w:val="00F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9407-95CD-4457-9664-B373697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A39"/>
    <w:pPr>
      <w:spacing w:after="0" w:line="240" w:lineRule="auto"/>
    </w:pPr>
  </w:style>
  <w:style w:type="paragraph" w:styleId="ListParagraph">
    <w:name w:val="List Paragraph"/>
    <w:basedOn w:val="Normal"/>
    <w:uiPriority w:val="34"/>
    <w:qFormat/>
    <w:rsid w:val="00F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Ken Quimby</cp:lastModifiedBy>
  <cp:revision>3</cp:revision>
  <dcterms:created xsi:type="dcterms:W3CDTF">2018-10-23T15:55:00Z</dcterms:created>
  <dcterms:modified xsi:type="dcterms:W3CDTF">2018-10-23T21:25:00Z</dcterms:modified>
</cp:coreProperties>
</file>