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D010" w14:textId="1669EA44" w:rsidR="008F2746" w:rsidRPr="008F2746" w:rsidRDefault="008F2746" w:rsidP="008F2746">
      <w:pPr>
        <w:spacing w:before="120" w:after="120"/>
        <w:jc w:val="center"/>
        <w:rPr>
          <w:bCs/>
          <w:sz w:val="28"/>
          <w:szCs w:val="28"/>
        </w:rPr>
      </w:pPr>
      <w:r w:rsidRPr="008F2746">
        <w:rPr>
          <w:bCs/>
          <w:sz w:val="28"/>
          <w:szCs w:val="28"/>
        </w:rPr>
        <w:t>WEQ OASIS Subcommittee Assignments</w:t>
      </w:r>
    </w:p>
    <w:p w14:paraId="61C45C52" w14:textId="42A081F0"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22A5B3B9" w14:textId="3E235661" w:rsidR="008F2746" w:rsidRPr="008F2746" w:rsidRDefault="008F2746" w:rsidP="009C5218">
      <w:pPr>
        <w:spacing w:before="120" w:after="120"/>
        <w:jc w:val="both"/>
        <w:rPr>
          <w:b/>
          <w:bCs/>
          <w:u w:val="single"/>
        </w:rPr>
      </w:pPr>
      <w:r w:rsidRPr="008F2746">
        <w:rPr>
          <w:b/>
          <w:bCs/>
          <w:u w:val="single"/>
        </w:rPr>
        <w:t>Assessment Report of the NAESB OASIS Standards</w:t>
      </w:r>
    </w:p>
    <w:p w14:paraId="4103D95A" w14:textId="1AD7CF9A" w:rsidR="007B788B" w:rsidRPr="008F2746" w:rsidRDefault="007B788B" w:rsidP="009C5218">
      <w:pPr>
        <w:spacing w:before="120" w:after="120"/>
        <w:jc w:val="both"/>
        <w:rPr>
          <w:u w:val="single"/>
        </w:rPr>
      </w:pPr>
      <w:r w:rsidRPr="008F2746">
        <w:rPr>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r w:rsidR="00EB39D0">
        <w:t>five recommendations to address the identified vulnerabilities.</w:t>
      </w:r>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7FC27962" w:rsidR="004262EC" w:rsidRDefault="004262EC" w:rsidP="004262EC">
      <w:pPr>
        <w:spacing w:before="120" w:after="120"/>
        <w:jc w:val="both"/>
      </w:pPr>
      <w:r>
        <w:t xml:space="preserve">The table below captures the </w:t>
      </w:r>
      <w:r w:rsidR="00EB39D0">
        <w:t>recommendations identified within</w:t>
      </w:r>
      <w:r>
        <w:t xml:space="preserve"> Section 6.1 Security Issues and the corresponding standard development activities to address these recommendations</w:t>
      </w:r>
      <w:r w:rsidR="008F2746">
        <w:t xml:space="preserve"> assigned to the WEQ OASIS Subcommittee and jointly to the WEQ OASIS Subcommittee and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6C6639">
            <w:pPr>
              <w:keepNext/>
              <w:keepLines/>
              <w:widowControl w:val="0"/>
              <w:spacing w:before="120" w:after="120"/>
              <w:rPr>
                <w:b/>
              </w:rPr>
            </w:pPr>
            <w:r w:rsidRPr="00873A6C">
              <w:rPr>
                <w:b/>
              </w:rPr>
              <w:t>Issue</w:t>
            </w:r>
          </w:p>
        </w:tc>
        <w:tc>
          <w:tcPr>
            <w:tcW w:w="2050" w:type="dxa"/>
          </w:tcPr>
          <w:p w14:paraId="7AD13883" w14:textId="7BA17B4A" w:rsidR="00CE058A" w:rsidRPr="00F02102" w:rsidRDefault="00CE058A" w:rsidP="006C6639">
            <w:pPr>
              <w:keepNext/>
              <w:keepLines/>
              <w:widowControl w:val="0"/>
              <w:spacing w:before="120" w:after="120"/>
              <w:rPr>
                <w:b/>
              </w:rPr>
            </w:pPr>
            <w:r>
              <w:rPr>
                <w:b/>
              </w:rPr>
              <w:t>Report Section (Page Number)</w:t>
            </w:r>
          </w:p>
        </w:tc>
        <w:tc>
          <w:tcPr>
            <w:tcW w:w="5000" w:type="dxa"/>
          </w:tcPr>
          <w:p w14:paraId="11C7AC23" w14:textId="7B570B30" w:rsidR="00CE058A" w:rsidRPr="00F02102" w:rsidRDefault="00CE058A" w:rsidP="006C6639">
            <w:pPr>
              <w:keepNext/>
              <w:keepLines/>
              <w:widowControl w:val="0"/>
              <w:spacing w:before="120" w:after="120"/>
              <w:jc w:val="both"/>
              <w:rPr>
                <w:b/>
              </w:rPr>
            </w:pPr>
            <w:r w:rsidRPr="00F02102">
              <w:rPr>
                <w:b/>
              </w:rPr>
              <w:t>Sandia Recommendation</w:t>
            </w:r>
          </w:p>
        </w:tc>
        <w:tc>
          <w:tcPr>
            <w:tcW w:w="3067" w:type="dxa"/>
          </w:tcPr>
          <w:p w14:paraId="3423796E" w14:textId="7342A0AE" w:rsidR="00CE058A" w:rsidRPr="006C6639" w:rsidRDefault="00CE058A" w:rsidP="006C6639">
            <w:pPr>
              <w:keepNext/>
              <w:keepLines/>
              <w:widowControl w:val="0"/>
              <w:spacing w:before="120" w:after="120"/>
              <w:rPr>
                <w:b/>
              </w:rPr>
            </w:pPr>
            <w:r w:rsidRPr="006C6639">
              <w:rPr>
                <w:b/>
              </w:rPr>
              <w:t>Recommended Standards Development Activity</w:t>
            </w:r>
          </w:p>
        </w:tc>
        <w:tc>
          <w:tcPr>
            <w:tcW w:w="2098" w:type="dxa"/>
          </w:tcPr>
          <w:p w14:paraId="4FF64C13" w14:textId="138049C6" w:rsidR="00CE058A" w:rsidRPr="006C6639" w:rsidRDefault="00CE058A" w:rsidP="006C6639">
            <w:pPr>
              <w:keepNext/>
              <w:keepLines/>
              <w:widowControl w:val="0"/>
              <w:spacing w:before="120" w:after="120"/>
              <w:rPr>
                <w:b/>
              </w:rPr>
            </w:pPr>
            <w:r w:rsidRPr="006C6639">
              <w:rPr>
                <w:b/>
              </w:rPr>
              <w:t>Recommended Assignment</w:t>
            </w:r>
          </w:p>
        </w:tc>
      </w:tr>
      <w:tr w:rsidR="00796614" w14:paraId="4E1E0C91" w14:textId="77777777" w:rsidTr="0083319C">
        <w:tc>
          <w:tcPr>
            <w:tcW w:w="735" w:type="dxa"/>
          </w:tcPr>
          <w:p w14:paraId="54A3BCFA" w14:textId="2072AC8E" w:rsidR="00796614" w:rsidRDefault="008F2746" w:rsidP="008F2746">
            <w:pPr>
              <w:spacing w:before="120" w:after="120"/>
              <w:ind w:left="360"/>
            </w:pPr>
            <w:r>
              <w:t>2.</w:t>
            </w: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w:t>
            </w:r>
            <w:r>
              <w:lastRenderedPageBreak/>
              <w:t xml:space="preserve">on OASIS (Pages 11 – 12) </w:t>
            </w:r>
          </w:p>
        </w:tc>
        <w:tc>
          <w:tcPr>
            <w:tcW w:w="5000" w:type="dxa"/>
          </w:tcPr>
          <w:p w14:paraId="449CF6E8" w14:textId="08D029C4" w:rsidR="00796614" w:rsidRDefault="00796614" w:rsidP="00796614">
            <w:pPr>
              <w:spacing w:before="120" w:after="120"/>
              <w:jc w:val="both"/>
              <w:rPr>
                <w:szCs w:val="20"/>
              </w:rPr>
            </w:pPr>
            <w:r>
              <w:rPr>
                <w:szCs w:val="20"/>
              </w:rPr>
              <w:lastRenderedPageBreak/>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09A67724" w:rsidR="00F276BB" w:rsidRPr="006C6639" w:rsidRDefault="00F276BB" w:rsidP="00796614">
            <w:pPr>
              <w:spacing w:before="120" w:after="120"/>
            </w:pPr>
            <w:r w:rsidRPr="006C6639">
              <w:t>There is not a Section 4.1.1 in NIST SP 800-63-3</w:t>
            </w:r>
            <w:r w:rsidR="00C40ED1" w:rsidRPr="006C6639">
              <w:t>, but</w:t>
            </w:r>
            <w:r w:rsidR="004F785C" w:rsidRPr="006C6639">
              <w:t xml:space="preserve"> </w:t>
            </w:r>
            <w:hyperlink r:id="rId8" w:history="1">
              <w:r w:rsidRPr="006C6639">
                <w:rPr>
                  <w:rStyle w:val="Hyperlink"/>
                  <w:color w:val="0070C0"/>
                </w:rPr>
                <w:t>NIST SP 800-63-3B Authentication and Lifecycle Management</w:t>
              </w:r>
            </w:hyperlink>
            <w:r w:rsidRPr="006C6639">
              <w:t xml:space="preserve"> does</w:t>
            </w:r>
            <w:r w:rsidR="009E3534" w:rsidRPr="006C6639">
              <w:t xml:space="preserve"> have a Section 4.1.1 Permitted Authenticator Types that identify </w:t>
            </w:r>
            <w:r w:rsidR="009E3534" w:rsidRPr="006C6639">
              <w:lastRenderedPageBreak/>
              <w:t>nine different authenticator types</w:t>
            </w:r>
            <w:r w:rsidR="00285478" w:rsidRPr="006C6639">
              <w:t xml:space="preserve"> and Section 5 Authenticator and Verifier Requirements contain detailed requirements for each type of authenticator</w:t>
            </w:r>
            <w:r w:rsidR="00090389" w:rsidRPr="006C6639">
              <w:t xml:space="preserve">. </w:t>
            </w:r>
          </w:p>
          <w:p w14:paraId="3FF247FC" w14:textId="77777777" w:rsidR="00285478" w:rsidRPr="006C6639" w:rsidRDefault="00EF4400" w:rsidP="00EF4400">
            <w:pPr>
              <w:spacing w:before="120" w:after="120"/>
            </w:pPr>
            <w:r w:rsidRPr="006C6639">
              <w:t>The Addendum Report Section 2.3.2 states that the authentication method in the OASIS Standards (WEQ-002-5.1.1) is considered adequate and consistent with current business practices</w:t>
            </w:r>
          </w:p>
          <w:p w14:paraId="0E7C2CCD" w14:textId="63874E29" w:rsidR="00FE3E4E" w:rsidRPr="006C6639" w:rsidRDefault="00FE3E4E" w:rsidP="00EF4400">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4CCF773C" w14:textId="4B437BAC" w:rsidR="00796614" w:rsidRPr="006C6639" w:rsidRDefault="004D6888" w:rsidP="00AB5488">
            <w:pPr>
              <w:pStyle w:val="ListParagraph"/>
              <w:spacing w:before="120" w:after="120"/>
              <w:ind w:left="0"/>
            </w:pPr>
            <w:r w:rsidRPr="006C6639">
              <w:lastRenderedPageBreak/>
              <w:t xml:space="preserve">Jointly between </w:t>
            </w:r>
            <w:r w:rsidR="004F785C" w:rsidRPr="006C6639">
              <w:t>WEQ OASIS Subcommittee</w:t>
            </w:r>
            <w:r w:rsidRPr="006C6639">
              <w:t xml:space="preserve"> and</w:t>
            </w:r>
            <w:r w:rsidR="004F785C" w:rsidRPr="006C6639">
              <w:t xml:space="preserve"> WEQ Cybersecurity Subcommittee</w:t>
            </w:r>
          </w:p>
        </w:tc>
      </w:tr>
      <w:tr w:rsidR="00796614" w14:paraId="7AA885C7" w14:textId="77777777" w:rsidTr="0083319C">
        <w:tc>
          <w:tcPr>
            <w:tcW w:w="735" w:type="dxa"/>
          </w:tcPr>
          <w:p w14:paraId="0EECCDF7" w14:textId="6545CAD6" w:rsidR="00796614" w:rsidRDefault="008F2746" w:rsidP="008F2746">
            <w:pPr>
              <w:spacing w:before="120" w:after="120"/>
              <w:ind w:left="360"/>
            </w:pPr>
            <w:r>
              <w:t>3.</w:t>
            </w: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t>Level: Low</w:t>
            </w:r>
          </w:p>
          <w:p w14:paraId="63FCEAC0" w14:textId="34DF07F0" w:rsidR="00796614" w:rsidRPr="00733F0F" w:rsidRDefault="00796614" w:rsidP="00796614">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w:t>
            </w:r>
            <w:r w:rsidRPr="00911880">
              <w:rPr>
                <w:szCs w:val="20"/>
              </w:rPr>
              <w:lastRenderedPageBreak/>
              <w:t>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6C6639" w:rsidRDefault="00C40ED1" w:rsidP="00796614">
            <w:pPr>
              <w:spacing w:before="120" w:after="120"/>
            </w:pPr>
            <w:r w:rsidRPr="006C6639">
              <w:lastRenderedPageBreak/>
              <w:t xml:space="preserve">The subcommittees should review </w:t>
            </w:r>
            <w:r w:rsidR="004D6888" w:rsidRPr="006C6639">
              <w:t xml:space="preserve">TLS/SSL references </w:t>
            </w:r>
            <w:r w:rsidRPr="006C6639">
              <w:t>and update the standard</w:t>
            </w:r>
            <w:r w:rsidR="00D65D09" w:rsidRPr="006C6639">
              <w:t>(</w:t>
            </w:r>
            <w:r w:rsidRPr="006C6639">
              <w:t>s</w:t>
            </w:r>
            <w:r w:rsidR="00D65D09" w:rsidRPr="006C6639">
              <w:t>)</w:t>
            </w:r>
            <w:r w:rsidRPr="006C6639">
              <w:t xml:space="preserve"> accordingly </w:t>
            </w:r>
            <w:r w:rsidR="00D65D09" w:rsidRPr="006C6639">
              <w:t>as recommended</w:t>
            </w:r>
          </w:p>
        </w:tc>
        <w:tc>
          <w:tcPr>
            <w:tcW w:w="2098" w:type="dxa"/>
          </w:tcPr>
          <w:p w14:paraId="79D85101" w14:textId="3FDB02A1" w:rsidR="00796614" w:rsidRPr="006C6639" w:rsidRDefault="000A0E0D" w:rsidP="0038516D">
            <w:pPr>
              <w:pStyle w:val="ListParagraph"/>
              <w:spacing w:before="120" w:after="120"/>
              <w:ind w:left="14"/>
            </w:pPr>
            <w:r w:rsidRPr="006C6639">
              <w:t xml:space="preserve">Jointly between </w:t>
            </w:r>
            <w:r w:rsidR="0038516D" w:rsidRPr="006C6639">
              <w:t xml:space="preserve">WEQ OASIS </w:t>
            </w:r>
            <w:r w:rsidRPr="006C6639">
              <w:t>Subcommittee and WEQ Cybersecurity Subcommittee</w:t>
            </w:r>
          </w:p>
        </w:tc>
      </w:tr>
      <w:tr w:rsidR="00796614" w14:paraId="73A7ECC0" w14:textId="77777777" w:rsidTr="0083319C">
        <w:tc>
          <w:tcPr>
            <w:tcW w:w="735" w:type="dxa"/>
          </w:tcPr>
          <w:p w14:paraId="5DEFD7C4" w14:textId="06A83E07" w:rsidR="00796614" w:rsidRDefault="008F2746" w:rsidP="008F2746">
            <w:pPr>
              <w:spacing w:before="120" w:after="120"/>
              <w:ind w:left="360"/>
            </w:pPr>
            <w:r>
              <w:t>4.</w:t>
            </w: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6C6639" w:rsidRDefault="00D43047" w:rsidP="00796614">
            <w:pPr>
              <w:spacing w:before="120" w:after="120"/>
            </w:pPr>
            <w:r w:rsidRPr="006C6639">
              <w:t>Subcommittee should review all OASIS standards that specify data retention.</w:t>
            </w:r>
          </w:p>
        </w:tc>
        <w:tc>
          <w:tcPr>
            <w:tcW w:w="2098" w:type="dxa"/>
          </w:tcPr>
          <w:p w14:paraId="1CA7FD2A" w14:textId="464DED14" w:rsidR="00796614" w:rsidRPr="006C6639" w:rsidRDefault="0038516D" w:rsidP="0038516D">
            <w:pPr>
              <w:pStyle w:val="ListParagraph"/>
              <w:spacing w:before="120" w:after="120"/>
              <w:ind w:left="14"/>
            </w:pPr>
            <w:r w:rsidRPr="006C6639">
              <w:t>WEQ OASIS Subcommittee</w:t>
            </w:r>
          </w:p>
        </w:tc>
      </w:tr>
      <w:tr w:rsidR="00796614" w14:paraId="41CD9A4E" w14:textId="77777777" w:rsidTr="0083319C">
        <w:tc>
          <w:tcPr>
            <w:tcW w:w="735" w:type="dxa"/>
          </w:tcPr>
          <w:p w14:paraId="7C5E5F36" w14:textId="28F1057A" w:rsidR="00796614" w:rsidRDefault="008F2746" w:rsidP="008F2746">
            <w:pPr>
              <w:spacing w:before="120" w:after="120"/>
              <w:ind w:left="360"/>
            </w:pPr>
            <w:r>
              <w:t>5.</w:t>
            </w: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2321CCFD" w14:textId="77777777" w:rsidR="006A120B" w:rsidRPr="00224521" w:rsidRDefault="006A120B" w:rsidP="00796614">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w:t>
            </w:r>
            <w:r w:rsidRPr="00224521">
              <w:lastRenderedPageBreak/>
              <w:t>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46206C70" w14:textId="15DC7C8E" w:rsidR="00796614" w:rsidRPr="006C6639" w:rsidRDefault="00F75402" w:rsidP="00796614">
            <w:pPr>
              <w:spacing w:before="120" w:after="120"/>
            </w:pPr>
            <w:r w:rsidRPr="006C6639">
              <w:lastRenderedPageBreak/>
              <w:t>Subcommittee</w:t>
            </w:r>
            <w:r w:rsidR="000C0178" w:rsidRPr="006C6639">
              <w:t>s</w:t>
            </w:r>
            <w:r w:rsidRPr="006C6639">
              <w:t xml:space="preserve"> should consider additional standard(s) ensuring web applications are secure against common vulnerabilities such as the OWASP Top 10</w:t>
            </w:r>
          </w:p>
          <w:p w14:paraId="79432351" w14:textId="688951B6" w:rsidR="006A120B" w:rsidRPr="006C6639" w:rsidRDefault="006A120B" w:rsidP="00796614">
            <w:pPr>
              <w:spacing w:before="120" w:after="120"/>
            </w:pPr>
            <w:r w:rsidRPr="006C6639">
              <w:t>Subcommittee</w:t>
            </w:r>
            <w:r w:rsidR="000C0178" w:rsidRPr="006C6639">
              <w:t>s</w:t>
            </w:r>
            <w:r w:rsidRPr="006C6639">
              <w:t xml:space="preserve"> should review encryption of OASIS data and references to HTTP/HTTPS as recommended</w:t>
            </w:r>
            <w:r w:rsidR="00D65D09" w:rsidRPr="006C6639">
              <w:t xml:space="preserve"> and modify standards as needed</w:t>
            </w:r>
          </w:p>
          <w:p w14:paraId="11F57B04" w14:textId="776CACD2" w:rsidR="006A120B" w:rsidRPr="006C6639" w:rsidRDefault="006A120B" w:rsidP="00796614">
            <w:pPr>
              <w:spacing w:before="120" w:after="120"/>
            </w:pPr>
            <w:r w:rsidRPr="006C6639">
              <w:t>Subcommittee</w:t>
            </w:r>
            <w:r w:rsidR="000C0178" w:rsidRPr="006C6639">
              <w:t>s</w:t>
            </w:r>
            <w:r w:rsidRPr="006C6639">
              <w:t xml:space="preserve"> should consider standard(s) to require business continuity and disaster recover exercises on an annual basis as recommended</w:t>
            </w:r>
          </w:p>
          <w:p w14:paraId="1F8B90A4" w14:textId="1F2EDDA4" w:rsidR="006A120B" w:rsidRPr="006C6639" w:rsidRDefault="006A120B" w:rsidP="00796614">
            <w:pPr>
              <w:spacing w:before="120" w:after="120"/>
            </w:pPr>
            <w:r w:rsidRPr="006C6639">
              <w:lastRenderedPageBreak/>
              <w:t>Subcommittee</w:t>
            </w:r>
            <w:r w:rsidR="000C0178" w:rsidRPr="006C6639">
              <w:t>s</w:t>
            </w:r>
            <w:r w:rsidRPr="006C6639">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Pr="006C6639" w:rsidRDefault="00F75402" w:rsidP="00796614">
            <w:pPr>
              <w:spacing w:before="120" w:after="120"/>
            </w:pPr>
            <w:r w:rsidRPr="006C6639">
              <w:lastRenderedPageBreak/>
              <w:t xml:space="preserve">Jointly between </w:t>
            </w:r>
            <w:r w:rsidR="00395EF8" w:rsidRPr="006C6639">
              <w:t>WEQ OASIS Subcommittee</w:t>
            </w:r>
            <w:r w:rsidRPr="006C6639">
              <w:t xml:space="preserve"> and WEQ Cybersecurity Subcommittee</w:t>
            </w:r>
          </w:p>
        </w:tc>
      </w:tr>
    </w:tbl>
    <w:p w14:paraId="756A8585" w14:textId="6EAC772B" w:rsidR="00C40705" w:rsidRDefault="00C40705"/>
    <w:p w14:paraId="5A6EF214" w14:textId="77777777" w:rsidR="00816A25" w:rsidRPr="00865BA9" w:rsidRDefault="00816A25" w:rsidP="00816A25">
      <w:pPr>
        <w:rPr>
          <w:b/>
          <w:bCs/>
          <w:u w:val="single"/>
        </w:rPr>
      </w:pPr>
      <w:r w:rsidRPr="00865BA9">
        <w:rPr>
          <w:b/>
          <w:bCs/>
          <w:szCs w:val="20"/>
          <w:u w:val="single"/>
        </w:rPr>
        <w:t>Addendum Report: Threat-based Examination of NAESB Standards and Business Operations</w:t>
      </w:r>
    </w:p>
    <w:p w14:paraId="6D49E1D3" w14:textId="77777777" w:rsidR="00816A25" w:rsidRPr="00865BA9" w:rsidRDefault="00816A25" w:rsidP="00816A25">
      <w:pPr>
        <w:spacing w:before="240"/>
        <w:rPr>
          <w:u w:val="single"/>
        </w:rPr>
      </w:pPr>
      <w:r w:rsidRPr="00865BA9">
        <w:rPr>
          <w:u w:val="single"/>
        </w:rPr>
        <w:t>Additional Findings and Considerations</w:t>
      </w:r>
    </w:p>
    <w:p w14:paraId="46693F75" w14:textId="3EBA7A98" w:rsidR="00816A25" w:rsidRDefault="00816A25" w:rsidP="00816A25">
      <w:pPr>
        <w:spacing w:before="120" w:after="120"/>
        <w:jc w:val="both"/>
        <w:rPr>
          <w:szCs w:val="20"/>
        </w:rPr>
      </w:pPr>
      <w:r>
        <w:rPr>
          <w:szCs w:val="20"/>
        </w:rPr>
        <w:t xml:space="preserve">This </w:t>
      </w:r>
      <w:r w:rsidR="007B15B3">
        <w:rPr>
          <w:szCs w:val="20"/>
        </w:rPr>
        <w:t xml:space="preserve">part of the </w:t>
      </w:r>
      <w:r>
        <w:rPr>
          <w:szCs w:val="20"/>
        </w:rPr>
        <w:t xml:space="preserve">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4EB4433F" w14:textId="6D1DD004" w:rsidR="00816A25" w:rsidRPr="00E91CA6" w:rsidRDefault="00816A25" w:rsidP="00816A25">
      <w:pPr>
        <w:spacing w:before="120" w:after="120"/>
        <w:jc w:val="both"/>
        <w:rPr>
          <w:szCs w:val="20"/>
        </w:rPr>
      </w:pPr>
      <w:r>
        <w:rPr>
          <w:szCs w:val="20"/>
        </w:rPr>
        <w:t>The table below captures the</w:t>
      </w:r>
      <w:bookmarkStart w:id="2" w:name="_GoBack"/>
      <w:bookmarkEnd w:id="2"/>
      <w:r>
        <w:rPr>
          <w:szCs w:val="20"/>
        </w:rPr>
        <w:t xml:space="preserve"> findings and the related standard considerations to potentially incorporate the identified concept into the standards, as applicable, assigned jointly to the WEQ Cybersecurity Subcommittee and WEQ OASIS Subcommittee.</w:t>
      </w:r>
    </w:p>
    <w:p w14:paraId="5BABFE08" w14:textId="416BD8C9" w:rsidR="009827BE" w:rsidRDefault="009827BE" w:rsidP="00F02102">
      <w:pPr>
        <w:spacing w:before="120" w:after="120"/>
      </w:pPr>
    </w:p>
    <w:tbl>
      <w:tblPr>
        <w:tblStyle w:val="TableGrid"/>
        <w:tblW w:w="0" w:type="auto"/>
        <w:tblLook w:val="04A0" w:firstRow="1" w:lastRow="0" w:firstColumn="1" w:lastColumn="0" w:noHBand="0" w:noVBand="1"/>
      </w:tblPr>
      <w:tblGrid>
        <w:gridCol w:w="715"/>
        <w:gridCol w:w="2160"/>
        <w:gridCol w:w="4410"/>
        <w:gridCol w:w="3240"/>
        <w:gridCol w:w="2425"/>
      </w:tblGrid>
      <w:tr w:rsidR="00816A25" w:rsidRPr="00DB4735" w14:paraId="1C77B8E9" w14:textId="77777777" w:rsidTr="003C2DF7">
        <w:trPr>
          <w:tblHeader/>
        </w:trPr>
        <w:tc>
          <w:tcPr>
            <w:tcW w:w="715" w:type="dxa"/>
          </w:tcPr>
          <w:p w14:paraId="164D9F75" w14:textId="77777777" w:rsidR="00816A25" w:rsidRPr="00DB4735" w:rsidRDefault="00816A25" w:rsidP="003C2DF7">
            <w:pPr>
              <w:spacing w:before="120" w:after="120"/>
              <w:rPr>
                <w:szCs w:val="20"/>
              </w:rPr>
            </w:pPr>
            <w:r w:rsidRPr="00DB4735">
              <w:rPr>
                <w:b/>
                <w:szCs w:val="20"/>
              </w:rPr>
              <w:t>Issue</w:t>
            </w:r>
          </w:p>
        </w:tc>
        <w:tc>
          <w:tcPr>
            <w:tcW w:w="2160" w:type="dxa"/>
          </w:tcPr>
          <w:p w14:paraId="3AEB1768" w14:textId="77777777" w:rsidR="00816A25" w:rsidRPr="00DB4735" w:rsidRDefault="00816A25" w:rsidP="003C2DF7">
            <w:pPr>
              <w:spacing w:before="120" w:after="120"/>
              <w:rPr>
                <w:szCs w:val="20"/>
              </w:rPr>
            </w:pPr>
            <w:r w:rsidRPr="00DB4735">
              <w:rPr>
                <w:b/>
                <w:szCs w:val="20"/>
              </w:rPr>
              <w:t>Report Section (Page Number)</w:t>
            </w:r>
          </w:p>
        </w:tc>
        <w:tc>
          <w:tcPr>
            <w:tcW w:w="4410" w:type="dxa"/>
          </w:tcPr>
          <w:p w14:paraId="67EDCAB1" w14:textId="77777777" w:rsidR="00816A25" w:rsidRPr="00DB4735" w:rsidRDefault="00816A25" w:rsidP="003C2DF7">
            <w:pPr>
              <w:spacing w:before="120" w:after="120"/>
              <w:rPr>
                <w:szCs w:val="20"/>
              </w:rPr>
            </w:pPr>
            <w:r w:rsidRPr="00DB4735">
              <w:rPr>
                <w:b/>
                <w:szCs w:val="20"/>
              </w:rPr>
              <w:t>Sandia Finding</w:t>
            </w:r>
            <w:r>
              <w:rPr>
                <w:b/>
                <w:szCs w:val="20"/>
              </w:rPr>
              <w:t xml:space="preserve"> or Consideration</w:t>
            </w:r>
          </w:p>
        </w:tc>
        <w:tc>
          <w:tcPr>
            <w:tcW w:w="3240" w:type="dxa"/>
          </w:tcPr>
          <w:p w14:paraId="2885E74E" w14:textId="77777777" w:rsidR="00816A25" w:rsidRPr="00E30AB2" w:rsidRDefault="00816A25" w:rsidP="003C2DF7">
            <w:pPr>
              <w:spacing w:before="120" w:after="120"/>
              <w:rPr>
                <w:szCs w:val="20"/>
              </w:rPr>
            </w:pPr>
            <w:r w:rsidRPr="00E30AB2">
              <w:rPr>
                <w:b/>
                <w:szCs w:val="20"/>
              </w:rPr>
              <w:t>Standards Considerations (if applicable)</w:t>
            </w:r>
          </w:p>
        </w:tc>
        <w:tc>
          <w:tcPr>
            <w:tcW w:w="2425" w:type="dxa"/>
          </w:tcPr>
          <w:p w14:paraId="3407709B" w14:textId="77777777" w:rsidR="00816A25" w:rsidRPr="00E30AB2" w:rsidRDefault="00816A25" w:rsidP="003C2DF7">
            <w:pPr>
              <w:spacing w:before="120" w:after="120"/>
              <w:rPr>
                <w:szCs w:val="20"/>
              </w:rPr>
            </w:pPr>
            <w:r w:rsidRPr="00E30AB2">
              <w:rPr>
                <w:b/>
                <w:szCs w:val="20"/>
              </w:rPr>
              <w:t>Assignment (if applicable)</w:t>
            </w:r>
          </w:p>
        </w:tc>
      </w:tr>
      <w:tr w:rsidR="00816A25" w:rsidRPr="00DB4735" w14:paraId="7069F34E" w14:textId="77777777" w:rsidTr="003C2DF7">
        <w:tc>
          <w:tcPr>
            <w:tcW w:w="715" w:type="dxa"/>
          </w:tcPr>
          <w:p w14:paraId="29D2EC7C" w14:textId="77777777" w:rsidR="00816A25" w:rsidRPr="00DB4735" w:rsidRDefault="00816A25" w:rsidP="003C2DF7">
            <w:pPr>
              <w:spacing w:before="120" w:after="120"/>
              <w:jc w:val="right"/>
              <w:rPr>
                <w:szCs w:val="20"/>
              </w:rPr>
            </w:pPr>
            <w:r>
              <w:rPr>
                <w:szCs w:val="20"/>
              </w:rPr>
              <w:t>9</w:t>
            </w:r>
            <w:r w:rsidRPr="00DB4735">
              <w:rPr>
                <w:szCs w:val="20"/>
              </w:rPr>
              <w:t>.</w:t>
            </w:r>
          </w:p>
        </w:tc>
        <w:tc>
          <w:tcPr>
            <w:tcW w:w="2160" w:type="dxa"/>
          </w:tcPr>
          <w:p w14:paraId="1BC71948" w14:textId="77777777" w:rsidR="00816A25" w:rsidRPr="00DB4735" w:rsidRDefault="00816A25" w:rsidP="003C2DF7">
            <w:pPr>
              <w:spacing w:before="120" w:after="120"/>
              <w:rPr>
                <w:szCs w:val="20"/>
              </w:rPr>
            </w:pPr>
            <w:r w:rsidRPr="00DB4735">
              <w:rPr>
                <w:szCs w:val="20"/>
              </w:rPr>
              <w:t>Addendum Report Section 3.4 – Recommended Future Assessments (Pages 29 – 30)</w:t>
            </w:r>
          </w:p>
        </w:tc>
        <w:tc>
          <w:tcPr>
            <w:tcW w:w="4410" w:type="dxa"/>
          </w:tcPr>
          <w:p w14:paraId="40219687" w14:textId="77777777" w:rsidR="00816A25" w:rsidRPr="00DB4735" w:rsidRDefault="00816A25" w:rsidP="003C2DF7">
            <w:pPr>
              <w:spacing w:before="120" w:after="120"/>
              <w:jc w:val="both"/>
              <w:rPr>
                <w:szCs w:val="20"/>
              </w:rPr>
            </w:pPr>
            <w:r w:rsidRPr="00DB4735">
              <w:rPr>
                <w:szCs w:val="20"/>
              </w:rPr>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5"/>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3989BCC" w14:textId="77777777" w:rsidR="00816A25" w:rsidRPr="00E30AB2" w:rsidRDefault="00816A25" w:rsidP="003C2DF7">
            <w:pPr>
              <w:spacing w:before="120" w:after="120"/>
              <w:rPr>
                <w:szCs w:val="20"/>
              </w:rPr>
            </w:pPr>
            <w:r w:rsidRPr="00E30AB2">
              <w:rPr>
                <w:szCs w:val="20"/>
              </w:rPr>
              <w:t>Subcommittees should review the recommendation and consider standard(s) recommending best practices or requiring internal/external scans of nodes and a security assessment/penetration test as recommended</w:t>
            </w:r>
          </w:p>
        </w:tc>
        <w:tc>
          <w:tcPr>
            <w:tcW w:w="2425" w:type="dxa"/>
          </w:tcPr>
          <w:p w14:paraId="709DCA62" w14:textId="77777777" w:rsidR="00816A25" w:rsidRPr="00E30AB2" w:rsidRDefault="00816A25" w:rsidP="003C2DF7">
            <w:pPr>
              <w:spacing w:before="120" w:after="120"/>
              <w:rPr>
                <w:szCs w:val="20"/>
              </w:rPr>
            </w:pPr>
            <w:r w:rsidRPr="00E30AB2">
              <w:rPr>
                <w:szCs w:val="20"/>
              </w:rPr>
              <w:t>Jointly between WEQ Cybersecurity Subcommittee and WEQ OASIS Subcommittee</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BB67" w14:textId="77777777" w:rsidR="00ED3F46" w:rsidRDefault="00ED3F46" w:rsidP="00733F0F">
      <w:r>
        <w:separator/>
      </w:r>
    </w:p>
  </w:endnote>
  <w:endnote w:type="continuationSeparator" w:id="0">
    <w:p w14:paraId="5FF67115" w14:textId="77777777" w:rsidR="00ED3F46" w:rsidRDefault="00ED3F46"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7D4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AED7" w14:textId="77777777" w:rsidR="00ED3F46" w:rsidRDefault="00ED3F46" w:rsidP="00733F0F">
      <w:r>
        <w:separator/>
      </w:r>
    </w:p>
  </w:footnote>
  <w:footnote w:type="continuationSeparator" w:id="0">
    <w:p w14:paraId="395AAFD9" w14:textId="77777777" w:rsidR="00ED3F46" w:rsidRDefault="00ED3F46"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2BA7F225" w14:textId="77777777" w:rsidR="00816A25" w:rsidRDefault="00816A25" w:rsidP="00816A25">
      <w:pPr>
        <w:pStyle w:val="FootnoteText"/>
      </w:pPr>
      <w:r>
        <w:rPr>
          <w:rStyle w:val="FootnoteReference"/>
        </w:rPr>
        <w:footnoteRef/>
      </w:r>
      <w:r>
        <w:t xml:space="preserve"> </w:t>
      </w:r>
      <w:hyperlink r:id="rId5"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1D148308" w14:textId="1F7ABF2D" w:rsidR="00CE058A" w:rsidRPr="00173491" w:rsidRDefault="00CE058A" w:rsidP="00173491">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57E95"/>
    <w:rsid w:val="001728EA"/>
    <w:rsid w:val="00173491"/>
    <w:rsid w:val="001761EC"/>
    <w:rsid w:val="00194675"/>
    <w:rsid w:val="001C479B"/>
    <w:rsid w:val="001D755C"/>
    <w:rsid w:val="001E4642"/>
    <w:rsid w:val="001F3800"/>
    <w:rsid w:val="001F6B6B"/>
    <w:rsid w:val="00211D19"/>
    <w:rsid w:val="002126D1"/>
    <w:rsid w:val="00224521"/>
    <w:rsid w:val="00232FD1"/>
    <w:rsid w:val="00240CF8"/>
    <w:rsid w:val="00253B7B"/>
    <w:rsid w:val="00285478"/>
    <w:rsid w:val="002F5035"/>
    <w:rsid w:val="00310F3B"/>
    <w:rsid w:val="00330BD0"/>
    <w:rsid w:val="0038516D"/>
    <w:rsid w:val="003951C1"/>
    <w:rsid w:val="00395EF8"/>
    <w:rsid w:val="003D3CAD"/>
    <w:rsid w:val="003E0F72"/>
    <w:rsid w:val="00406348"/>
    <w:rsid w:val="004262EC"/>
    <w:rsid w:val="004433FF"/>
    <w:rsid w:val="004B461E"/>
    <w:rsid w:val="004C06EB"/>
    <w:rsid w:val="004C3569"/>
    <w:rsid w:val="004D6888"/>
    <w:rsid w:val="004E6221"/>
    <w:rsid w:val="004F785C"/>
    <w:rsid w:val="00542DC6"/>
    <w:rsid w:val="005B43B4"/>
    <w:rsid w:val="005C609B"/>
    <w:rsid w:val="005D2896"/>
    <w:rsid w:val="0061280D"/>
    <w:rsid w:val="00630A71"/>
    <w:rsid w:val="00642A72"/>
    <w:rsid w:val="006A120B"/>
    <w:rsid w:val="006C6639"/>
    <w:rsid w:val="006E0A3A"/>
    <w:rsid w:val="007003C2"/>
    <w:rsid w:val="00733414"/>
    <w:rsid w:val="00733F0F"/>
    <w:rsid w:val="0074414D"/>
    <w:rsid w:val="00776558"/>
    <w:rsid w:val="00796614"/>
    <w:rsid w:val="007B15B3"/>
    <w:rsid w:val="007B5CA6"/>
    <w:rsid w:val="007B788B"/>
    <w:rsid w:val="007D1DC9"/>
    <w:rsid w:val="007E44A9"/>
    <w:rsid w:val="00816A25"/>
    <w:rsid w:val="00830B96"/>
    <w:rsid w:val="0083319C"/>
    <w:rsid w:val="00833699"/>
    <w:rsid w:val="00873A6C"/>
    <w:rsid w:val="00894E55"/>
    <w:rsid w:val="008B1493"/>
    <w:rsid w:val="008C1D68"/>
    <w:rsid w:val="008F15A2"/>
    <w:rsid w:val="008F2746"/>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D3F46"/>
    <w:rsid w:val="00EE7915"/>
    <w:rsid w:val="00EE7D41"/>
    <w:rsid w:val="00EF4400"/>
    <w:rsid w:val="00F02102"/>
    <w:rsid w:val="00F115E2"/>
    <w:rsid w:val="00F276BB"/>
    <w:rsid w:val="00F60060"/>
    <w:rsid w:val="00F75402"/>
    <w:rsid w:val="00F813A2"/>
    <w:rsid w:val="00F85576"/>
    <w:rsid w:val="00FA1848"/>
    <w:rsid w:val="00FA7359"/>
    <w:rsid w:val="00FC0C7A"/>
    <w:rsid w:val="00FC11D6"/>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 w:type="character" w:styleId="UnresolvedMention">
    <w:name w:val="Unresolved Mention"/>
    <w:basedOn w:val="DefaultParagraphFont"/>
    <w:uiPriority w:val="99"/>
    <w:semiHidden/>
    <w:unhideWhenUsed/>
    <w:rsid w:val="006C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5" Type="http://schemas.openxmlformats.org/officeDocument/2006/relationships/hyperlink" Target="https://www.sans.org/security-resources/policies/application-security/pdf/web-application-security-policy"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28D4-3F90-4B59-967E-4D6E3B71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3</cp:revision>
  <dcterms:created xsi:type="dcterms:W3CDTF">2019-08-21T15:57:00Z</dcterms:created>
  <dcterms:modified xsi:type="dcterms:W3CDTF">2019-08-21T15:57:00Z</dcterms:modified>
</cp:coreProperties>
</file>