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0E" w:rsidRPr="007E1BF3" w:rsidRDefault="00BE1C41" w:rsidP="007E1BF3">
      <w:pPr>
        <w:pStyle w:val="DocumentType"/>
      </w:pPr>
      <w:r>
        <w:t>Report</w:t>
      </w:r>
    </w:p>
    <w:p w:rsidR="005C786E" w:rsidRDefault="005C786E" w:rsidP="007124EB"/>
    <w:p w:rsidR="00812F57" w:rsidRPr="003B2C45" w:rsidRDefault="00A21271" w:rsidP="003B2C45">
      <w:pPr>
        <w:pStyle w:val="Title"/>
      </w:pPr>
      <w:r w:rsidRPr="003B2C45">
        <w:t>Firm</w:t>
      </w:r>
      <w:r w:rsidR="00BE1C41" w:rsidRPr="003B2C45">
        <w:t xml:space="preserve"> Flow</w:t>
      </w:r>
      <w:r w:rsidRPr="003B2C45">
        <w:t xml:space="preserve"> Task Force</w:t>
      </w:r>
    </w:p>
    <w:p w:rsidR="009F0E0E" w:rsidRDefault="009F0E0E" w:rsidP="00933DA2"/>
    <w:p w:rsidR="00A91115" w:rsidRPr="000155B8" w:rsidRDefault="00A91115" w:rsidP="00804183"/>
    <w:p w:rsidR="00E33B57" w:rsidRDefault="00E33B57" w:rsidP="00987281">
      <w:pPr>
        <w:pStyle w:val="TOCTitle"/>
      </w:pPr>
    </w:p>
    <w:p w:rsidR="00E33B57" w:rsidRPr="00E33B57" w:rsidRDefault="00E33B57" w:rsidP="00A67290"/>
    <w:p w:rsidR="00E33B57" w:rsidRPr="007F4BFA" w:rsidRDefault="00E33B57" w:rsidP="00A67290"/>
    <w:p w:rsidR="00E33B57" w:rsidRPr="007F4BFA" w:rsidRDefault="00E33B57" w:rsidP="00A67290"/>
    <w:p w:rsidR="00E33B57" w:rsidRPr="007F4BFA" w:rsidRDefault="00E33B57" w:rsidP="00A67290"/>
    <w:p w:rsidR="00E33B57" w:rsidRPr="00157D6D" w:rsidRDefault="00E33B57" w:rsidP="00A67290"/>
    <w:p w:rsidR="00E33B57" w:rsidRPr="00157D6D" w:rsidRDefault="00E33B57" w:rsidP="00A67290"/>
    <w:p w:rsidR="00E33B57" w:rsidRDefault="00E33B57" w:rsidP="00987281">
      <w:pPr>
        <w:pStyle w:val="TOCTitle"/>
      </w:pPr>
    </w:p>
    <w:p w:rsidR="00E33B57" w:rsidRPr="00E33B57" w:rsidRDefault="00E33B57" w:rsidP="00A67290"/>
    <w:p w:rsidR="00E33B57" w:rsidRPr="007F4BFA" w:rsidRDefault="00E33B57" w:rsidP="00A67290"/>
    <w:p w:rsidR="00E33B57" w:rsidRPr="007F4BFA" w:rsidRDefault="00E33B57" w:rsidP="00A67290"/>
    <w:p w:rsidR="00E33B57" w:rsidRDefault="00E33B57" w:rsidP="00987281">
      <w:pPr>
        <w:pStyle w:val="TOCTitle"/>
      </w:pPr>
    </w:p>
    <w:p w:rsidR="00E33B57" w:rsidRDefault="00E33B57" w:rsidP="00987281">
      <w:pPr>
        <w:pStyle w:val="TOCTitle"/>
      </w:pPr>
    </w:p>
    <w:p w:rsidR="00E33B57" w:rsidRDefault="00E33B57" w:rsidP="00A67290">
      <w:pPr>
        <w:pStyle w:val="TOCTitle"/>
        <w:tabs>
          <w:tab w:val="left" w:pos="3840"/>
        </w:tabs>
        <w:jc w:val="left"/>
      </w:pPr>
      <w:r>
        <w:tab/>
      </w:r>
    </w:p>
    <w:p w:rsidR="004B00DF" w:rsidRPr="00987281" w:rsidRDefault="007E614E" w:rsidP="00987281">
      <w:pPr>
        <w:pStyle w:val="TOCTitle"/>
      </w:pPr>
      <w:r w:rsidRPr="00E33B57">
        <w:br w:type="page"/>
      </w:r>
      <w:r w:rsidR="004B00DF">
        <w:lastRenderedPageBreak/>
        <w:t>TABLE OF CONTENTS</w:t>
      </w:r>
    </w:p>
    <w:p w:rsidR="006F65DF" w:rsidRDefault="002E4579">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493163364" w:history="1">
        <w:r w:rsidR="006F65DF" w:rsidRPr="00537820">
          <w:rPr>
            <w:rStyle w:val="Hyperlink"/>
          </w:rPr>
          <w:t>1.0</w:t>
        </w:r>
        <w:r w:rsidR="006F65DF">
          <w:rPr>
            <w:rFonts w:asciiTheme="minorHAnsi" w:eastAsiaTheme="minorEastAsia" w:hAnsiTheme="minorHAnsi" w:cstheme="minorBidi"/>
            <w:b w:val="0"/>
          </w:rPr>
          <w:tab/>
        </w:r>
        <w:r w:rsidR="006F65DF" w:rsidRPr="00537820">
          <w:rPr>
            <w:rStyle w:val="Hyperlink"/>
          </w:rPr>
          <w:t>Purpose</w:t>
        </w:r>
        <w:r w:rsidR="006F65DF">
          <w:rPr>
            <w:webHidden/>
          </w:rPr>
          <w:tab/>
        </w:r>
        <w:r w:rsidR="006F65DF">
          <w:rPr>
            <w:webHidden/>
          </w:rPr>
          <w:fldChar w:fldCharType="begin"/>
        </w:r>
        <w:r w:rsidR="006F65DF">
          <w:rPr>
            <w:webHidden/>
          </w:rPr>
          <w:instrText xml:space="preserve"> PAGEREF _Toc493163364 \h </w:instrText>
        </w:r>
        <w:r w:rsidR="006F65DF">
          <w:rPr>
            <w:webHidden/>
          </w:rPr>
        </w:r>
        <w:r w:rsidR="006F65DF">
          <w:rPr>
            <w:webHidden/>
          </w:rPr>
          <w:fldChar w:fldCharType="separate"/>
        </w:r>
        <w:r w:rsidR="006F65DF">
          <w:rPr>
            <w:webHidden/>
          </w:rPr>
          <w:t>3</w:t>
        </w:r>
        <w:r w:rsidR="006F65DF">
          <w:rPr>
            <w:webHidden/>
          </w:rPr>
          <w:fldChar w:fldCharType="end"/>
        </w:r>
      </w:hyperlink>
    </w:p>
    <w:p w:rsidR="006F65DF" w:rsidRDefault="0020178C">
      <w:pPr>
        <w:pStyle w:val="TOC2"/>
        <w:tabs>
          <w:tab w:val="left" w:pos="1440"/>
        </w:tabs>
        <w:rPr>
          <w:rFonts w:asciiTheme="minorHAnsi" w:eastAsiaTheme="minorEastAsia" w:hAnsiTheme="minorHAnsi" w:cstheme="minorBidi"/>
          <w:b w:val="0"/>
          <w:szCs w:val="22"/>
        </w:rPr>
      </w:pPr>
      <w:hyperlink w:anchor="_Toc493163365" w:history="1">
        <w:r w:rsidR="006F65DF" w:rsidRPr="00537820">
          <w:rPr>
            <w:rStyle w:val="Hyperlink"/>
          </w:rPr>
          <w:t>1.1</w:t>
        </w:r>
        <w:r w:rsidR="006F65DF">
          <w:rPr>
            <w:rFonts w:asciiTheme="minorHAnsi" w:eastAsiaTheme="minorEastAsia" w:hAnsiTheme="minorHAnsi" w:cstheme="minorBidi"/>
            <w:b w:val="0"/>
            <w:szCs w:val="22"/>
          </w:rPr>
          <w:tab/>
        </w:r>
        <w:r w:rsidR="006F65DF" w:rsidRPr="00537820">
          <w:rPr>
            <w:rStyle w:val="Hyperlink"/>
          </w:rPr>
          <w:t>Business Need</w:t>
        </w:r>
        <w:r w:rsidR="006F65DF">
          <w:rPr>
            <w:webHidden/>
          </w:rPr>
          <w:tab/>
        </w:r>
        <w:r w:rsidR="006F65DF">
          <w:rPr>
            <w:webHidden/>
          </w:rPr>
          <w:fldChar w:fldCharType="begin"/>
        </w:r>
        <w:r w:rsidR="006F65DF">
          <w:rPr>
            <w:webHidden/>
          </w:rPr>
          <w:instrText xml:space="preserve"> PAGEREF _Toc493163365 \h </w:instrText>
        </w:r>
        <w:r w:rsidR="006F65DF">
          <w:rPr>
            <w:webHidden/>
          </w:rPr>
        </w:r>
        <w:r w:rsidR="006F65DF">
          <w:rPr>
            <w:webHidden/>
          </w:rPr>
          <w:fldChar w:fldCharType="separate"/>
        </w:r>
        <w:r w:rsidR="006F65DF">
          <w:rPr>
            <w:webHidden/>
          </w:rPr>
          <w:t>3</w:t>
        </w:r>
        <w:r w:rsidR="006F65DF">
          <w:rPr>
            <w:webHidden/>
          </w:rPr>
          <w:fldChar w:fldCharType="end"/>
        </w:r>
      </w:hyperlink>
    </w:p>
    <w:p w:rsidR="006F65DF" w:rsidRDefault="0020178C">
      <w:pPr>
        <w:pStyle w:val="TOC1"/>
        <w:rPr>
          <w:rFonts w:asciiTheme="minorHAnsi" w:eastAsiaTheme="minorEastAsia" w:hAnsiTheme="minorHAnsi" w:cstheme="minorBidi"/>
          <w:b w:val="0"/>
        </w:rPr>
      </w:pPr>
      <w:hyperlink w:anchor="_Toc493163367" w:history="1">
        <w:r w:rsidR="006F65DF" w:rsidRPr="00537820">
          <w:rPr>
            <w:rStyle w:val="Hyperlink"/>
          </w:rPr>
          <w:t>2.0</w:t>
        </w:r>
        <w:r w:rsidR="006F65DF">
          <w:rPr>
            <w:rFonts w:asciiTheme="minorHAnsi" w:eastAsiaTheme="minorEastAsia" w:hAnsiTheme="minorHAnsi" w:cstheme="minorBidi"/>
            <w:b w:val="0"/>
          </w:rPr>
          <w:tab/>
        </w:r>
        <w:r w:rsidR="006F65DF" w:rsidRPr="00537820">
          <w:rPr>
            <w:rStyle w:val="Hyperlink"/>
          </w:rPr>
          <w:t>Responsible SERC Group(s)</w:t>
        </w:r>
        <w:r w:rsidR="006F65DF">
          <w:rPr>
            <w:webHidden/>
          </w:rPr>
          <w:tab/>
        </w:r>
        <w:r w:rsidR="006F65DF">
          <w:rPr>
            <w:webHidden/>
          </w:rPr>
          <w:fldChar w:fldCharType="begin"/>
        </w:r>
        <w:r w:rsidR="006F65DF">
          <w:rPr>
            <w:webHidden/>
          </w:rPr>
          <w:instrText xml:space="preserve"> PAGEREF _Toc493163367 \h </w:instrText>
        </w:r>
        <w:r w:rsidR="006F65DF">
          <w:rPr>
            <w:webHidden/>
          </w:rPr>
        </w:r>
        <w:r w:rsidR="006F65DF">
          <w:rPr>
            <w:webHidden/>
          </w:rPr>
          <w:fldChar w:fldCharType="separate"/>
        </w:r>
        <w:r w:rsidR="006F65DF">
          <w:rPr>
            <w:webHidden/>
          </w:rPr>
          <w:t>3</w:t>
        </w:r>
        <w:r w:rsidR="006F65DF">
          <w:rPr>
            <w:webHidden/>
          </w:rPr>
          <w:fldChar w:fldCharType="end"/>
        </w:r>
      </w:hyperlink>
    </w:p>
    <w:p w:rsidR="006F65DF" w:rsidRDefault="0020178C">
      <w:pPr>
        <w:pStyle w:val="TOC2"/>
        <w:tabs>
          <w:tab w:val="left" w:pos="1440"/>
        </w:tabs>
        <w:rPr>
          <w:rFonts w:asciiTheme="minorHAnsi" w:eastAsiaTheme="minorEastAsia" w:hAnsiTheme="minorHAnsi" w:cstheme="minorBidi"/>
          <w:b w:val="0"/>
          <w:szCs w:val="22"/>
        </w:rPr>
      </w:pPr>
      <w:hyperlink w:anchor="_Toc493163368" w:history="1">
        <w:r w:rsidR="006F65DF" w:rsidRPr="00537820">
          <w:rPr>
            <w:rStyle w:val="Hyperlink"/>
          </w:rPr>
          <w:t>2.1</w:t>
        </w:r>
        <w:r w:rsidR="006F65DF">
          <w:rPr>
            <w:rFonts w:asciiTheme="minorHAnsi" w:eastAsiaTheme="minorEastAsia" w:hAnsiTheme="minorHAnsi" w:cstheme="minorBidi"/>
            <w:b w:val="0"/>
            <w:szCs w:val="22"/>
          </w:rPr>
          <w:tab/>
        </w:r>
        <w:r w:rsidR="006F65DF" w:rsidRPr="00537820">
          <w:rPr>
            <w:rStyle w:val="Hyperlink"/>
          </w:rPr>
          <w:t>Study Contributors</w:t>
        </w:r>
        <w:r w:rsidR="006F65DF">
          <w:rPr>
            <w:webHidden/>
          </w:rPr>
          <w:tab/>
        </w:r>
        <w:r w:rsidR="006F65DF">
          <w:rPr>
            <w:webHidden/>
          </w:rPr>
          <w:fldChar w:fldCharType="begin"/>
        </w:r>
        <w:r w:rsidR="006F65DF">
          <w:rPr>
            <w:webHidden/>
          </w:rPr>
          <w:instrText xml:space="preserve"> PAGEREF _Toc493163368 \h </w:instrText>
        </w:r>
        <w:r w:rsidR="006F65DF">
          <w:rPr>
            <w:webHidden/>
          </w:rPr>
        </w:r>
        <w:r w:rsidR="006F65DF">
          <w:rPr>
            <w:webHidden/>
          </w:rPr>
          <w:fldChar w:fldCharType="separate"/>
        </w:r>
        <w:r w:rsidR="006F65DF">
          <w:rPr>
            <w:webHidden/>
          </w:rPr>
          <w:t>3</w:t>
        </w:r>
        <w:r w:rsidR="006F65DF">
          <w:rPr>
            <w:webHidden/>
          </w:rPr>
          <w:fldChar w:fldCharType="end"/>
        </w:r>
      </w:hyperlink>
    </w:p>
    <w:p w:rsidR="006F65DF" w:rsidRDefault="0020178C">
      <w:pPr>
        <w:pStyle w:val="TOC2"/>
        <w:tabs>
          <w:tab w:val="left" w:pos="1440"/>
        </w:tabs>
        <w:rPr>
          <w:rFonts w:asciiTheme="minorHAnsi" w:eastAsiaTheme="minorEastAsia" w:hAnsiTheme="minorHAnsi" w:cstheme="minorBidi"/>
          <w:b w:val="0"/>
          <w:szCs w:val="22"/>
        </w:rPr>
      </w:pPr>
      <w:hyperlink w:anchor="_Toc493163369" w:history="1">
        <w:r w:rsidR="006F65DF" w:rsidRPr="00537820">
          <w:rPr>
            <w:rStyle w:val="Hyperlink"/>
          </w:rPr>
          <w:t>2.2</w:t>
        </w:r>
        <w:r w:rsidR="006F65DF">
          <w:rPr>
            <w:rFonts w:asciiTheme="minorHAnsi" w:eastAsiaTheme="minorEastAsia" w:hAnsiTheme="minorHAnsi" w:cstheme="minorBidi"/>
            <w:b w:val="0"/>
            <w:szCs w:val="22"/>
          </w:rPr>
          <w:tab/>
        </w:r>
        <w:r w:rsidR="006F65DF" w:rsidRPr="00537820">
          <w:rPr>
            <w:rStyle w:val="Hyperlink"/>
          </w:rPr>
          <w:t>Meeting Summaries</w:t>
        </w:r>
        <w:r w:rsidR="006F65DF">
          <w:rPr>
            <w:webHidden/>
          </w:rPr>
          <w:tab/>
        </w:r>
        <w:r w:rsidR="006F65DF">
          <w:rPr>
            <w:webHidden/>
          </w:rPr>
          <w:fldChar w:fldCharType="begin"/>
        </w:r>
        <w:r w:rsidR="006F65DF">
          <w:rPr>
            <w:webHidden/>
          </w:rPr>
          <w:instrText xml:space="preserve"> PAGEREF _Toc493163369 \h </w:instrText>
        </w:r>
        <w:r w:rsidR="006F65DF">
          <w:rPr>
            <w:webHidden/>
          </w:rPr>
        </w:r>
        <w:r w:rsidR="006F65DF">
          <w:rPr>
            <w:webHidden/>
          </w:rPr>
          <w:fldChar w:fldCharType="separate"/>
        </w:r>
        <w:r w:rsidR="006F65DF">
          <w:rPr>
            <w:webHidden/>
          </w:rPr>
          <w:t>4</w:t>
        </w:r>
        <w:r w:rsidR="006F65DF">
          <w:rPr>
            <w:webHidden/>
          </w:rPr>
          <w:fldChar w:fldCharType="end"/>
        </w:r>
      </w:hyperlink>
    </w:p>
    <w:p w:rsidR="006F65DF" w:rsidRDefault="0020178C">
      <w:pPr>
        <w:pStyle w:val="TOC1"/>
        <w:rPr>
          <w:rFonts w:asciiTheme="minorHAnsi" w:eastAsiaTheme="minorEastAsia" w:hAnsiTheme="minorHAnsi" w:cstheme="minorBidi"/>
          <w:b w:val="0"/>
        </w:rPr>
      </w:pPr>
      <w:hyperlink w:anchor="_Toc493163370" w:history="1">
        <w:r w:rsidR="006F65DF" w:rsidRPr="00537820">
          <w:rPr>
            <w:rStyle w:val="Hyperlink"/>
          </w:rPr>
          <w:t>3.0</w:t>
        </w:r>
        <w:r w:rsidR="006F65DF">
          <w:rPr>
            <w:rFonts w:asciiTheme="minorHAnsi" w:eastAsiaTheme="minorEastAsia" w:hAnsiTheme="minorHAnsi" w:cstheme="minorBidi"/>
            <w:b w:val="0"/>
          </w:rPr>
          <w:tab/>
        </w:r>
        <w:r w:rsidR="006F65DF" w:rsidRPr="00537820">
          <w:rPr>
            <w:rStyle w:val="Hyperlink"/>
          </w:rPr>
          <w:t>Firm Flow Task Force Status Report</w:t>
        </w:r>
        <w:r w:rsidR="006F65DF">
          <w:rPr>
            <w:webHidden/>
          </w:rPr>
          <w:tab/>
        </w:r>
        <w:r w:rsidR="006F65DF">
          <w:rPr>
            <w:webHidden/>
          </w:rPr>
          <w:fldChar w:fldCharType="begin"/>
        </w:r>
        <w:r w:rsidR="006F65DF">
          <w:rPr>
            <w:webHidden/>
          </w:rPr>
          <w:instrText xml:space="preserve"> PAGEREF _Toc493163370 \h </w:instrText>
        </w:r>
        <w:r w:rsidR="006F65DF">
          <w:rPr>
            <w:webHidden/>
          </w:rPr>
        </w:r>
        <w:r w:rsidR="006F65DF">
          <w:rPr>
            <w:webHidden/>
          </w:rPr>
          <w:fldChar w:fldCharType="separate"/>
        </w:r>
        <w:r w:rsidR="006F65DF">
          <w:rPr>
            <w:webHidden/>
          </w:rPr>
          <w:t>5</w:t>
        </w:r>
        <w:r w:rsidR="006F65DF">
          <w:rPr>
            <w:webHidden/>
          </w:rPr>
          <w:fldChar w:fldCharType="end"/>
        </w:r>
      </w:hyperlink>
    </w:p>
    <w:p w:rsidR="006F65DF" w:rsidRDefault="0020178C">
      <w:pPr>
        <w:pStyle w:val="TOC2"/>
        <w:tabs>
          <w:tab w:val="left" w:pos="1440"/>
        </w:tabs>
        <w:rPr>
          <w:rFonts w:asciiTheme="minorHAnsi" w:eastAsiaTheme="minorEastAsia" w:hAnsiTheme="minorHAnsi" w:cstheme="minorBidi"/>
          <w:b w:val="0"/>
          <w:szCs w:val="22"/>
        </w:rPr>
      </w:pPr>
      <w:hyperlink w:anchor="_Toc493163372" w:history="1">
        <w:r w:rsidR="006F65DF" w:rsidRPr="00537820">
          <w:rPr>
            <w:rStyle w:val="Hyperlink"/>
          </w:rPr>
          <w:t>3.1</w:t>
        </w:r>
        <w:r w:rsidR="006F65DF">
          <w:rPr>
            <w:rFonts w:asciiTheme="minorHAnsi" w:eastAsiaTheme="minorEastAsia" w:hAnsiTheme="minorHAnsi" w:cstheme="minorBidi"/>
            <w:b w:val="0"/>
            <w:szCs w:val="22"/>
          </w:rPr>
          <w:tab/>
        </w:r>
        <w:r w:rsidR="006F65DF" w:rsidRPr="00537820">
          <w:rPr>
            <w:rStyle w:val="Hyperlink"/>
          </w:rPr>
          <w:t>Background</w:t>
        </w:r>
        <w:r w:rsidR="006F65DF">
          <w:rPr>
            <w:webHidden/>
          </w:rPr>
          <w:tab/>
        </w:r>
        <w:r w:rsidR="006F65DF">
          <w:rPr>
            <w:webHidden/>
          </w:rPr>
          <w:fldChar w:fldCharType="begin"/>
        </w:r>
        <w:r w:rsidR="006F65DF">
          <w:rPr>
            <w:webHidden/>
          </w:rPr>
          <w:instrText xml:space="preserve"> PAGEREF _Toc493163372 \h </w:instrText>
        </w:r>
        <w:r w:rsidR="006F65DF">
          <w:rPr>
            <w:webHidden/>
          </w:rPr>
        </w:r>
        <w:r w:rsidR="006F65DF">
          <w:rPr>
            <w:webHidden/>
          </w:rPr>
          <w:fldChar w:fldCharType="separate"/>
        </w:r>
        <w:r w:rsidR="006F65DF">
          <w:rPr>
            <w:webHidden/>
          </w:rPr>
          <w:t>5</w:t>
        </w:r>
        <w:r w:rsidR="006F65DF">
          <w:rPr>
            <w:webHidden/>
          </w:rPr>
          <w:fldChar w:fldCharType="end"/>
        </w:r>
      </w:hyperlink>
    </w:p>
    <w:p w:rsidR="006F65DF" w:rsidRDefault="0020178C">
      <w:pPr>
        <w:pStyle w:val="TOC2"/>
        <w:tabs>
          <w:tab w:val="left" w:pos="1440"/>
        </w:tabs>
        <w:rPr>
          <w:rFonts w:asciiTheme="minorHAnsi" w:eastAsiaTheme="minorEastAsia" w:hAnsiTheme="minorHAnsi" w:cstheme="minorBidi"/>
          <w:b w:val="0"/>
          <w:szCs w:val="22"/>
        </w:rPr>
      </w:pPr>
      <w:hyperlink w:anchor="_Toc493163373" w:history="1">
        <w:r w:rsidR="006F65DF" w:rsidRPr="00537820">
          <w:rPr>
            <w:rStyle w:val="Hyperlink"/>
          </w:rPr>
          <w:t>3.2</w:t>
        </w:r>
        <w:r w:rsidR="006F65DF">
          <w:rPr>
            <w:rFonts w:asciiTheme="minorHAnsi" w:eastAsiaTheme="minorEastAsia" w:hAnsiTheme="minorHAnsi" w:cstheme="minorBidi"/>
            <w:b w:val="0"/>
            <w:szCs w:val="22"/>
          </w:rPr>
          <w:tab/>
        </w:r>
        <w:r w:rsidR="006F65DF" w:rsidRPr="00537820">
          <w:rPr>
            <w:rStyle w:val="Hyperlink"/>
          </w:rPr>
          <w:t>PC Assessment of the Firm Flow Issues</w:t>
        </w:r>
        <w:r w:rsidR="006F65DF">
          <w:rPr>
            <w:webHidden/>
          </w:rPr>
          <w:tab/>
        </w:r>
        <w:r w:rsidR="006F65DF">
          <w:rPr>
            <w:webHidden/>
          </w:rPr>
          <w:fldChar w:fldCharType="begin"/>
        </w:r>
        <w:r w:rsidR="006F65DF">
          <w:rPr>
            <w:webHidden/>
          </w:rPr>
          <w:instrText xml:space="preserve"> PAGEREF _Toc493163373 \h </w:instrText>
        </w:r>
        <w:r w:rsidR="006F65DF">
          <w:rPr>
            <w:webHidden/>
          </w:rPr>
        </w:r>
        <w:r w:rsidR="006F65DF">
          <w:rPr>
            <w:webHidden/>
          </w:rPr>
          <w:fldChar w:fldCharType="separate"/>
        </w:r>
        <w:r w:rsidR="006F65DF">
          <w:rPr>
            <w:webHidden/>
          </w:rPr>
          <w:t>6</w:t>
        </w:r>
        <w:r w:rsidR="006F65DF">
          <w:rPr>
            <w:webHidden/>
          </w:rPr>
          <w:fldChar w:fldCharType="end"/>
        </w:r>
      </w:hyperlink>
    </w:p>
    <w:p w:rsidR="006F65DF" w:rsidRDefault="0020178C">
      <w:pPr>
        <w:pStyle w:val="TOC2"/>
        <w:tabs>
          <w:tab w:val="left" w:pos="1440"/>
        </w:tabs>
        <w:rPr>
          <w:rFonts w:asciiTheme="minorHAnsi" w:eastAsiaTheme="minorEastAsia" w:hAnsiTheme="minorHAnsi" w:cstheme="minorBidi"/>
          <w:b w:val="0"/>
          <w:szCs w:val="22"/>
        </w:rPr>
      </w:pPr>
      <w:hyperlink w:anchor="_Toc493163374" w:history="1">
        <w:r w:rsidR="006F65DF" w:rsidRPr="00537820">
          <w:rPr>
            <w:rStyle w:val="Hyperlink"/>
          </w:rPr>
          <w:t>3.3</w:t>
        </w:r>
        <w:r w:rsidR="006F65DF">
          <w:rPr>
            <w:rFonts w:asciiTheme="minorHAnsi" w:eastAsiaTheme="minorEastAsia" w:hAnsiTheme="minorHAnsi" w:cstheme="minorBidi"/>
            <w:b w:val="0"/>
            <w:szCs w:val="22"/>
          </w:rPr>
          <w:tab/>
        </w:r>
        <w:r w:rsidR="006F65DF" w:rsidRPr="00537820">
          <w:rPr>
            <w:rStyle w:val="Hyperlink"/>
          </w:rPr>
          <w:t>Accounting for Transactions by SERC PCs</w:t>
        </w:r>
        <w:r w:rsidR="006F65DF">
          <w:rPr>
            <w:webHidden/>
          </w:rPr>
          <w:tab/>
        </w:r>
        <w:r w:rsidR="006F65DF">
          <w:rPr>
            <w:webHidden/>
          </w:rPr>
          <w:fldChar w:fldCharType="begin"/>
        </w:r>
        <w:r w:rsidR="006F65DF">
          <w:rPr>
            <w:webHidden/>
          </w:rPr>
          <w:instrText xml:space="preserve"> PAGEREF _Toc493163374 \h </w:instrText>
        </w:r>
        <w:r w:rsidR="006F65DF">
          <w:rPr>
            <w:webHidden/>
          </w:rPr>
        </w:r>
        <w:r w:rsidR="006F65DF">
          <w:rPr>
            <w:webHidden/>
          </w:rPr>
          <w:fldChar w:fldCharType="separate"/>
        </w:r>
        <w:r w:rsidR="006F65DF">
          <w:rPr>
            <w:webHidden/>
          </w:rPr>
          <w:t>8</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75" w:history="1">
        <w:r w:rsidR="006F65DF" w:rsidRPr="00537820">
          <w:rPr>
            <w:rStyle w:val="Hyperlink"/>
          </w:rPr>
          <w:t>3.3.1</w:t>
        </w:r>
        <w:r w:rsidR="006F65DF">
          <w:rPr>
            <w:rFonts w:asciiTheme="minorHAnsi" w:eastAsiaTheme="minorEastAsia" w:hAnsiTheme="minorHAnsi" w:cstheme="minorBidi"/>
            <w:b w:val="0"/>
          </w:rPr>
          <w:tab/>
        </w:r>
        <w:r w:rsidR="006F65DF" w:rsidRPr="00537820">
          <w:rPr>
            <w:rStyle w:val="Hyperlink"/>
          </w:rPr>
          <w:t>Alcoa Power Generating, Inc. – Tapoco Division</w:t>
        </w:r>
        <w:r w:rsidR="006F65DF">
          <w:rPr>
            <w:webHidden/>
          </w:rPr>
          <w:tab/>
        </w:r>
        <w:r w:rsidR="006F65DF">
          <w:rPr>
            <w:webHidden/>
          </w:rPr>
          <w:fldChar w:fldCharType="begin"/>
        </w:r>
        <w:r w:rsidR="006F65DF">
          <w:rPr>
            <w:webHidden/>
          </w:rPr>
          <w:instrText xml:space="preserve"> PAGEREF _Toc493163375 \h </w:instrText>
        </w:r>
        <w:r w:rsidR="006F65DF">
          <w:rPr>
            <w:webHidden/>
          </w:rPr>
        </w:r>
        <w:r w:rsidR="006F65DF">
          <w:rPr>
            <w:webHidden/>
          </w:rPr>
          <w:fldChar w:fldCharType="separate"/>
        </w:r>
        <w:r w:rsidR="006F65DF">
          <w:rPr>
            <w:webHidden/>
          </w:rPr>
          <w:t>8</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76" w:history="1">
        <w:r w:rsidR="006F65DF" w:rsidRPr="00537820">
          <w:rPr>
            <w:rStyle w:val="Hyperlink"/>
          </w:rPr>
          <w:t>3.3.2</w:t>
        </w:r>
        <w:r w:rsidR="006F65DF">
          <w:rPr>
            <w:rFonts w:asciiTheme="minorHAnsi" w:eastAsiaTheme="minorEastAsia" w:hAnsiTheme="minorHAnsi" w:cstheme="minorBidi"/>
            <w:b w:val="0"/>
          </w:rPr>
          <w:tab/>
        </w:r>
        <w:r w:rsidR="006F65DF" w:rsidRPr="00537820">
          <w:rPr>
            <w:rStyle w:val="Hyperlink"/>
          </w:rPr>
          <w:t>Associated Electric Cooperative Inc.</w:t>
        </w:r>
        <w:r w:rsidR="006F65DF">
          <w:rPr>
            <w:webHidden/>
          </w:rPr>
          <w:tab/>
        </w:r>
        <w:r w:rsidR="006F65DF">
          <w:rPr>
            <w:webHidden/>
          </w:rPr>
          <w:fldChar w:fldCharType="begin"/>
        </w:r>
        <w:r w:rsidR="006F65DF">
          <w:rPr>
            <w:webHidden/>
          </w:rPr>
          <w:instrText xml:space="preserve"> PAGEREF _Toc493163376 \h </w:instrText>
        </w:r>
        <w:r w:rsidR="006F65DF">
          <w:rPr>
            <w:webHidden/>
          </w:rPr>
        </w:r>
        <w:r w:rsidR="006F65DF">
          <w:rPr>
            <w:webHidden/>
          </w:rPr>
          <w:fldChar w:fldCharType="separate"/>
        </w:r>
        <w:r w:rsidR="006F65DF">
          <w:rPr>
            <w:webHidden/>
          </w:rPr>
          <w:t>8</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77" w:history="1">
        <w:r w:rsidR="006F65DF" w:rsidRPr="00537820">
          <w:rPr>
            <w:rStyle w:val="Hyperlink"/>
          </w:rPr>
          <w:t>3.3.3</w:t>
        </w:r>
        <w:r w:rsidR="006F65DF">
          <w:rPr>
            <w:rFonts w:asciiTheme="minorHAnsi" w:eastAsiaTheme="minorEastAsia" w:hAnsiTheme="minorHAnsi" w:cstheme="minorBidi"/>
            <w:b w:val="0"/>
          </w:rPr>
          <w:tab/>
        </w:r>
        <w:r w:rsidR="006F65DF" w:rsidRPr="00537820">
          <w:rPr>
            <w:rStyle w:val="Hyperlink"/>
          </w:rPr>
          <w:t>Cube Hydro Carolinas LLC – Yadkin Division</w:t>
        </w:r>
        <w:r w:rsidR="006F65DF">
          <w:rPr>
            <w:webHidden/>
          </w:rPr>
          <w:tab/>
        </w:r>
        <w:r w:rsidR="006F65DF">
          <w:rPr>
            <w:webHidden/>
          </w:rPr>
          <w:fldChar w:fldCharType="begin"/>
        </w:r>
        <w:r w:rsidR="006F65DF">
          <w:rPr>
            <w:webHidden/>
          </w:rPr>
          <w:instrText xml:space="preserve"> PAGEREF _Toc493163377 \h </w:instrText>
        </w:r>
        <w:r w:rsidR="006F65DF">
          <w:rPr>
            <w:webHidden/>
          </w:rPr>
        </w:r>
        <w:r w:rsidR="006F65DF">
          <w:rPr>
            <w:webHidden/>
          </w:rPr>
          <w:fldChar w:fldCharType="separate"/>
        </w:r>
        <w:r w:rsidR="006F65DF">
          <w:rPr>
            <w:webHidden/>
          </w:rPr>
          <w:t>8</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78" w:history="1">
        <w:r w:rsidR="006F65DF" w:rsidRPr="00537820">
          <w:rPr>
            <w:rStyle w:val="Hyperlink"/>
          </w:rPr>
          <w:t>3.3.4</w:t>
        </w:r>
        <w:r w:rsidR="006F65DF">
          <w:rPr>
            <w:rFonts w:asciiTheme="minorHAnsi" w:eastAsiaTheme="minorEastAsia" w:hAnsiTheme="minorHAnsi" w:cstheme="minorBidi"/>
            <w:b w:val="0"/>
          </w:rPr>
          <w:tab/>
        </w:r>
        <w:r w:rsidR="006F65DF" w:rsidRPr="00537820">
          <w:rPr>
            <w:rStyle w:val="Hyperlink"/>
          </w:rPr>
          <w:t>Duke Energy Carolinas</w:t>
        </w:r>
        <w:r w:rsidR="006F65DF">
          <w:rPr>
            <w:webHidden/>
          </w:rPr>
          <w:tab/>
        </w:r>
        <w:r w:rsidR="006F65DF">
          <w:rPr>
            <w:webHidden/>
          </w:rPr>
          <w:fldChar w:fldCharType="begin"/>
        </w:r>
        <w:r w:rsidR="006F65DF">
          <w:rPr>
            <w:webHidden/>
          </w:rPr>
          <w:instrText xml:space="preserve"> PAGEREF _Toc493163378 \h </w:instrText>
        </w:r>
        <w:r w:rsidR="006F65DF">
          <w:rPr>
            <w:webHidden/>
          </w:rPr>
        </w:r>
        <w:r w:rsidR="006F65DF">
          <w:rPr>
            <w:webHidden/>
          </w:rPr>
          <w:fldChar w:fldCharType="separate"/>
        </w:r>
        <w:r w:rsidR="006F65DF">
          <w:rPr>
            <w:webHidden/>
          </w:rPr>
          <w:t>8</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79" w:history="1">
        <w:r w:rsidR="006F65DF" w:rsidRPr="00537820">
          <w:rPr>
            <w:rStyle w:val="Hyperlink"/>
          </w:rPr>
          <w:t>3.3.5</w:t>
        </w:r>
        <w:r w:rsidR="006F65DF">
          <w:rPr>
            <w:rFonts w:asciiTheme="minorHAnsi" w:eastAsiaTheme="minorEastAsia" w:hAnsiTheme="minorHAnsi" w:cstheme="minorBidi"/>
            <w:b w:val="0"/>
          </w:rPr>
          <w:tab/>
        </w:r>
        <w:r w:rsidR="006F65DF" w:rsidRPr="00537820">
          <w:rPr>
            <w:rStyle w:val="Hyperlink"/>
          </w:rPr>
          <w:t>Duke Energy Progress</w:t>
        </w:r>
        <w:r w:rsidR="006F65DF">
          <w:rPr>
            <w:webHidden/>
          </w:rPr>
          <w:tab/>
        </w:r>
        <w:r w:rsidR="006F65DF">
          <w:rPr>
            <w:webHidden/>
          </w:rPr>
          <w:fldChar w:fldCharType="begin"/>
        </w:r>
        <w:r w:rsidR="006F65DF">
          <w:rPr>
            <w:webHidden/>
          </w:rPr>
          <w:instrText xml:space="preserve"> PAGEREF _Toc493163379 \h </w:instrText>
        </w:r>
        <w:r w:rsidR="006F65DF">
          <w:rPr>
            <w:webHidden/>
          </w:rPr>
        </w:r>
        <w:r w:rsidR="006F65DF">
          <w:rPr>
            <w:webHidden/>
          </w:rPr>
          <w:fldChar w:fldCharType="separate"/>
        </w:r>
        <w:r w:rsidR="006F65DF">
          <w:rPr>
            <w:webHidden/>
          </w:rPr>
          <w:t>9</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80" w:history="1">
        <w:r w:rsidR="006F65DF" w:rsidRPr="00537820">
          <w:rPr>
            <w:rStyle w:val="Hyperlink"/>
          </w:rPr>
          <w:t>3.3.6</w:t>
        </w:r>
        <w:r w:rsidR="006F65DF">
          <w:rPr>
            <w:rFonts w:asciiTheme="minorHAnsi" w:eastAsiaTheme="minorEastAsia" w:hAnsiTheme="minorHAnsi" w:cstheme="minorBidi"/>
            <w:b w:val="0"/>
          </w:rPr>
          <w:tab/>
        </w:r>
        <w:r w:rsidR="006F65DF" w:rsidRPr="00537820">
          <w:rPr>
            <w:rStyle w:val="Hyperlink"/>
          </w:rPr>
          <w:t>Louisville Gas &amp; Electric</w:t>
        </w:r>
        <w:r w:rsidR="006F65DF">
          <w:rPr>
            <w:webHidden/>
          </w:rPr>
          <w:tab/>
        </w:r>
        <w:r w:rsidR="006F65DF">
          <w:rPr>
            <w:webHidden/>
          </w:rPr>
          <w:fldChar w:fldCharType="begin"/>
        </w:r>
        <w:r w:rsidR="006F65DF">
          <w:rPr>
            <w:webHidden/>
          </w:rPr>
          <w:instrText xml:space="preserve"> PAGEREF _Toc493163380 \h </w:instrText>
        </w:r>
        <w:r w:rsidR="006F65DF">
          <w:rPr>
            <w:webHidden/>
          </w:rPr>
        </w:r>
        <w:r w:rsidR="006F65DF">
          <w:rPr>
            <w:webHidden/>
          </w:rPr>
          <w:fldChar w:fldCharType="separate"/>
        </w:r>
        <w:r w:rsidR="006F65DF">
          <w:rPr>
            <w:webHidden/>
          </w:rPr>
          <w:t>10</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81" w:history="1">
        <w:r w:rsidR="006F65DF" w:rsidRPr="00537820">
          <w:rPr>
            <w:rStyle w:val="Hyperlink"/>
          </w:rPr>
          <w:t>3.3.7</w:t>
        </w:r>
        <w:r w:rsidR="006F65DF">
          <w:rPr>
            <w:rFonts w:asciiTheme="minorHAnsi" w:eastAsiaTheme="minorEastAsia" w:hAnsiTheme="minorHAnsi" w:cstheme="minorBidi"/>
            <w:b w:val="0"/>
          </w:rPr>
          <w:tab/>
        </w:r>
        <w:r w:rsidR="006F65DF" w:rsidRPr="00537820">
          <w:rPr>
            <w:rStyle w:val="Hyperlink"/>
          </w:rPr>
          <w:t>Midcontinent Independent System Operator</w:t>
        </w:r>
        <w:r w:rsidR="006F65DF">
          <w:rPr>
            <w:webHidden/>
          </w:rPr>
          <w:tab/>
        </w:r>
        <w:r w:rsidR="006F65DF">
          <w:rPr>
            <w:webHidden/>
          </w:rPr>
          <w:fldChar w:fldCharType="begin"/>
        </w:r>
        <w:r w:rsidR="006F65DF">
          <w:rPr>
            <w:webHidden/>
          </w:rPr>
          <w:instrText xml:space="preserve"> PAGEREF _Toc493163381 \h </w:instrText>
        </w:r>
        <w:r w:rsidR="006F65DF">
          <w:rPr>
            <w:webHidden/>
          </w:rPr>
        </w:r>
        <w:r w:rsidR="006F65DF">
          <w:rPr>
            <w:webHidden/>
          </w:rPr>
          <w:fldChar w:fldCharType="separate"/>
        </w:r>
        <w:r w:rsidR="006F65DF">
          <w:rPr>
            <w:webHidden/>
          </w:rPr>
          <w:t>10</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82" w:history="1">
        <w:r w:rsidR="006F65DF" w:rsidRPr="00537820">
          <w:rPr>
            <w:rStyle w:val="Hyperlink"/>
          </w:rPr>
          <w:t>3.3.8</w:t>
        </w:r>
        <w:r w:rsidR="006F65DF">
          <w:rPr>
            <w:rFonts w:asciiTheme="minorHAnsi" w:eastAsiaTheme="minorEastAsia" w:hAnsiTheme="minorHAnsi" w:cstheme="minorBidi"/>
            <w:b w:val="0"/>
          </w:rPr>
          <w:tab/>
        </w:r>
        <w:r w:rsidR="006F65DF" w:rsidRPr="00537820">
          <w:rPr>
            <w:rStyle w:val="Hyperlink"/>
          </w:rPr>
          <w:t>PowerSouth</w:t>
        </w:r>
        <w:r w:rsidR="006F65DF">
          <w:rPr>
            <w:webHidden/>
          </w:rPr>
          <w:tab/>
        </w:r>
        <w:r w:rsidR="006F65DF">
          <w:rPr>
            <w:webHidden/>
          </w:rPr>
          <w:fldChar w:fldCharType="begin"/>
        </w:r>
        <w:r w:rsidR="006F65DF">
          <w:rPr>
            <w:webHidden/>
          </w:rPr>
          <w:instrText xml:space="preserve"> PAGEREF _Toc493163382 \h </w:instrText>
        </w:r>
        <w:r w:rsidR="006F65DF">
          <w:rPr>
            <w:webHidden/>
          </w:rPr>
        </w:r>
        <w:r w:rsidR="006F65DF">
          <w:rPr>
            <w:webHidden/>
          </w:rPr>
          <w:fldChar w:fldCharType="separate"/>
        </w:r>
        <w:r w:rsidR="006F65DF">
          <w:rPr>
            <w:webHidden/>
          </w:rPr>
          <w:t>11</w:t>
        </w:r>
        <w:r w:rsidR="006F65DF">
          <w:rPr>
            <w:webHidden/>
          </w:rPr>
          <w:fldChar w:fldCharType="end"/>
        </w:r>
      </w:hyperlink>
    </w:p>
    <w:p w:rsidR="006F65DF" w:rsidRDefault="0020178C">
      <w:pPr>
        <w:pStyle w:val="TOC3"/>
        <w:tabs>
          <w:tab w:val="left" w:pos="1440"/>
        </w:tabs>
        <w:rPr>
          <w:rFonts w:asciiTheme="minorHAnsi" w:eastAsiaTheme="minorEastAsia" w:hAnsiTheme="minorHAnsi" w:cstheme="minorBidi"/>
          <w:b w:val="0"/>
        </w:rPr>
      </w:pPr>
      <w:hyperlink w:anchor="_Toc493163383" w:history="1">
        <w:r w:rsidR="006F65DF" w:rsidRPr="00537820">
          <w:rPr>
            <w:rStyle w:val="Hyperlink"/>
          </w:rPr>
          <w:t>3.3.9</w:t>
        </w:r>
        <w:r w:rsidR="006F65DF">
          <w:rPr>
            <w:rFonts w:asciiTheme="minorHAnsi" w:eastAsiaTheme="minorEastAsia" w:hAnsiTheme="minorHAnsi" w:cstheme="minorBidi"/>
            <w:b w:val="0"/>
          </w:rPr>
          <w:tab/>
        </w:r>
        <w:r w:rsidR="006F65DF" w:rsidRPr="00537820">
          <w:rPr>
            <w:rStyle w:val="Hyperlink"/>
          </w:rPr>
          <w:t>PJM</w:t>
        </w:r>
        <w:r w:rsidR="006F65DF">
          <w:rPr>
            <w:webHidden/>
          </w:rPr>
          <w:tab/>
        </w:r>
        <w:r w:rsidR="006F65DF">
          <w:rPr>
            <w:webHidden/>
          </w:rPr>
          <w:fldChar w:fldCharType="begin"/>
        </w:r>
        <w:r w:rsidR="006F65DF">
          <w:rPr>
            <w:webHidden/>
          </w:rPr>
          <w:instrText xml:space="preserve"> PAGEREF _Toc493163383 \h </w:instrText>
        </w:r>
        <w:r w:rsidR="006F65DF">
          <w:rPr>
            <w:webHidden/>
          </w:rPr>
        </w:r>
        <w:r w:rsidR="006F65DF">
          <w:rPr>
            <w:webHidden/>
          </w:rPr>
          <w:fldChar w:fldCharType="separate"/>
        </w:r>
        <w:r w:rsidR="006F65DF">
          <w:rPr>
            <w:webHidden/>
          </w:rPr>
          <w:t>11</w:t>
        </w:r>
        <w:r w:rsidR="006F65DF">
          <w:rPr>
            <w:webHidden/>
          </w:rPr>
          <w:fldChar w:fldCharType="end"/>
        </w:r>
      </w:hyperlink>
    </w:p>
    <w:p w:rsidR="006F65DF" w:rsidRDefault="0020178C">
      <w:pPr>
        <w:pStyle w:val="TOC3"/>
        <w:tabs>
          <w:tab w:val="left" w:pos="1680"/>
        </w:tabs>
        <w:rPr>
          <w:rFonts w:asciiTheme="minorHAnsi" w:eastAsiaTheme="minorEastAsia" w:hAnsiTheme="minorHAnsi" w:cstheme="minorBidi"/>
          <w:b w:val="0"/>
        </w:rPr>
      </w:pPr>
      <w:hyperlink w:anchor="_Toc493163384" w:history="1">
        <w:r w:rsidR="006F65DF" w:rsidRPr="00537820">
          <w:rPr>
            <w:rStyle w:val="Hyperlink"/>
          </w:rPr>
          <w:t>3.3.10</w:t>
        </w:r>
        <w:r w:rsidR="006F65DF">
          <w:rPr>
            <w:rFonts w:asciiTheme="minorHAnsi" w:eastAsiaTheme="minorEastAsia" w:hAnsiTheme="minorHAnsi" w:cstheme="minorBidi"/>
            <w:b w:val="0"/>
          </w:rPr>
          <w:tab/>
        </w:r>
        <w:r w:rsidR="006F65DF" w:rsidRPr="00537820">
          <w:rPr>
            <w:rStyle w:val="Hyperlink"/>
          </w:rPr>
          <w:t>South Carolina Electric and Gas</w:t>
        </w:r>
        <w:r w:rsidR="006F65DF">
          <w:rPr>
            <w:webHidden/>
          </w:rPr>
          <w:tab/>
        </w:r>
        <w:r w:rsidR="006F65DF">
          <w:rPr>
            <w:webHidden/>
          </w:rPr>
          <w:fldChar w:fldCharType="begin"/>
        </w:r>
        <w:r w:rsidR="006F65DF">
          <w:rPr>
            <w:webHidden/>
          </w:rPr>
          <w:instrText xml:space="preserve"> PAGEREF _Toc493163384 \h </w:instrText>
        </w:r>
        <w:r w:rsidR="006F65DF">
          <w:rPr>
            <w:webHidden/>
          </w:rPr>
        </w:r>
        <w:r w:rsidR="006F65DF">
          <w:rPr>
            <w:webHidden/>
          </w:rPr>
          <w:fldChar w:fldCharType="separate"/>
        </w:r>
        <w:r w:rsidR="006F65DF">
          <w:rPr>
            <w:webHidden/>
          </w:rPr>
          <w:t>12</w:t>
        </w:r>
        <w:r w:rsidR="006F65DF">
          <w:rPr>
            <w:webHidden/>
          </w:rPr>
          <w:fldChar w:fldCharType="end"/>
        </w:r>
      </w:hyperlink>
    </w:p>
    <w:p w:rsidR="006F65DF" w:rsidRDefault="0020178C">
      <w:pPr>
        <w:pStyle w:val="TOC3"/>
        <w:tabs>
          <w:tab w:val="left" w:pos="1680"/>
        </w:tabs>
        <w:rPr>
          <w:rFonts w:asciiTheme="minorHAnsi" w:eastAsiaTheme="minorEastAsia" w:hAnsiTheme="minorHAnsi" w:cstheme="minorBidi"/>
          <w:b w:val="0"/>
        </w:rPr>
      </w:pPr>
      <w:hyperlink w:anchor="_Toc493163385" w:history="1">
        <w:r w:rsidR="006F65DF" w:rsidRPr="00537820">
          <w:rPr>
            <w:rStyle w:val="Hyperlink"/>
          </w:rPr>
          <w:t>3.3.11</w:t>
        </w:r>
        <w:r w:rsidR="006F65DF">
          <w:rPr>
            <w:rFonts w:asciiTheme="minorHAnsi" w:eastAsiaTheme="minorEastAsia" w:hAnsiTheme="minorHAnsi" w:cstheme="minorBidi"/>
            <w:b w:val="0"/>
          </w:rPr>
          <w:tab/>
        </w:r>
        <w:r w:rsidR="006F65DF" w:rsidRPr="00537820">
          <w:rPr>
            <w:rStyle w:val="Hyperlink"/>
          </w:rPr>
          <w:t>South Carolina Public Service Authority</w:t>
        </w:r>
        <w:r w:rsidR="006F65DF">
          <w:rPr>
            <w:webHidden/>
          </w:rPr>
          <w:tab/>
        </w:r>
        <w:r w:rsidR="006F65DF">
          <w:rPr>
            <w:webHidden/>
          </w:rPr>
          <w:fldChar w:fldCharType="begin"/>
        </w:r>
        <w:r w:rsidR="006F65DF">
          <w:rPr>
            <w:webHidden/>
          </w:rPr>
          <w:instrText xml:space="preserve"> PAGEREF _Toc493163385 \h </w:instrText>
        </w:r>
        <w:r w:rsidR="006F65DF">
          <w:rPr>
            <w:webHidden/>
          </w:rPr>
        </w:r>
        <w:r w:rsidR="006F65DF">
          <w:rPr>
            <w:webHidden/>
          </w:rPr>
          <w:fldChar w:fldCharType="separate"/>
        </w:r>
        <w:r w:rsidR="006F65DF">
          <w:rPr>
            <w:webHidden/>
          </w:rPr>
          <w:t>13</w:t>
        </w:r>
        <w:r w:rsidR="006F65DF">
          <w:rPr>
            <w:webHidden/>
          </w:rPr>
          <w:fldChar w:fldCharType="end"/>
        </w:r>
      </w:hyperlink>
    </w:p>
    <w:p w:rsidR="006F65DF" w:rsidRDefault="0020178C">
      <w:pPr>
        <w:pStyle w:val="TOC3"/>
        <w:tabs>
          <w:tab w:val="left" w:pos="1680"/>
        </w:tabs>
        <w:rPr>
          <w:rFonts w:asciiTheme="minorHAnsi" w:eastAsiaTheme="minorEastAsia" w:hAnsiTheme="minorHAnsi" w:cstheme="minorBidi"/>
          <w:b w:val="0"/>
        </w:rPr>
      </w:pPr>
      <w:hyperlink w:anchor="_Toc493163386" w:history="1">
        <w:r w:rsidR="006F65DF" w:rsidRPr="00537820">
          <w:rPr>
            <w:rStyle w:val="Hyperlink"/>
          </w:rPr>
          <w:t>3.3.12</w:t>
        </w:r>
        <w:r w:rsidR="006F65DF">
          <w:rPr>
            <w:rFonts w:asciiTheme="minorHAnsi" w:eastAsiaTheme="minorEastAsia" w:hAnsiTheme="minorHAnsi" w:cstheme="minorBidi"/>
            <w:b w:val="0"/>
          </w:rPr>
          <w:tab/>
        </w:r>
        <w:r w:rsidR="006F65DF" w:rsidRPr="00537820">
          <w:rPr>
            <w:rStyle w:val="Hyperlink"/>
          </w:rPr>
          <w:t>Southern Company</w:t>
        </w:r>
        <w:r w:rsidR="006F65DF">
          <w:rPr>
            <w:webHidden/>
          </w:rPr>
          <w:tab/>
        </w:r>
        <w:r w:rsidR="006F65DF">
          <w:rPr>
            <w:webHidden/>
          </w:rPr>
          <w:fldChar w:fldCharType="begin"/>
        </w:r>
        <w:r w:rsidR="006F65DF">
          <w:rPr>
            <w:webHidden/>
          </w:rPr>
          <w:instrText xml:space="preserve"> PAGEREF _Toc493163386 \h </w:instrText>
        </w:r>
        <w:r w:rsidR="006F65DF">
          <w:rPr>
            <w:webHidden/>
          </w:rPr>
        </w:r>
        <w:r w:rsidR="006F65DF">
          <w:rPr>
            <w:webHidden/>
          </w:rPr>
          <w:fldChar w:fldCharType="separate"/>
        </w:r>
        <w:r w:rsidR="006F65DF">
          <w:rPr>
            <w:webHidden/>
          </w:rPr>
          <w:t>14</w:t>
        </w:r>
        <w:r w:rsidR="006F65DF">
          <w:rPr>
            <w:webHidden/>
          </w:rPr>
          <w:fldChar w:fldCharType="end"/>
        </w:r>
      </w:hyperlink>
    </w:p>
    <w:p w:rsidR="006F65DF" w:rsidRDefault="0020178C">
      <w:pPr>
        <w:pStyle w:val="TOC3"/>
        <w:tabs>
          <w:tab w:val="left" w:pos="1680"/>
        </w:tabs>
        <w:rPr>
          <w:rFonts w:asciiTheme="minorHAnsi" w:eastAsiaTheme="minorEastAsia" w:hAnsiTheme="minorHAnsi" w:cstheme="minorBidi"/>
          <w:b w:val="0"/>
        </w:rPr>
      </w:pPr>
      <w:hyperlink w:anchor="_Toc493163387" w:history="1">
        <w:r w:rsidR="006F65DF" w:rsidRPr="00537820">
          <w:rPr>
            <w:rStyle w:val="Hyperlink"/>
          </w:rPr>
          <w:t>3.3.13</w:t>
        </w:r>
        <w:r w:rsidR="006F65DF">
          <w:rPr>
            <w:rFonts w:asciiTheme="minorHAnsi" w:eastAsiaTheme="minorEastAsia" w:hAnsiTheme="minorHAnsi" w:cstheme="minorBidi"/>
            <w:b w:val="0"/>
          </w:rPr>
          <w:tab/>
        </w:r>
        <w:r w:rsidR="006F65DF" w:rsidRPr="00537820">
          <w:rPr>
            <w:rStyle w:val="Hyperlink"/>
          </w:rPr>
          <w:t>Tennessee Valley Authority (TVA)</w:t>
        </w:r>
        <w:r w:rsidR="006F65DF">
          <w:rPr>
            <w:webHidden/>
          </w:rPr>
          <w:tab/>
        </w:r>
        <w:r w:rsidR="006F65DF">
          <w:rPr>
            <w:webHidden/>
          </w:rPr>
          <w:fldChar w:fldCharType="begin"/>
        </w:r>
        <w:r w:rsidR="006F65DF">
          <w:rPr>
            <w:webHidden/>
          </w:rPr>
          <w:instrText xml:space="preserve"> PAGEREF _Toc493163387 \h </w:instrText>
        </w:r>
        <w:r w:rsidR="006F65DF">
          <w:rPr>
            <w:webHidden/>
          </w:rPr>
        </w:r>
        <w:r w:rsidR="006F65DF">
          <w:rPr>
            <w:webHidden/>
          </w:rPr>
          <w:fldChar w:fldCharType="separate"/>
        </w:r>
        <w:r w:rsidR="006F65DF">
          <w:rPr>
            <w:webHidden/>
          </w:rPr>
          <w:t>15</w:t>
        </w:r>
        <w:r w:rsidR="006F65DF">
          <w:rPr>
            <w:webHidden/>
          </w:rPr>
          <w:fldChar w:fldCharType="end"/>
        </w:r>
      </w:hyperlink>
    </w:p>
    <w:p w:rsidR="006F65DF" w:rsidRDefault="0020178C">
      <w:pPr>
        <w:pStyle w:val="TOC1"/>
        <w:rPr>
          <w:rFonts w:asciiTheme="minorHAnsi" w:eastAsiaTheme="minorEastAsia" w:hAnsiTheme="minorHAnsi" w:cstheme="minorBidi"/>
          <w:b w:val="0"/>
        </w:rPr>
      </w:pPr>
      <w:hyperlink w:anchor="_Toc493163388" w:history="1">
        <w:r w:rsidR="006F65DF" w:rsidRPr="00537820">
          <w:rPr>
            <w:rStyle w:val="Hyperlink"/>
          </w:rPr>
          <w:t>4.0</w:t>
        </w:r>
        <w:r w:rsidR="006F65DF">
          <w:rPr>
            <w:rFonts w:asciiTheme="minorHAnsi" w:eastAsiaTheme="minorEastAsia" w:hAnsiTheme="minorHAnsi" w:cstheme="minorBidi"/>
            <w:b w:val="0"/>
          </w:rPr>
          <w:tab/>
        </w:r>
        <w:r w:rsidR="006F65DF" w:rsidRPr="00537820">
          <w:rPr>
            <w:rStyle w:val="Hyperlink"/>
          </w:rPr>
          <w:t>MOD-032 Impact</w:t>
        </w:r>
        <w:r w:rsidR="006F65DF">
          <w:rPr>
            <w:webHidden/>
          </w:rPr>
          <w:tab/>
        </w:r>
        <w:r w:rsidR="006F65DF">
          <w:rPr>
            <w:webHidden/>
          </w:rPr>
          <w:fldChar w:fldCharType="begin"/>
        </w:r>
        <w:r w:rsidR="006F65DF">
          <w:rPr>
            <w:webHidden/>
          </w:rPr>
          <w:instrText xml:space="preserve"> PAGEREF _Toc493163388 \h </w:instrText>
        </w:r>
        <w:r w:rsidR="006F65DF">
          <w:rPr>
            <w:webHidden/>
          </w:rPr>
        </w:r>
        <w:r w:rsidR="006F65DF">
          <w:rPr>
            <w:webHidden/>
          </w:rPr>
          <w:fldChar w:fldCharType="separate"/>
        </w:r>
        <w:r w:rsidR="006F65DF">
          <w:rPr>
            <w:webHidden/>
          </w:rPr>
          <w:t>16</w:t>
        </w:r>
        <w:r w:rsidR="006F65DF">
          <w:rPr>
            <w:webHidden/>
          </w:rPr>
          <w:fldChar w:fldCharType="end"/>
        </w:r>
      </w:hyperlink>
    </w:p>
    <w:p w:rsidR="006F65DF" w:rsidRDefault="0020178C">
      <w:pPr>
        <w:pStyle w:val="TOC1"/>
        <w:rPr>
          <w:rFonts w:asciiTheme="minorHAnsi" w:eastAsiaTheme="minorEastAsia" w:hAnsiTheme="minorHAnsi" w:cstheme="minorBidi"/>
          <w:b w:val="0"/>
        </w:rPr>
      </w:pPr>
      <w:hyperlink w:anchor="_Toc493163389" w:history="1">
        <w:r w:rsidR="006F65DF" w:rsidRPr="00537820">
          <w:rPr>
            <w:rStyle w:val="Hyperlink"/>
          </w:rPr>
          <w:t>5.0</w:t>
        </w:r>
        <w:r w:rsidR="006F65DF">
          <w:rPr>
            <w:rFonts w:asciiTheme="minorHAnsi" w:eastAsiaTheme="minorEastAsia" w:hAnsiTheme="minorHAnsi" w:cstheme="minorBidi"/>
            <w:b w:val="0"/>
          </w:rPr>
          <w:tab/>
        </w:r>
        <w:r w:rsidR="006F65DF" w:rsidRPr="00537820">
          <w:rPr>
            <w:rStyle w:val="Hyperlink"/>
          </w:rPr>
          <w:t>Conclusions &amp; Recommendations</w:t>
        </w:r>
        <w:r w:rsidR="006F65DF">
          <w:rPr>
            <w:webHidden/>
          </w:rPr>
          <w:tab/>
        </w:r>
        <w:r w:rsidR="006F65DF">
          <w:rPr>
            <w:webHidden/>
          </w:rPr>
          <w:fldChar w:fldCharType="begin"/>
        </w:r>
        <w:r w:rsidR="006F65DF">
          <w:rPr>
            <w:webHidden/>
          </w:rPr>
          <w:instrText xml:space="preserve"> PAGEREF _Toc493163389 \h </w:instrText>
        </w:r>
        <w:r w:rsidR="006F65DF">
          <w:rPr>
            <w:webHidden/>
          </w:rPr>
        </w:r>
        <w:r w:rsidR="006F65DF">
          <w:rPr>
            <w:webHidden/>
          </w:rPr>
          <w:fldChar w:fldCharType="separate"/>
        </w:r>
        <w:r w:rsidR="006F65DF">
          <w:rPr>
            <w:webHidden/>
          </w:rPr>
          <w:t>16</w:t>
        </w:r>
        <w:r w:rsidR="006F65DF">
          <w:rPr>
            <w:webHidden/>
          </w:rPr>
          <w:fldChar w:fldCharType="end"/>
        </w:r>
      </w:hyperlink>
    </w:p>
    <w:p w:rsidR="006F65DF" w:rsidRDefault="0020178C">
      <w:pPr>
        <w:pStyle w:val="TOC1"/>
        <w:rPr>
          <w:rFonts w:asciiTheme="minorHAnsi" w:eastAsiaTheme="minorEastAsia" w:hAnsiTheme="minorHAnsi" w:cstheme="minorBidi"/>
          <w:b w:val="0"/>
        </w:rPr>
      </w:pPr>
      <w:hyperlink w:anchor="_Toc493163390" w:history="1">
        <w:r w:rsidR="006F65DF" w:rsidRPr="00537820">
          <w:rPr>
            <w:rStyle w:val="Hyperlink"/>
          </w:rPr>
          <w:t>6.0</w:t>
        </w:r>
        <w:r w:rsidR="006F65DF">
          <w:rPr>
            <w:rFonts w:asciiTheme="minorHAnsi" w:eastAsiaTheme="minorEastAsia" w:hAnsiTheme="minorHAnsi" w:cstheme="minorBidi"/>
            <w:b w:val="0"/>
          </w:rPr>
          <w:tab/>
        </w:r>
        <w:r w:rsidR="006F65DF" w:rsidRPr="00537820">
          <w:rPr>
            <w:rStyle w:val="Hyperlink"/>
          </w:rPr>
          <w:t>References</w:t>
        </w:r>
        <w:r w:rsidR="006F65DF">
          <w:rPr>
            <w:webHidden/>
          </w:rPr>
          <w:tab/>
        </w:r>
        <w:r w:rsidR="006F65DF">
          <w:rPr>
            <w:webHidden/>
          </w:rPr>
          <w:fldChar w:fldCharType="begin"/>
        </w:r>
        <w:r w:rsidR="006F65DF">
          <w:rPr>
            <w:webHidden/>
          </w:rPr>
          <w:instrText xml:space="preserve"> PAGEREF _Toc493163390 \h </w:instrText>
        </w:r>
        <w:r w:rsidR="006F65DF">
          <w:rPr>
            <w:webHidden/>
          </w:rPr>
        </w:r>
        <w:r w:rsidR="006F65DF">
          <w:rPr>
            <w:webHidden/>
          </w:rPr>
          <w:fldChar w:fldCharType="separate"/>
        </w:r>
        <w:r w:rsidR="006F65DF">
          <w:rPr>
            <w:webHidden/>
          </w:rPr>
          <w:t>17</w:t>
        </w:r>
        <w:r w:rsidR="006F65DF">
          <w:rPr>
            <w:webHidden/>
          </w:rPr>
          <w:fldChar w:fldCharType="end"/>
        </w:r>
      </w:hyperlink>
    </w:p>
    <w:p w:rsidR="006F65DF" w:rsidRDefault="0020178C">
      <w:pPr>
        <w:pStyle w:val="TOC1"/>
        <w:rPr>
          <w:rFonts w:asciiTheme="minorHAnsi" w:eastAsiaTheme="minorEastAsia" w:hAnsiTheme="minorHAnsi" w:cstheme="minorBidi"/>
          <w:b w:val="0"/>
        </w:rPr>
      </w:pPr>
      <w:hyperlink w:anchor="_Toc493163391" w:history="1">
        <w:r w:rsidR="006F65DF" w:rsidRPr="00537820">
          <w:rPr>
            <w:rStyle w:val="Hyperlink"/>
          </w:rPr>
          <w:t>7.0</w:t>
        </w:r>
        <w:r w:rsidR="006F65DF">
          <w:rPr>
            <w:rFonts w:asciiTheme="minorHAnsi" w:eastAsiaTheme="minorEastAsia" w:hAnsiTheme="minorHAnsi" w:cstheme="minorBidi"/>
            <w:b w:val="0"/>
          </w:rPr>
          <w:tab/>
        </w:r>
        <w:r w:rsidR="006F65DF" w:rsidRPr="00537820">
          <w:rPr>
            <w:rStyle w:val="Hyperlink"/>
          </w:rPr>
          <w:t>Revision History</w:t>
        </w:r>
        <w:r w:rsidR="006F65DF">
          <w:rPr>
            <w:webHidden/>
          </w:rPr>
          <w:tab/>
        </w:r>
        <w:r w:rsidR="006F65DF">
          <w:rPr>
            <w:webHidden/>
          </w:rPr>
          <w:fldChar w:fldCharType="begin"/>
        </w:r>
        <w:r w:rsidR="006F65DF">
          <w:rPr>
            <w:webHidden/>
          </w:rPr>
          <w:instrText xml:space="preserve"> PAGEREF _Toc493163391 \h </w:instrText>
        </w:r>
        <w:r w:rsidR="006F65DF">
          <w:rPr>
            <w:webHidden/>
          </w:rPr>
        </w:r>
        <w:r w:rsidR="006F65DF">
          <w:rPr>
            <w:webHidden/>
          </w:rPr>
          <w:fldChar w:fldCharType="separate"/>
        </w:r>
        <w:r w:rsidR="006F65DF">
          <w:rPr>
            <w:webHidden/>
          </w:rPr>
          <w:t>17</w:t>
        </w:r>
        <w:r w:rsidR="006F65DF">
          <w:rPr>
            <w:webHidden/>
          </w:rPr>
          <w:fldChar w:fldCharType="end"/>
        </w:r>
      </w:hyperlink>
    </w:p>
    <w:p w:rsidR="00D36AF4" w:rsidRPr="007E1BF3" w:rsidRDefault="002E4579" w:rsidP="00E239BC">
      <w:pPr>
        <w:rPr>
          <w:color w:val="548DD4"/>
        </w:rPr>
      </w:pPr>
      <w:r>
        <w:rPr>
          <w:noProof/>
        </w:rPr>
        <w:fldChar w:fldCharType="end"/>
      </w:r>
      <w:r w:rsidR="007E1BF3" w:rsidRPr="007E1BF3">
        <w:rPr>
          <w:color w:val="548DD4"/>
        </w:rPr>
        <w:t xml:space="preserve"> </w:t>
      </w:r>
    </w:p>
    <w:p w:rsidR="00441A2D" w:rsidRPr="003F0ADA" w:rsidRDefault="007E614E" w:rsidP="00E239BC">
      <w:pPr>
        <w:pStyle w:val="Heading1"/>
      </w:pPr>
      <w:r>
        <w:br w:type="page"/>
      </w:r>
      <w:bookmarkStart w:id="0" w:name="_Toc490484045"/>
      <w:bookmarkStart w:id="1" w:name="_Toc493163364"/>
      <w:bookmarkStart w:id="2" w:name="_Toc387929507"/>
      <w:bookmarkStart w:id="3" w:name="_Toc395190978"/>
      <w:bookmarkStart w:id="4" w:name="_Toc404602942"/>
      <w:bookmarkStart w:id="5" w:name="_Toc405972819"/>
      <w:r w:rsidR="004012FF" w:rsidRPr="00A071B0">
        <w:lastRenderedPageBreak/>
        <w:t>Purpose</w:t>
      </w:r>
      <w:bookmarkEnd w:id="0"/>
      <w:bookmarkEnd w:id="1"/>
      <w:r w:rsidR="002E4579">
        <w:t xml:space="preserve"> </w:t>
      </w:r>
      <w:bookmarkEnd w:id="2"/>
      <w:bookmarkEnd w:id="3"/>
      <w:bookmarkEnd w:id="4"/>
      <w:bookmarkEnd w:id="5"/>
    </w:p>
    <w:p w:rsidR="00F04807" w:rsidRDefault="00F04807" w:rsidP="00F04807">
      <w:bookmarkStart w:id="6" w:name="_Toc386117732"/>
      <w:bookmarkStart w:id="7" w:name="_Toc386117756"/>
      <w:bookmarkStart w:id="8" w:name="_Toc386120064"/>
      <w:bookmarkStart w:id="9" w:name="_Toc386120266"/>
      <w:bookmarkStart w:id="10" w:name="_Toc386120563"/>
      <w:bookmarkStart w:id="11" w:name="_Toc386179462"/>
      <w:bookmarkStart w:id="12" w:name="_Toc387929508"/>
      <w:bookmarkStart w:id="13" w:name="_Toc395190979"/>
      <w:bookmarkStart w:id="14" w:name="_Toc404602943"/>
      <w:bookmarkStart w:id="15" w:name="_Toc405972820"/>
      <w:r>
        <w:t>The Engineering Committee (</w:t>
      </w:r>
      <w:r w:rsidRPr="00F069CD">
        <w:t>EC</w:t>
      </w:r>
      <w:r>
        <w:t xml:space="preserve">) established the </w:t>
      </w:r>
      <w:r w:rsidR="009F6FDB">
        <w:t>Firm</w:t>
      </w:r>
      <w:r>
        <w:t xml:space="preserve"> Flow Study Task Force (</w:t>
      </w:r>
      <w:r w:rsidR="009F6FDB">
        <w:t>FF</w:t>
      </w:r>
      <w:r w:rsidRPr="00F069CD">
        <w:t>TF</w:t>
      </w:r>
      <w:r>
        <w:t xml:space="preserve">) to </w:t>
      </w:r>
      <w:r w:rsidR="009F6FDB">
        <w:t xml:space="preserve">identify </w:t>
      </w:r>
      <w:r w:rsidR="00244FCD">
        <w:t xml:space="preserve">issues </w:t>
      </w:r>
      <w:r w:rsidR="001C0FEB">
        <w:rPr>
          <w:rFonts w:cs="Arial"/>
        </w:rPr>
        <w:t xml:space="preserve">and make recommendations </w:t>
      </w:r>
      <w:r w:rsidR="00CE2331">
        <w:rPr>
          <w:rFonts w:cs="Arial"/>
        </w:rPr>
        <w:t xml:space="preserve">regarding </w:t>
      </w:r>
      <w:r w:rsidR="001C0FEB">
        <w:rPr>
          <w:rFonts w:cs="Arial"/>
        </w:rPr>
        <w:t xml:space="preserve">modeling firm interchange in the </w:t>
      </w:r>
      <w:r w:rsidR="00EB2255">
        <w:rPr>
          <w:rFonts w:cs="Arial"/>
        </w:rPr>
        <w:t xml:space="preserve">near and </w:t>
      </w:r>
      <w:r w:rsidR="001C0FEB">
        <w:rPr>
          <w:rFonts w:cs="Arial"/>
        </w:rPr>
        <w:t>long</w:t>
      </w:r>
      <w:r w:rsidR="00EB2255">
        <w:rPr>
          <w:rFonts w:cs="Arial"/>
        </w:rPr>
        <w:t xml:space="preserve"> </w:t>
      </w:r>
      <w:r w:rsidR="001C0FEB">
        <w:rPr>
          <w:rFonts w:cs="Arial"/>
        </w:rPr>
        <w:t>term study models.</w:t>
      </w:r>
      <w:r w:rsidR="003B2C45">
        <w:rPr>
          <w:rFonts w:cs="Arial"/>
        </w:rPr>
        <w:t xml:space="preserve"> This document provides the background, assessment, and recommendations of the task force.</w:t>
      </w:r>
    </w:p>
    <w:p w:rsidR="004012FF" w:rsidRDefault="004012FF" w:rsidP="00E239BC">
      <w:pPr>
        <w:pStyle w:val="Heading2"/>
      </w:pPr>
      <w:bookmarkStart w:id="16" w:name="_Toc386120066"/>
      <w:bookmarkStart w:id="17" w:name="_Toc386120268"/>
      <w:bookmarkStart w:id="18" w:name="_Toc386120565"/>
      <w:bookmarkStart w:id="19" w:name="_Toc386179464"/>
      <w:bookmarkStart w:id="20" w:name="_Toc490484046"/>
      <w:bookmarkStart w:id="21" w:name="_Toc493163365"/>
      <w:bookmarkStart w:id="22" w:name="_Toc404602944"/>
      <w:bookmarkStart w:id="23" w:name="_Toc405972821"/>
      <w:bookmarkEnd w:id="6"/>
      <w:bookmarkEnd w:id="7"/>
      <w:bookmarkEnd w:id="8"/>
      <w:bookmarkEnd w:id="9"/>
      <w:bookmarkEnd w:id="10"/>
      <w:bookmarkEnd w:id="11"/>
      <w:bookmarkEnd w:id="12"/>
      <w:bookmarkEnd w:id="13"/>
      <w:bookmarkEnd w:id="14"/>
      <w:bookmarkEnd w:id="15"/>
      <w:r w:rsidRPr="00B808A2">
        <w:t>Business</w:t>
      </w:r>
      <w:r w:rsidRPr="002D0094">
        <w:t xml:space="preserve"> Need</w:t>
      </w:r>
      <w:bookmarkEnd w:id="16"/>
      <w:bookmarkEnd w:id="17"/>
      <w:bookmarkEnd w:id="18"/>
      <w:bookmarkEnd w:id="19"/>
      <w:bookmarkEnd w:id="20"/>
      <w:bookmarkEnd w:id="21"/>
      <w:r w:rsidR="002E4579">
        <w:t xml:space="preserve"> </w:t>
      </w:r>
      <w:bookmarkEnd w:id="22"/>
      <w:bookmarkEnd w:id="23"/>
    </w:p>
    <w:p w:rsidR="00CE2331" w:rsidRDefault="00186064" w:rsidP="00A41079">
      <w:r w:rsidRPr="00186064">
        <w:t xml:space="preserve">Accurate </w:t>
      </w:r>
      <w:r w:rsidR="00F83E3E">
        <w:t xml:space="preserve">coordination and associated </w:t>
      </w:r>
      <w:r w:rsidRPr="00186064">
        <w:t xml:space="preserve">modeling </w:t>
      </w:r>
      <w:r w:rsidR="00F83E3E">
        <w:t>of</w:t>
      </w:r>
      <w:r>
        <w:t xml:space="preserve"> </w:t>
      </w:r>
      <w:r w:rsidR="005F75C6">
        <w:t>f</w:t>
      </w:r>
      <w:r w:rsidRPr="00186064">
        <w:t xml:space="preserve">irm </w:t>
      </w:r>
      <w:r w:rsidR="005F75C6">
        <w:t>transmission s</w:t>
      </w:r>
      <w:r w:rsidRPr="00186064">
        <w:t xml:space="preserve">ervice and </w:t>
      </w:r>
      <w:r w:rsidR="005F75C6">
        <w:t>i</w:t>
      </w:r>
      <w:r w:rsidRPr="00186064">
        <w:t>nterchange among P</w:t>
      </w:r>
      <w:r>
        <w:t>lanning Coordinators (PC</w:t>
      </w:r>
      <w:r w:rsidR="000A4CE9">
        <w:t>s</w:t>
      </w:r>
      <w:r>
        <w:t>)</w:t>
      </w:r>
      <w:r w:rsidRPr="00186064">
        <w:t xml:space="preserve"> is </w:t>
      </w:r>
      <w:r>
        <w:t>essential</w:t>
      </w:r>
      <w:r w:rsidRPr="00186064">
        <w:t xml:space="preserve"> </w:t>
      </w:r>
      <w:r w:rsidR="000A4CE9">
        <w:t xml:space="preserve">for </w:t>
      </w:r>
      <w:r w:rsidRPr="00186064">
        <w:t xml:space="preserve">building </w:t>
      </w:r>
      <w:r>
        <w:t>multi-regional models</w:t>
      </w:r>
      <w:r w:rsidRPr="00186064">
        <w:t xml:space="preserve"> </w:t>
      </w:r>
      <w:r w:rsidR="001A6D48">
        <w:t xml:space="preserve">used </w:t>
      </w:r>
      <w:r w:rsidRPr="00186064">
        <w:t>in near-term and long-term assessments.</w:t>
      </w:r>
      <w:r>
        <w:t xml:space="preserve"> </w:t>
      </w:r>
      <w:r w:rsidR="00B97CEA">
        <w:t>Inaccurate transmission commitment information in planning models may i</w:t>
      </w:r>
      <w:r w:rsidR="00B97CEA" w:rsidRPr="00186064">
        <w:t>ncrease reliability risks</w:t>
      </w:r>
      <w:r w:rsidR="00AA7489">
        <w:t>. This increase in risk is</w:t>
      </w:r>
      <w:r w:rsidR="00B97CEA" w:rsidRPr="00186064">
        <w:t xml:space="preserve"> </w:t>
      </w:r>
      <w:r w:rsidR="00B97CEA">
        <w:t>due to</w:t>
      </w:r>
    </w:p>
    <w:p w:rsidR="00CE2331" w:rsidRDefault="00DC37BE" w:rsidP="007124EB">
      <w:pPr>
        <w:pStyle w:val="Bullet1"/>
      </w:pPr>
      <w:r>
        <w:t xml:space="preserve">Models used for near term studies </w:t>
      </w:r>
      <w:r w:rsidR="00AA7489">
        <w:t xml:space="preserve">that do </w:t>
      </w:r>
      <w:r>
        <w:t xml:space="preserve">not address </w:t>
      </w:r>
      <w:r w:rsidR="00344D9B">
        <w:t>Transmission Service Reservations (</w:t>
      </w:r>
      <w:r>
        <w:t>TSRs</w:t>
      </w:r>
      <w:r w:rsidR="00344D9B">
        <w:t>)</w:t>
      </w:r>
      <w:r w:rsidR="00AA7489" w:rsidRPr="00AA7489">
        <w:t xml:space="preserve"> </w:t>
      </w:r>
      <w:r w:rsidR="00AA7489">
        <w:t>accurately</w:t>
      </w:r>
      <w:r w:rsidR="003B2C45">
        <w:t>,</w:t>
      </w:r>
    </w:p>
    <w:p w:rsidR="00CE2331" w:rsidRDefault="004D172D" w:rsidP="007124EB">
      <w:pPr>
        <w:pStyle w:val="Bullet1"/>
      </w:pPr>
      <w:r>
        <w:t>Inadequately</w:t>
      </w:r>
      <w:r w:rsidR="00F83E3E">
        <w:t xml:space="preserve"> coordinated </w:t>
      </w:r>
      <w:r w:rsidR="00B97CEA">
        <w:t>transmission e</w:t>
      </w:r>
      <w:r w:rsidR="00B97CEA" w:rsidRPr="00186064">
        <w:t xml:space="preserve">xpansion plans </w:t>
      </w:r>
      <w:r w:rsidR="00F83E3E">
        <w:t xml:space="preserve">for </w:t>
      </w:r>
      <w:r w:rsidR="00B97CEA" w:rsidRPr="00186064">
        <w:t>comply</w:t>
      </w:r>
      <w:r w:rsidR="00F83E3E">
        <w:t>ing</w:t>
      </w:r>
      <w:r w:rsidR="00B97CEA" w:rsidRPr="00186064">
        <w:t xml:space="preserve"> with </w:t>
      </w:r>
      <w:r w:rsidR="00AA7489">
        <w:t xml:space="preserve">FERC </w:t>
      </w:r>
      <w:r w:rsidR="00B97CEA" w:rsidRPr="00186064">
        <w:t>Orders</w:t>
      </w:r>
      <w:r w:rsidR="00880F8D">
        <w:t xml:space="preserve"> 890 and </w:t>
      </w:r>
      <w:r w:rsidR="00B97CEA" w:rsidRPr="00186064">
        <w:t>1000</w:t>
      </w:r>
      <w:r w:rsidR="003B2C45">
        <w:t xml:space="preserve">, </w:t>
      </w:r>
      <w:r w:rsidR="00C44F01">
        <w:t>and</w:t>
      </w:r>
    </w:p>
    <w:p w:rsidR="00CE2331" w:rsidRDefault="00344D9B" w:rsidP="007124EB">
      <w:pPr>
        <w:pStyle w:val="Bullet1"/>
      </w:pPr>
      <w:r>
        <w:t>Potential</w:t>
      </w:r>
      <w:r w:rsidR="00244FCD">
        <w:t xml:space="preserve"> </w:t>
      </w:r>
      <w:r w:rsidR="00B97CEA" w:rsidRPr="00186064">
        <w:t>oversell</w:t>
      </w:r>
      <w:r>
        <w:t>ing</w:t>
      </w:r>
      <w:r w:rsidR="00B97CEA" w:rsidRPr="00186064">
        <w:t xml:space="preserve"> of transmission capability</w:t>
      </w:r>
      <w:r w:rsidR="00615AB3">
        <w:t xml:space="preserve"> in excess of</w:t>
      </w:r>
      <w:r w:rsidR="00B97CEA" w:rsidRPr="00186064">
        <w:t xml:space="preserve"> </w:t>
      </w:r>
      <w:r w:rsidR="003B2C45">
        <w:t>System Operating Limits</w:t>
      </w:r>
      <w:r w:rsidR="003B2C45" w:rsidRPr="00186064">
        <w:t xml:space="preserve"> </w:t>
      </w:r>
      <w:r w:rsidR="003B2C45">
        <w:t>(</w:t>
      </w:r>
      <w:r w:rsidR="00B97CEA" w:rsidRPr="00186064">
        <w:t>SOLs</w:t>
      </w:r>
      <w:r w:rsidR="003B2C45">
        <w:t>)</w:t>
      </w:r>
      <w:r w:rsidR="00B97CEA" w:rsidRPr="00186064">
        <w:t xml:space="preserve"> and </w:t>
      </w:r>
      <w:r w:rsidR="003B2C45">
        <w:t>Interconnection Reliability Operating Limits</w:t>
      </w:r>
      <w:r w:rsidR="003B2C45" w:rsidRPr="00186064">
        <w:t xml:space="preserve"> </w:t>
      </w:r>
      <w:r w:rsidR="003B2C45">
        <w:t>(</w:t>
      </w:r>
      <w:r w:rsidR="00B97CEA" w:rsidRPr="00186064">
        <w:t>IROLs</w:t>
      </w:r>
      <w:r w:rsidR="003B2C45">
        <w:t>).</w:t>
      </w:r>
    </w:p>
    <w:p w:rsidR="004012FF" w:rsidRPr="00A67290" w:rsidRDefault="00623E38" w:rsidP="000A4CE9">
      <w:r>
        <w:t>P</w:t>
      </w:r>
      <w:r w:rsidR="00EF5391" w:rsidRPr="00EF5391">
        <w:t xml:space="preserve">lanning studies analyze a </w:t>
      </w:r>
      <w:r w:rsidR="000A4CE9">
        <w:t xml:space="preserve">variety of </w:t>
      </w:r>
      <w:r w:rsidR="00244FCD">
        <w:t xml:space="preserve">possible </w:t>
      </w:r>
      <w:r w:rsidR="000A4CE9">
        <w:t xml:space="preserve">high-stress </w:t>
      </w:r>
      <w:r w:rsidR="00EF5391" w:rsidRPr="00EF5391">
        <w:t>states</w:t>
      </w:r>
      <w:r w:rsidR="00244FCD">
        <w:t xml:space="preserve"> of the transmission system</w:t>
      </w:r>
      <w:r w:rsidR="003B2C45">
        <w:t>, such as</w:t>
      </w:r>
      <w:r w:rsidR="00EF5391" w:rsidRPr="00EF5391">
        <w:t xml:space="preserve"> summer peak, winter peak, spring, fall, shoulder, </w:t>
      </w:r>
      <w:r w:rsidR="003B2C45">
        <w:t xml:space="preserve">and </w:t>
      </w:r>
      <w:r w:rsidR="00EF5391" w:rsidRPr="00EF5391">
        <w:t xml:space="preserve">light load. </w:t>
      </w:r>
      <w:r w:rsidR="000A4CE9">
        <w:t xml:space="preserve">While </w:t>
      </w:r>
      <w:r w:rsidR="003B2C45">
        <w:t xml:space="preserve">it is not possible to characterize </w:t>
      </w:r>
      <w:r w:rsidR="000A4CE9">
        <w:t>firm</w:t>
      </w:r>
      <w:r w:rsidR="00F91D3F">
        <w:t xml:space="preserve"> </w:t>
      </w:r>
      <w:r w:rsidR="000A4CE9">
        <w:t xml:space="preserve">flows </w:t>
      </w:r>
      <w:r w:rsidR="003B2C45">
        <w:t>completely</w:t>
      </w:r>
      <w:r w:rsidR="00CE1A9A">
        <w:t xml:space="preserve">, </w:t>
      </w:r>
      <w:r w:rsidR="003B2C45">
        <w:t xml:space="preserve">the SERC study groups still need </w:t>
      </w:r>
      <w:r w:rsidR="00CE1A9A">
        <w:t>relatively accurate</w:t>
      </w:r>
      <w:r w:rsidR="000A4CE9">
        <w:t xml:space="preserve"> firm</w:t>
      </w:r>
      <w:r w:rsidR="00F91D3F">
        <w:t xml:space="preserve"> </w:t>
      </w:r>
      <w:r w:rsidR="000A4CE9">
        <w:t xml:space="preserve">flow transfers </w:t>
      </w:r>
      <w:r w:rsidR="00C66545">
        <w:t xml:space="preserve">to produce </w:t>
      </w:r>
      <w:r w:rsidR="00CE1A9A">
        <w:t xml:space="preserve">meaningful </w:t>
      </w:r>
      <w:r w:rsidR="000A4CE9">
        <w:t xml:space="preserve">assessments. </w:t>
      </w:r>
    </w:p>
    <w:p w:rsidR="004464DE" w:rsidRPr="004464DE" w:rsidRDefault="001B62F2" w:rsidP="001C0FEB">
      <w:pPr>
        <w:rPr>
          <w:rFonts w:eastAsia="Calibri"/>
        </w:rPr>
      </w:pPr>
      <w:r>
        <w:t>T</w:t>
      </w:r>
      <w:r w:rsidR="00F86432">
        <w:t xml:space="preserve">he </w:t>
      </w:r>
      <w:r w:rsidR="003B2C45">
        <w:t xml:space="preserve">EC has tasked the </w:t>
      </w:r>
      <w:r w:rsidR="001C0FEB">
        <w:t>FF</w:t>
      </w:r>
      <w:r w:rsidR="00F86432">
        <w:t>TF</w:t>
      </w:r>
      <w:r w:rsidR="00F83E3E">
        <w:t xml:space="preserve"> </w:t>
      </w:r>
      <w:r>
        <w:t xml:space="preserve">with </w:t>
      </w:r>
      <w:r w:rsidR="001C0FEB" w:rsidRPr="001C0FEB">
        <w:t>identify</w:t>
      </w:r>
      <w:r>
        <w:t>ing</w:t>
      </w:r>
      <w:r w:rsidR="001C0FEB" w:rsidRPr="001C0FEB">
        <w:t xml:space="preserve"> </w:t>
      </w:r>
      <w:r w:rsidR="00B94EEA">
        <w:t xml:space="preserve">firm flow modeling </w:t>
      </w:r>
      <w:r w:rsidR="001C0FEB" w:rsidRPr="001C0FEB">
        <w:t xml:space="preserve">issues and </w:t>
      </w:r>
      <w:r w:rsidR="002E331F">
        <w:t>generat</w:t>
      </w:r>
      <w:r>
        <w:t>ing</w:t>
      </w:r>
      <w:r w:rsidR="002E331F">
        <w:t xml:space="preserve"> </w:t>
      </w:r>
      <w:r w:rsidR="001C0FEB" w:rsidRPr="001C0FEB">
        <w:t>c</w:t>
      </w:r>
      <w:r w:rsidR="001C0FEB">
        <w:t>onclusions and recommendations</w:t>
      </w:r>
      <w:r w:rsidR="003B2C45">
        <w:t xml:space="preserve"> for their mitigation</w:t>
      </w:r>
      <w:r w:rsidR="00F91D3F">
        <w:t>.</w:t>
      </w:r>
      <w:r w:rsidR="00B94EEA">
        <w:t xml:space="preserve"> </w:t>
      </w:r>
      <w:bookmarkStart w:id="24" w:name="_Toc404602947"/>
      <w:bookmarkStart w:id="25" w:name="_Toc405972824"/>
      <w:bookmarkStart w:id="26" w:name="_Toc395190981"/>
    </w:p>
    <w:p w:rsidR="00B50FAB" w:rsidRPr="00A67290" w:rsidRDefault="00A0757B" w:rsidP="00E239BC">
      <w:pPr>
        <w:pStyle w:val="Heading1"/>
      </w:pPr>
      <w:bookmarkStart w:id="27" w:name="_Toc492984974"/>
      <w:bookmarkStart w:id="28" w:name="_Toc492984978"/>
      <w:bookmarkStart w:id="29" w:name="_Toc492984981"/>
      <w:bookmarkStart w:id="30" w:name="_Toc492984984"/>
      <w:bookmarkStart w:id="31" w:name="_Toc493163366"/>
      <w:bookmarkStart w:id="32" w:name="_Toc404602948"/>
      <w:bookmarkStart w:id="33" w:name="_Toc405972825"/>
      <w:bookmarkStart w:id="34" w:name="_Toc490484048"/>
      <w:bookmarkStart w:id="35" w:name="_Toc493163367"/>
      <w:bookmarkEnd w:id="24"/>
      <w:bookmarkEnd w:id="25"/>
      <w:bookmarkEnd w:id="27"/>
      <w:bookmarkEnd w:id="28"/>
      <w:bookmarkEnd w:id="29"/>
      <w:bookmarkEnd w:id="30"/>
      <w:bookmarkEnd w:id="31"/>
      <w:r w:rsidRPr="00A67290">
        <w:t>Responsible SERC G</w:t>
      </w:r>
      <w:r w:rsidR="00B50FAB" w:rsidRPr="00A67290">
        <w:t>roup(s)</w:t>
      </w:r>
      <w:bookmarkEnd w:id="26"/>
      <w:bookmarkEnd w:id="32"/>
      <w:bookmarkEnd w:id="33"/>
      <w:bookmarkEnd w:id="34"/>
      <w:bookmarkEnd w:id="35"/>
    </w:p>
    <w:p w:rsidR="002E331F" w:rsidRDefault="002E331F" w:rsidP="00E239BC">
      <w:r>
        <w:t>The firm flow issue was identified</w:t>
      </w:r>
      <w:r w:rsidR="003B2C45" w:rsidRPr="003B2C45">
        <w:t xml:space="preserve"> </w:t>
      </w:r>
      <w:r w:rsidR="003B2C45">
        <w:t>initially</w:t>
      </w:r>
      <w:r>
        <w:t xml:space="preserve"> at </w:t>
      </w:r>
      <w:r w:rsidR="00C66545">
        <w:t xml:space="preserve">the </w:t>
      </w:r>
      <w:r w:rsidR="005B2C3F">
        <w:t xml:space="preserve">2013 </w:t>
      </w:r>
      <w:r w:rsidR="00C66545">
        <w:t xml:space="preserve">SERC </w:t>
      </w:r>
      <w:r>
        <w:t>summer regional studies meeting</w:t>
      </w:r>
      <w:r w:rsidR="00C66545">
        <w:t>s</w:t>
      </w:r>
      <w:r>
        <w:t>. The</w:t>
      </w:r>
      <w:r w:rsidR="003B2C45">
        <w:t xml:space="preserve"> SERC Reliability Risk Team (RRT)</w:t>
      </w:r>
      <w:r>
        <w:t xml:space="preserve"> </w:t>
      </w:r>
      <w:r w:rsidR="003B2C45">
        <w:t xml:space="preserve">formally documented this </w:t>
      </w:r>
      <w:r w:rsidR="005B2C3F">
        <w:t xml:space="preserve">concern </w:t>
      </w:r>
      <w:r w:rsidR="001E606F">
        <w:t>in the 2015 RRT report</w:t>
      </w:r>
      <w:r>
        <w:t>. The EC formed the</w:t>
      </w:r>
      <w:r w:rsidR="001E606F">
        <w:t xml:space="preserve"> FFTF at its October 2016 meeting. </w:t>
      </w:r>
      <w:r>
        <w:t xml:space="preserve">  </w:t>
      </w:r>
    </w:p>
    <w:p w:rsidR="00A92A99" w:rsidRPr="003E7B77" w:rsidRDefault="007124EB" w:rsidP="00A92A99">
      <w:pPr>
        <w:pStyle w:val="Heading2"/>
      </w:pPr>
      <w:bookmarkStart w:id="36" w:name="_Toc493163368"/>
      <w:r>
        <w:t>Study Contributors</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3B2C45" w:rsidRPr="003B2C45" w:rsidTr="003B2C45">
        <w:tc>
          <w:tcPr>
            <w:tcW w:w="9350" w:type="dxa"/>
            <w:gridSpan w:val="2"/>
            <w:shd w:val="clear" w:color="auto" w:fill="B8CCE4" w:themeFill="accent1" w:themeFillTint="66"/>
          </w:tcPr>
          <w:p w:rsidR="003B2C45" w:rsidRPr="003B2C45" w:rsidRDefault="003B2C45" w:rsidP="007124EB">
            <w:pPr>
              <w:rPr>
                <w:b/>
              </w:rPr>
            </w:pPr>
            <w:r w:rsidRPr="003B2C45">
              <w:rPr>
                <w:b/>
              </w:rPr>
              <w:t xml:space="preserve">SERC staff: </w:t>
            </w:r>
            <w:r w:rsidRPr="003B2C45">
              <w:rPr>
                <w:b/>
              </w:rPr>
              <w:tab/>
            </w:r>
          </w:p>
        </w:tc>
      </w:tr>
      <w:tr w:rsidR="003B2C45" w:rsidRPr="003B2C45" w:rsidTr="007124EB">
        <w:tc>
          <w:tcPr>
            <w:tcW w:w="9350" w:type="dxa"/>
            <w:gridSpan w:val="2"/>
          </w:tcPr>
          <w:p w:rsidR="003B2C45" w:rsidRPr="003B2C45" w:rsidRDefault="003B2C45" w:rsidP="007124EB">
            <w:r w:rsidRPr="003B2C45">
              <w:t>Evan Shuvo (SERC Lead)</w:t>
            </w:r>
          </w:p>
        </w:tc>
      </w:tr>
      <w:tr w:rsidR="003B2C45" w:rsidRPr="003B2C45" w:rsidTr="003B2C45">
        <w:tc>
          <w:tcPr>
            <w:tcW w:w="2425" w:type="dxa"/>
          </w:tcPr>
          <w:p w:rsidR="003B2C45" w:rsidRPr="003B2C45" w:rsidRDefault="003B2C45" w:rsidP="003B2C45">
            <w:r w:rsidRPr="003B2C45">
              <w:t>Nate Davis</w:t>
            </w:r>
          </w:p>
        </w:tc>
        <w:tc>
          <w:tcPr>
            <w:tcW w:w="6925" w:type="dxa"/>
          </w:tcPr>
          <w:p w:rsidR="003B2C45" w:rsidRPr="003B2C45" w:rsidRDefault="003B2C45" w:rsidP="007124EB"/>
        </w:tc>
      </w:tr>
      <w:tr w:rsidR="003B2C45" w:rsidRPr="003B2C45" w:rsidTr="003B2C45">
        <w:tc>
          <w:tcPr>
            <w:tcW w:w="2425" w:type="dxa"/>
          </w:tcPr>
          <w:p w:rsidR="003B2C45" w:rsidRPr="003B2C45" w:rsidRDefault="003B2C45" w:rsidP="003B2C45">
            <w:r>
              <w:t>Travis Tate</w:t>
            </w:r>
          </w:p>
        </w:tc>
        <w:tc>
          <w:tcPr>
            <w:tcW w:w="6925" w:type="dxa"/>
          </w:tcPr>
          <w:p w:rsidR="003B2C45" w:rsidRPr="003B2C45" w:rsidRDefault="003B2C45" w:rsidP="007124EB"/>
        </w:tc>
      </w:tr>
      <w:tr w:rsidR="003B2C45" w:rsidRPr="003B2C45" w:rsidTr="003B2C45">
        <w:tc>
          <w:tcPr>
            <w:tcW w:w="2425" w:type="dxa"/>
          </w:tcPr>
          <w:p w:rsidR="003B2C45" w:rsidRPr="003B2C45" w:rsidRDefault="003B2C45" w:rsidP="007124EB">
            <w:r w:rsidRPr="003B2C45">
              <w:t>Joe Spencer</w:t>
            </w:r>
          </w:p>
        </w:tc>
        <w:tc>
          <w:tcPr>
            <w:tcW w:w="6925" w:type="dxa"/>
          </w:tcPr>
          <w:p w:rsidR="003B2C45" w:rsidRPr="003B2C45" w:rsidRDefault="003B2C45" w:rsidP="007124EB"/>
        </w:tc>
      </w:tr>
      <w:tr w:rsidR="003B2C45" w:rsidRPr="003B2C45" w:rsidTr="003B2C45">
        <w:tc>
          <w:tcPr>
            <w:tcW w:w="9350" w:type="dxa"/>
            <w:gridSpan w:val="2"/>
            <w:shd w:val="clear" w:color="auto" w:fill="B8CCE4" w:themeFill="accent1" w:themeFillTint="66"/>
          </w:tcPr>
          <w:p w:rsidR="003B2C45" w:rsidRPr="003B2C45" w:rsidRDefault="003B2C45" w:rsidP="007124EB">
            <w:pPr>
              <w:rPr>
                <w:b/>
              </w:rPr>
            </w:pPr>
            <w:r w:rsidRPr="003B2C45">
              <w:rPr>
                <w:b/>
              </w:rPr>
              <w:t>SERC Technical Committee Leads:</w:t>
            </w:r>
          </w:p>
        </w:tc>
      </w:tr>
      <w:tr w:rsidR="003B2C45" w:rsidRPr="003B2C45" w:rsidTr="003B2C45">
        <w:tc>
          <w:tcPr>
            <w:tcW w:w="2425" w:type="dxa"/>
          </w:tcPr>
          <w:p w:rsidR="003B2C45" w:rsidRPr="003B2C45" w:rsidRDefault="003B2C45" w:rsidP="003B2C45">
            <w:r>
              <w:lastRenderedPageBreak/>
              <w:t>Marjorie Parsons</w:t>
            </w:r>
            <w:r w:rsidRPr="003B2C45">
              <w:t xml:space="preserve"> </w:t>
            </w:r>
          </w:p>
        </w:tc>
        <w:tc>
          <w:tcPr>
            <w:tcW w:w="6925" w:type="dxa"/>
          </w:tcPr>
          <w:p w:rsidR="003B2C45" w:rsidRPr="003B2C45" w:rsidRDefault="003B2C45" w:rsidP="003B2C45">
            <w:r w:rsidRPr="003B2C45">
              <w:t>Task Force Lead, TVA, Regional Studies Steering Committee (RSSC)</w:t>
            </w:r>
            <w:r>
              <w:t xml:space="preserve"> Chair</w:t>
            </w:r>
          </w:p>
        </w:tc>
      </w:tr>
      <w:tr w:rsidR="003B2C45" w:rsidRPr="003B2C45" w:rsidTr="003B2C45">
        <w:tc>
          <w:tcPr>
            <w:tcW w:w="2425" w:type="dxa"/>
          </w:tcPr>
          <w:p w:rsidR="003B2C45" w:rsidRPr="003B2C45" w:rsidRDefault="003B2C45" w:rsidP="003B2C45">
            <w:r w:rsidRPr="003B2C45">
              <w:t xml:space="preserve">Paul Simoneaux </w:t>
            </w:r>
          </w:p>
        </w:tc>
        <w:tc>
          <w:tcPr>
            <w:tcW w:w="6925" w:type="dxa"/>
          </w:tcPr>
          <w:p w:rsidR="003B2C45" w:rsidRPr="003B2C45" w:rsidRDefault="003B2C45" w:rsidP="003B2C45">
            <w:r>
              <w:t>Entergy, RSSC Vice-chair</w:t>
            </w:r>
          </w:p>
        </w:tc>
      </w:tr>
      <w:tr w:rsidR="003B2C45" w:rsidRPr="003B2C45" w:rsidTr="003B2C45">
        <w:tc>
          <w:tcPr>
            <w:tcW w:w="2425" w:type="dxa"/>
          </w:tcPr>
          <w:p w:rsidR="003B2C45" w:rsidRPr="003B2C45" w:rsidRDefault="003B2C45" w:rsidP="003B2C45">
            <w:r w:rsidRPr="003B2C45">
              <w:t xml:space="preserve">James Normansell </w:t>
            </w:r>
          </w:p>
        </w:tc>
        <w:tc>
          <w:tcPr>
            <w:tcW w:w="6925" w:type="dxa"/>
          </w:tcPr>
          <w:p w:rsidR="003B2C45" w:rsidRPr="003B2C45" w:rsidRDefault="003B2C45" w:rsidP="003B2C45">
            <w:r w:rsidRPr="003B2C45">
              <w:t>TVA, Long-Term Study Group (LTSG)</w:t>
            </w:r>
            <w:r>
              <w:t xml:space="preserve"> Chair</w:t>
            </w:r>
          </w:p>
        </w:tc>
      </w:tr>
      <w:tr w:rsidR="003B2C45" w:rsidRPr="003B2C45" w:rsidTr="003B2C45">
        <w:tc>
          <w:tcPr>
            <w:tcW w:w="9350" w:type="dxa"/>
            <w:gridSpan w:val="2"/>
            <w:shd w:val="clear" w:color="auto" w:fill="B8CCE4" w:themeFill="accent1" w:themeFillTint="66"/>
          </w:tcPr>
          <w:p w:rsidR="003B2C45" w:rsidRPr="003B2C45" w:rsidRDefault="003B2C45" w:rsidP="007124EB">
            <w:pPr>
              <w:rPr>
                <w:b/>
              </w:rPr>
            </w:pPr>
            <w:r w:rsidRPr="003B2C45">
              <w:rPr>
                <w:b/>
              </w:rPr>
              <w:t xml:space="preserve">SME: </w:t>
            </w:r>
          </w:p>
        </w:tc>
      </w:tr>
      <w:tr w:rsidR="003B2C45" w:rsidRPr="003B2C45" w:rsidTr="003B2C45">
        <w:tc>
          <w:tcPr>
            <w:tcW w:w="2425" w:type="dxa"/>
          </w:tcPr>
          <w:p w:rsidR="003B2C45" w:rsidRPr="003B2C45" w:rsidRDefault="003B2C45" w:rsidP="003B2C45">
            <w:r w:rsidRPr="003B2C45">
              <w:t xml:space="preserve">James Manning </w:t>
            </w:r>
          </w:p>
        </w:tc>
        <w:tc>
          <w:tcPr>
            <w:tcW w:w="6925" w:type="dxa"/>
          </w:tcPr>
          <w:p w:rsidR="003B2C45" w:rsidRPr="003B2C45" w:rsidRDefault="003B2C45" w:rsidP="003B2C45">
            <w:r w:rsidRPr="003B2C45">
              <w:t>North Carolina Electric Membership Corporation (NCEMC), North American Energy Standards Board (NAESB) representative</w:t>
            </w:r>
          </w:p>
        </w:tc>
      </w:tr>
      <w:tr w:rsidR="003B2C45" w:rsidRPr="003B2C45" w:rsidTr="003B2C45">
        <w:tc>
          <w:tcPr>
            <w:tcW w:w="2425" w:type="dxa"/>
          </w:tcPr>
          <w:p w:rsidR="003B2C45" w:rsidRPr="003B2C45" w:rsidRDefault="003B2C45" w:rsidP="003B2C45">
            <w:r w:rsidRPr="003B2C45">
              <w:t xml:space="preserve">Jack Armstrong </w:t>
            </w:r>
          </w:p>
        </w:tc>
        <w:tc>
          <w:tcPr>
            <w:tcW w:w="6925" w:type="dxa"/>
          </w:tcPr>
          <w:p w:rsidR="003B2C45" w:rsidRPr="003B2C45" w:rsidRDefault="003B2C45" w:rsidP="007124EB">
            <w:r>
              <w:t>Duke</w:t>
            </w:r>
          </w:p>
        </w:tc>
      </w:tr>
      <w:tr w:rsidR="003B2C45" w:rsidRPr="003B2C45" w:rsidTr="003B2C45">
        <w:tc>
          <w:tcPr>
            <w:tcW w:w="2425" w:type="dxa"/>
          </w:tcPr>
          <w:p w:rsidR="003B2C45" w:rsidRPr="003B2C45" w:rsidRDefault="003B2C45" w:rsidP="003B2C45">
            <w:r w:rsidRPr="003B2C45">
              <w:t xml:space="preserve">Bob Pierce </w:t>
            </w:r>
          </w:p>
        </w:tc>
        <w:tc>
          <w:tcPr>
            <w:tcW w:w="6925" w:type="dxa"/>
          </w:tcPr>
          <w:p w:rsidR="003B2C45" w:rsidRPr="003B2C45" w:rsidRDefault="003B2C45" w:rsidP="007124EB">
            <w:r>
              <w:t>Duke</w:t>
            </w:r>
          </w:p>
        </w:tc>
      </w:tr>
      <w:tr w:rsidR="003B2C45" w:rsidRPr="003B2C45" w:rsidTr="003B2C45">
        <w:tc>
          <w:tcPr>
            <w:tcW w:w="2425" w:type="dxa"/>
          </w:tcPr>
          <w:p w:rsidR="003B2C45" w:rsidRPr="003B2C45" w:rsidRDefault="003B2C45" w:rsidP="003B2C45">
            <w:r w:rsidRPr="003B2C45">
              <w:t xml:space="preserve">Bill Hamilton </w:t>
            </w:r>
          </w:p>
        </w:tc>
        <w:tc>
          <w:tcPr>
            <w:tcW w:w="6925" w:type="dxa"/>
          </w:tcPr>
          <w:p w:rsidR="003B2C45" w:rsidRPr="003B2C45" w:rsidRDefault="003B2C45" w:rsidP="007124EB">
            <w:r>
              <w:t>Entergy</w:t>
            </w:r>
          </w:p>
        </w:tc>
      </w:tr>
      <w:tr w:rsidR="003B2C45" w:rsidRPr="003B2C45" w:rsidTr="003B2C45">
        <w:tc>
          <w:tcPr>
            <w:tcW w:w="2425" w:type="dxa"/>
          </w:tcPr>
          <w:p w:rsidR="003B2C45" w:rsidRPr="003B2C45" w:rsidRDefault="003B2C45" w:rsidP="003B2C45">
            <w:r w:rsidRPr="003B2C45">
              <w:t xml:space="preserve">David Duebner </w:t>
            </w:r>
          </w:p>
        </w:tc>
        <w:tc>
          <w:tcPr>
            <w:tcW w:w="6925" w:type="dxa"/>
          </w:tcPr>
          <w:p w:rsidR="003B2C45" w:rsidRPr="003B2C45" w:rsidRDefault="003B2C45" w:rsidP="007124EB">
            <w:r>
              <w:t>MISO</w:t>
            </w:r>
          </w:p>
        </w:tc>
      </w:tr>
      <w:tr w:rsidR="003B2C45" w:rsidRPr="003B2C45" w:rsidTr="003B2C45">
        <w:tc>
          <w:tcPr>
            <w:tcW w:w="2425" w:type="dxa"/>
          </w:tcPr>
          <w:p w:rsidR="003B2C45" w:rsidRPr="003B2C45" w:rsidRDefault="003B2C45" w:rsidP="003B2C45">
            <w:r w:rsidRPr="003B2C45">
              <w:t>Edin Habibovic</w:t>
            </w:r>
          </w:p>
        </w:tc>
        <w:tc>
          <w:tcPr>
            <w:tcW w:w="6925" w:type="dxa"/>
          </w:tcPr>
          <w:p w:rsidR="003B2C45" w:rsidRPr="003B2C45" w:rsidRDefault="003B2C45" w:rsidP="007124EB">
            <w:r>
              <w:t>MISO</w:t>
            </w:r>
          </w:p>
        </w:tc>
      </w:tr>
      <w:tr w:rsidR="003B2C45" w:rsidRPr="003B2C45" w:rsidTr="003B2C45">
        <w:tc>
          <w:tcPr>
            <w:tcW w:w="2425" w:type="dxa"/>
          </w:tcPr>
          <w:p w:rsidR="003B2C45" w:rsidRPr="003B2C45" w:rsidRDefault="003B2C45" w:rsidP="003B2C45">
            <w:r w:rsidRPr="003B2C45">
              <w:t>Alex Worcester</w:t>
            </w:r>
          </w:p>
        </w:tc>
        <w:tc>
          <w:tcPr>
            <w:tcW w:w="6925" w:type="dxa"/>
          </w:tcPr>
          <w:p w:rsidR="003B2C45" w:rsidRPr="003B2C45" w:rsidRDefault="003B2C45" w:rsidP="007124EB">
            <w:r>
              <w:t>PJM</w:t>
            </w:r>
          </w:p>
        </w:tc>
      </w:tr>
    </w:tbl>
    <w:p w:rsidR="00A92A99" w:rsidRPr="003E7B77" w:rsidRDefault="00A92A99" w:rsidP="00A92A99">
      <w:pPr>
        <w:pStyle w:val="Heading2"/>
      </w:pPr>
      <w:bookmarkStart w:id="37" w:name="_Toc490484050"/>
      <w:bookmarkStart w:id="38" w:name="_Toc493163369"/>
      <w:r w:rsidRPr="003E7B77">
        <w:t xml:space="preserve">Meeting </w:t>
      </w:r>
      <w:r>
        <w:t>S</w:t>
      </w:r>
      <w:r w:rsidRPr="003E7B77">
        <w:t>ummaries</w:t>
      </w:r>
      <w:bookmarkEnd w:id="37"/>
      <w:bookmarkEnd w:id="38"/>
      <w:r w:rsidRPr="003E7B77">
        <w:t xml:space="preserve"> </w:t>
      </w:r>
    </w:p>
    <w:p w:rsidR="00A92A99" w:rsidRPr="00205CEB" w:rsidRDefault="00A92A99" w:rsidP="00A92A99">
      <w:pPr>
        <w:keepNext/>
        <w:rPr>
          <w:rFonts w:cs="Arial"/>
        </w:rPr>
      </w:pPr>
      <w:r w:rsidRPr="00205CEB">
        <w:rPr>
          <w:rFonts w:cs="Arial"/>
        </w:rPr>
        <w:t xml:space="preserve">The FFTF met </w:t>
      </w:r>
      <w:r>
        <w:rPr>
          <w:rFonts w:cs="Arial"/>
        </w:rPr>
        <w:t>three</w:t>
      </w:r>
      <w:r w:rsidRPr="00205CEB">
        <w:rPr>
          <w:rFonts w:cs="Arial"/>
        </w:rPr>
        <w:t xml:space="preserve"> times </w:t>
      </w:r>
      <w:r w:rsidR="002129DC">
        <w:rPr>
          <w:rFonts w:cs="Arial"/>
        </w:rPr>
        <w:t>including</w:t>
      </w:r>
      <w:r w:rsidR="002129DC" w:rsidRPr="00205CEB">
        <w:rPr>
          <w:rFonts w:cs="Arial"/>
        </w:rPr>
        <w:t xml:space="preserve"> </w:t>
      </w:r>
      <w:r w:rsidRPr="00205CEB">
        <w:rPr>
          <w:rFonts w:cs="Arial"/>
        </w:rPr>
        <w:t xml:space="preserve">its kick off </w:t>
      </w:r>
      <w:r w:rsidR="00CB51DD">
        <w:rPr>
          <w:rFonts w:cs="Arial"/>
        </w:rPr>
        <w:t xml:space="preserve">meeting </w:t>
      </w:r>
      <w:r w:rsidRPr="00205CEB">
        <w:rPr>
          <w:rFonts w:cs="Arial"/>
        </w:rPr>
        <w:t xml:space="preserve">on November 7, 2016. While formal meeting minutes are available for each meeting, </w:t>
      </w:r>
      <w:r w:rsidR="003B2C45">
        <w:rPr>
          <w:rFonts w:cs="Arial"/>
        </w:rPr>
        <w:t xml:space="preserve">the following is a </w:t>
      </w:r>
      <w:r w:rsidRPr="00205CEB">
        <w:rPr>
          <w:rFonts w:cs="Arial"/>
        </w:rPr>
        <w:t xml:space="preserve">summary </w:t>
      </w:r>
      <w:r w:rsidR="003B2C45">
        <w:rPr>
          <w:rFonts w:cs="Arial"/>
        </w:rPr>
        <w:t>of</w:t>
      </w:r>
      <w:r w:rsidRPr="00205CEB">
        <w:rPr>
          <w:rFonts w:cs="Arial"/>
        </w:rPr>
        <w:t xml:space="preserve"> </w:t>
      </w:r>
      <w:r w:rsidR="003B2C45">
        <w:rPr>
          <w:rFonts w:cs="Arial"/>
        </w:rPr>
        <w:t xml:space="preserve">items addressed during </w:t>
      </w:r>
      <w:r w:rsidRPr="00205CEB">
        <w:rPr>
          <w:rFonts w:cs="Arial"/>
        </w:rPr>
        <w:t>each meeting</w:t>
      </w:r>
      <w:r w:rsidR="00CB51DD">
        <w:rPr>
          <w:rFonts w:cs="Arial"/>
        </w:rPr>
        <w:t>.</w:t>
      </w:r>
    </w:p>
    <w:p w:rsidR="00A92A99" w:rsidRPr="00AF29CA" w:rsidRDefault="00A92A99" w:rsidP="00A92A99">
      <w:pPr>
        <w:rPr>
          <w:rFonts w:cs="Arial"/>
        </w:rPr>
      </w:pPr>
      <w:r w:rsidRPr="00AF29CA">
        <w:rPr>
          <w:rFonts w:cs="Arial"/>
          <w:b/>
        </w:rPr>
        <w:t>November 7, 2016</w:t>
      </w:r>
    </w:p>
    <w:p w:rsidR="00AF4F03" w:rsidRPr="00AF29CA" w:rsidRDefault="004D172D" w:rsidP="007124EB">
      <w:pPr>
        <w:pStyle w:val="List123"/>
      </w:pPr>
      <w:r>
        <w:t>I</w:t>
      </w:r>
      <w:r w:rsidR="003F6B5F" w:rsidRPr="00AF29CA">
        <w:t>ssues in capturing adequate firm flow information:</w:t>
      </w:r>
    </w:p>
    <w:p w:rsidR="00AF4F03" w:rsidRPr="00AF29CA" w:rsidRDefault="00AF4F03" w:rsidP="007124EB">
      <w:pPr>
        <w:pStyle w:val="Bullet2"/>
      </w:pPr>
      <w:r w:rsidRPr="00AF29CA">
        <w:t xml:space="preserve">What firm transmission services </w:t>
      </w:r>
      <w:r w:rsidR="003B2C45">
        <w:t>should be</w:t>
      </w:r>
      <w:r w:rsidR="003B2C45" w:rsidRPr="00AF29CA">
        <w:t xml:space="preserve"> </w:t>
      </w:r>
      <w:r w:rsidRPr="00AF29CA">
        <w:t>model</w:t>
      </w:r>
      <w:r w:rsidR="003B2C45">
        <w:t>ed</w:t>
      </w:r>
      <w:r w:rsidRPr="00AF29CA">
        <w:t>, and at what level (</w:t>
      </w:r>
      <w:r w:rsidR="004D172D" w:rsidRPr="003B2C45">
        <w:rPr>
          <w:i/>
        </w:rPr>
        <w:t>e.g.</w:t>
      </w:r>
      <w:r w:rsidR="003B2C45">
        <w:t>,</w:t>
      </w:r>
      <w:r w:rsidR="001A6D48">
        <w:t xml:space="preserve"> </w:t>
      </w:r>
      <w:r w:rsidR="007124EB">
        <w:t>how</w:t>
      </w:r>
      <w:r w:rsidR="003B2C45" w:rsidRPr="00AF29CA">
        <w:t xml:space="preserve"> </w:t>
      </w:r>
      <w:r w:rsidRPr="00AF29CA">
        <w:t>do summer, winter</w:t>
      </w:r>
      <w:r w:rsidR="003B2C45">
        <w:t>,</w:t>
      </w:r>
      <w:r w:rsidRPr="00AF29CA">
        <w:t xml:space="preserve"> and light load cases vary when there is only one reservation value for the year</w:t>
      </w:r>
      <w:r w:rsidR="003B2C45">
        <w:t>?</w:t>
      </w:r>
      <w:r w:rsidRPr="00AF29CA">
        <w:t>)</w:t>
      </w:r>
    </w:p>
    <w:p w:rsidR="00AF4F03" w:rsidRPr="00AF29CA" w:rsidRDefault="00AF4F03" w:rsidP="007124EB">
      <w:pPr>
        <w:pStyle w:val="Bullet2"/>
      </w:pPr>
      <w:r w:rsidRPr="00AF29CA">
        <w:t xml:space="preserve">When and how to model partial paths </w:t>
      </w:r>
    </w:p>
    <w:p w:rsidR="00AF4F03" w:rsidRPr="00AF29CA" w:rsidRDefault="00AF4F03" w:rsidP="007124EB">
      <w:pPr>
        <w:pStyle w:val="Bullet2"/>
      </w:pPr>
      <w:r w:rsidRPr="00AF29CA">
        <w:t xml:space="preserve">How to validate </w:t>
      </w:r>
      <w:r w:rsidR="004D172D">
        <w:t>and</w:t>
      </w:r>
      <w:r w:rsidRPr="00AF29CA">
        <w:t xml:space="preserve"> verify if certain transactions were modeled</w:t>
      </w:r>
    </w:p>
    <w:p w:rsidR="003F6B5F" w:rsidRPr="00AF29CA" w:rsidRDefault="003F6B5F" w:rsidP="007124EB">
      <w:pPr>
        <w:pStyle w:val="Bullet2"/>
      </w:pPr>
      <w:r w:rsidRPr="00AF29CA">
        <w:t xml:space="preserve">OASIS tool not sufficient for use in transmission planning </w:t>
      </w:r>
    </w:p>
    <w:p w:rsidR="00AF4F03" w:rsidRPr="00AF29CA" w:rsidRDefault="00AF4F03" w:rsidP="007124EB">
      <w:pPr>
        <w:pStyle w:val="Bullet2"/>
      </w:pPr>
      <w:r w:rsidRPr="00AF29CA">
        <w:t>Steps to take when cor</w:t>
      </w:r>
      <w:r w:rsidR="00AF29CA" w:rsidRPr="00AF29CA">
        <w:t xml:space="preserve">e models are not reflective of </w:t>
      </w:r>
      <w:r w:rsidRPr="00AF29CA">
        <w:t>expected transactions</w:t>
      </w:r>
    </w:p>
    <w:p w:rsidR="00AF4F03" w:rsidRPr="00AF29CA" w:rsidRDefault="00AF4F03" w:rsidP="007124EB">
      <w:pPr>
        <w:pStyle w:val="Bullet2"/>
      </w:pPr>
      <w:r w:rsidRPr="00AF29CA">
        <w:t>Training needs</w:t>
      </w:r>
      <w:r w:rsidR="004D172D">
        <w:t xml:space="preserve"> for</w:t>
      </w:r>
      <w:r w:rsidRPr="00AF29CA">
        <w:t xml:space="preserve"> a consistent strategy for stakeholders</w:t>
      </w:r>
    </w:p>
    <w:p w:rsidR="00E97658" w:rsidRPr="00AF29CA" w:rsidRDefault="000037DF" w:rsidP="007124EB">
      <w:pPr>
        <w:pStyle w:val="List123"/>
      </w:pPr>
      <w:r>
        <w:t xml:space="preserve">Further action from </w:t>
      </w:r>
      <w:r w:rsidR="00E97658" w:rsidRPr="00AF29CA">
        <w:t>NAESB</w:t>
      </w:r>
      <w:r>
        <w:t xml:space="preserve"> will require </w:t>
      </w:r>
      <w:r w:rsidR="00E97658" w:rsidRPr="00AF29CA">
        <w:t>SERC committee or staff justification.</w:t>
      </w:r>
    </w:p>
    <w:p w:rsidR="00E41F04" w:rsidRPr="003B2C45" w:rsidRDefault="007124EB" w:rsidP="007124EB">
      <w:pPr>
        <w:pStyle w:val="List123"/>
      </w:pPr>
      <w:r>
        <w:t xml:space="preserve">Report </w:t>
      </w:r>
      <w:r w:rsidR="004D172D" w:rsidRPr="003B2C45">
        <w:t xml:space="preserve">needed </w:t>
      </w:r>
      <w:r w:rsidR="00E41F04" w:rsidRPr="003B2C45">
        <w:t xml:space="preserve">to capture improvements made and </w:t>
      </w:r>
      <w:r w:rsidR="004D172D" w:rsidRPr="003B2C45">
        <w:t>provide a plan forward</w:t>
      </w:r>
      <w:r w:rsidR="00CB51DD">
        <w:t>.</w:t>
      </w:r>
      <w:r w:rsidR="004D172D" w:rsidRPr="003B2C45">
        <w:t xml:space="preserve"> </w:t>
      </w:r>
    </w:p>
    <w:p w:rsidR="00A92A99" w:rsidRPr="00AF29CA" w:rsidRDefault="00A92A99" w:rsidP="00E41F04">
      <w:pPr>
        <w:pStyle w:val="List123"/>
        <w:numPr>
          <w:ilvl w:val="0"/>
          <w:numId w:val="0"/>
        </w:numPr>
        <w:ind w:left="1267"/>
        <w:rPr>
          <w:rFonts w:cs="Arial"/>
        </w:rPr>
      </w:pPr>
    </w:p>
    <w:p w:rsidR="00A92A99" w:rsidRPr="00AF29CA" w:rsidRDefault="00A92A99" w:rsidP="00A92A99">
      <w:pPr>
        <w:pStyle w:val="List123"/>
        <w:numPr>
          <w:ilvl w:val="0"/>
          <w:numId w:val="0"/>
        </w:numPr>
        <w:rPr>
          <w:rFonts w:cs="Arial"/>
        </w:rPr>
      </w:pPr>
      <w:r w:rsidRPr="00AF29CA">
        <w:rPr>
          <w:rFonts w:cs="Arial"/>
          <w:b/>
        </w:rPr>
        <w:t>February 23, 2017:</w:t>
      </w:r>
    </w:p>
    <w:p w:rsidR="000037DF" w:rsidRDefault="000037DF" w:rsidP="007124EB">
      <w:pPr>
        <w:ind w:firstLine="720"/>
      </w:pPr>
      <w:r>
        <w:t>Report content to include:</w:t>
      </w:r>
    </w:p>
    <w:p w:rsidR="000037DF" w:rsidRDefault="007124EB" w:rsidP="007124EB">
      <w:pPr>
        <w:pStyle w:val="Bullet2"/>
      </w:pPr>
      <w:r>
        <w:lastRenderedPageBreak/>
        <w:t>H</w:t>
      </w:r>
      <w:r w:rsidR="000037DF">
        <w:t>istory</w:t>
      </w:r>
      <w:r>
        <w:t>;</w:t>
      </w:r>
    </w:p>
    <w:p w:rsidR="000037DF" w:rsidRDefault="007124EB" w:rsidP="007124EB">
      <w:pPr>
        <w:pStyle w:val="Bullet2"/>
      </w:pPr>
      <w:r>
        <w:t>I</w:t>
      </w:r>
      <w:r w:rsidR="00AF4F03" w:rsidRPr="00AF29CA">
        <w:t>mplicat</w:t>
      </w:r>
      <w:r w:rsidR="00AF29CA" w:rsidRPr="00AF29CA">
        <w:t xml:space="preserve">ions to LTSG/NTSG and MMWG; </w:t>
      </w:r>
    </w:p>
    <w:p w:rsidR="000037DF" w:rsidRDefault="00AF4F03" w:rsidP="007124EB">
      <w:pPr>
        <w:pStyle w:val="Bullet2"/>
      </w:pPr>
      <w:r w:rsidRPr="00AF29CA">
        <w:t>NAESB discussions</w:t>
      </w:r>
      <w:r w:rsidR="00AF29CA" w:rsidRPr="00AF29CA">
        <w:t xml:space="preserve">; </w:t>
      </w:r>
    </w:p>
    <w:p w:rsidR="000037DF" w:rsidRDefault="00AF4F03" w:rsidP="007124EB">
      <w:pPr>
        <w:pStyle w:val="Bullet2"/>
      </w:pPr>
      <w:r w:rsidRPr="00AF29CA">
        <w:t xml:space="preserve">PC </w:t>
      </w:r>
      <w:r w:rsidR="00AF29CA" w:rsidRPr="00AF29CA">
        <w:t>a</w:t>
      </w:r>
      <w:r w:rsidRPr="00AF29CA">
        <w:t xml:space="preserve">ssessment of Issue </w:t>
      </w:r>
    </w:p>
    <w:p w:rsidR="00707EFC" w:rsidRDefault="00AF4F03" w:rsidP="007124EB">
      <w:pPr>
        <w:pStyle w:val="Bullet2"/>
      </w:pPr>
      <w:r w:rsidRPr="00AF29CA">
        <w:t>MOD 32 and 33 Impact</w:t>
      </w:r>
      <w:r w:rsidR="00AF29CA" w:rsidRPr="00AF29CA">
        <w:t>;</w:t>
      </w:r>
      <w:r w:rsidRPr="00AF29CA">
        <w:t xml:space="preserve"> </w:t>
      </w:r>
    </w:p>
    <w:p w:rsidR="00707EFC" w:rsidRDefault="00707EFC" w:rsidP="007124EB">
      <w:pPr>
        <w:pStyle w:val="Bullet2"/>
      </w:pPr>
      <w:r>
        <w:t>Summary and recommendations</w:t>
      </w:r>
      <w:r w:rsidR="007124EB">
        <w:t>;</w:t>
      </w:r>
    </w:p>
    <w:p w:rsidR="00707EFC" w:rsidRDefault="00707EFC" w:rsidP="007124EB">
      <w:pPr>
        <w:pStyle w:val="Bullet2"/>
      </w:pPr>
      <w:r>
        <w:t>Report draft by March</w:t>
      </w:r>
      <w:r w:rsidR="000030A7">
        <w:t xml:space="preserve"> </w:t>
      </w:r>
      <w:r w:rsidR="007124EB">
        <w:t>31;</w:t>
      </w:r>
      <w:r>
        <w:t xml:space="preserve"> 2</w:t>
      </w:r>
      <w:r w:rsidRPr="00707EFC">
        <w:rPr>
          <w:vertAlign w:val="superscript"/>
        </w:rPr>
        <w:t>nd</w:t>
      </w:r>
      <w:r>
        <w:t xml:space="preserve"> draft by April 30</w:t>
      </w:r>
      <w:r w:rsidR="00CB51DD">
        <w:t>.</w:t>
      </w:r>
    </w:p>
    <w:p w:rsidR="00AF29CA" w:rsidRPr="00AF29CA" w:rsidRDefault="00AF29CA" w:rsidP="00707EFC">
      <w:pPr>
        <w:pStyle w:val="List123"/>
        <w:numPr>
          <w:ilvl w:val="0"/>
          <w:numId w:val="0"/>
        </w:numPr>
        <w:ind w:left="720"/>
      </w:pPr>
    </w:p>
    <w:p w:rsidR="00A92A99" w:rsidRPr="00AF29CA" w:rsidRDefault="00A92A99" w:rsidP="00AF29CA">
      <w:pPr>
        <w:pStyle w:val="List123"/>
        <w:numPr>
          <w:ilvl w:val="0"/>
          <w:numId w:val="0"/>
        </w:numPr>
        <w:rPr>
          <w:rFonts w:cs="Arial"/>
        </w:rPr>
      </w:pPr>
      <w:r w:rsidRPr="00AF29CA">
        <w:rPr>
          <w:rFonts w:cs="Arial"/>
          <w:b/>
        </w:rPr>
        <w:t>March 3, 2017:</w:t>
      </w:r>
    </w:p>
    <w:p w:rsidR="00A92A99" w:rsidRPr="00AF29CA" w:rsidRDefault="008D28D2" w:rsidP="007124EB">
      <w:pPr>
        <w:pStyle w:val="Bullet1"/>
      </w:pPr>
      <w:r>
        <w:t>P</w:t>
      </w:r>
      <w:r w:rsidR="003F6B5F" w:rsidRPr="00AF29CA">
        <w:t>reliminary</w:t>
      </w:r>
      <w:r w:rsidR="006064D8" w:rsidRPr="00AF29CA">
        <w:t xml:space="preserve"> report</w:t>
      </w:r>
      <w:r>
        <w:t xml:space="preserve"> review</w:t>
      </w:r>
    </w:p>
    <w:p w:rsidR="00A92A99" w:rsidRPr="00AF29CA" w:rsidRDefault="003F6B5F" w:rsidP="007124EB">
      <w:pPr>
        <w:pStyle w:val="Bullet1"/>
      </w:pPr>
      <w:r w:rsidRPr="00AF29CA">
        <w:t xml:space="preserve">SERC </w:t>
      </w:r>
      <w:r w:rsidR="005F0D18" w:rsidRPr="00AF29CA">
        <w:t xml:space="preserve">PC members to </w:t>
      </w:r>
      <w:r w:rsidR="008D28D2">
        <w:t xml:space="preserve">provide their entities’ process for firm flow reservation/modeling. </w:t>
      </w:r>
    </w:p>
    <w:p w:rsidR="002A7AFF" w:rsidRDefault="00A92A99" w:rsidP="00A92A99">
      <w:pPr>
        <w:pStyle w:val="Heading1"/>
      </w:pPr>
      <w:bookmarkStart w:id="39" w:name="_Toc395190984"/>
      <w:bookmarkStart w:id="40" w:name="_Toc404602951"/>
      <w:bookmarkStart w:id="41" w:name="_Toc405972828"/>
      <w:bookmarkStart w:id="42" w:name="_Toc490484051"/>
      <w:bookmarkStart w:id="43" w:name="_Toc493163370"/>
      <w:r>
        <w:t xml:space="preserve">Firm Flow </w:t>
      </w:r>
      <w:bookmarkEnd w:id="39"/>
      <w:bookmarkEnd w:id="40"/>
      <w:bookmarkEnd w:id="41"/>
      <w:r>
        <w:t>Task Force Status Report</w:t>
      </w:r>
      <w:bookmarkEnd w:id="42"/>
      <w:bookmarkEnd w:id="43"/>
    </w:p>
    <w:p w:rsidR="002A7AFF" w:rsidRDefault="004446D9" w:rsidP="00B21D98">
      <w:pPr>
        <w:pStyle w:val="Heading2"/>
      </w:pPr>
      <w:bookmarkStart w:id="44" w:name="_Toc492984992"/>
      <w:bookmarkStart w:id="45" w:name="_Toc493163371"/>
      <w:bookmarkStart w:id="46" w:name="_Toc490484052"/>
      <w:bookmarkStart w:id="47" w:name="_Toc493163372"/>
      <w:bookmarkEnd w:id="44"/>
      <w:bookmarkEnd w:id="45"/>
      <w:r w:rsidRPr="003E7B77">
        <w:t>Background</w:t>
      </w:r>
      <w:bookmarkEnd w:id="46"/>
      <w:bookmarkEnd w:id="47"/>
    </w:p>
    <w:p w:rsidR="00880F8D" w:rsidRPr="00B8767C" w:rsidRDefault="00592D42" w:rsidP="00880F8D">
      <w:pPr>
        <w:rPr>
          <w:rFonts w:cs="Arial"/>
        </w:rPr>
      </w:pPr>
      <w:r>
        <w:rPr>
          <w:rFonts w:cs="Arial"/>
        </w:rPr>
        <w:t>In the 2013-2014 time</w:t>
      </w:r>
      <w:r w:rsidR="003B2C45">
        <w:rPr>
          <w:rFonts w:cs="Arial"/>
        </w:rPr>
        <w:t xml:space="preserve"> </w:t>
      </w:r>
      <w:r>
        <w:rPr>
          <w:rFonts w:cs="Arial"/>
        </w:rPr>
        <w:t>frame, t</w:t>
      </w:r>
      <w:r w:rsidR="00A27ECF" w:rsidRPr="00B8767C">
        <w:rPr>
          <w:rFonts w:cs="Arial"/>
        </w:rPr>
        <w:t xml:space="preserve">he North Carolina Planning Collaborative </w:t>
      </w:r>
      <w:r>
        <w:rPr>
          <w:rFonts w:cs="Arial"/>
        </w:rPr>
        <w:t>and</w:t>
      </w:r>
      <w:r w:rsidR="00A27ECF" w:rsidRPr="00B8767C">
        <w:rPr>
          <w:rFonts w:cs="Arial"/>
        </w:rPr>
        <w:t xml:space="preserve"> PJM </w:t>
      </w:r>
      <w:r w:rsidR="00D21874" w:rsidRPr="00B8767C">
        <w:rPr>
          <w:rFonts w:cs="Arial"/>
        </w:rPr>
        <w:t xml:space="preserve">(MISO was </w:t>
      </w:r>
      <w:r w:rsidR="00DC1E99">
        <w:rPr>
          <w:rFonts w:cs="Arial"/>
        </w:rPr>
        <w:t xml:space="preserve">also </w:t>
      </w:r>
      <w:r w:rsidR="00D21874" w:rsidRPr="00B8767C">
        <w:rPr>
          <w:rFonts w:cs="Arial"/>
        </w:rPr>
        <w:t>involved administratively)</w:t>
      </w:r>
      <w:r w:rsidR="00A27ECF" w:rsidRPr="00B8767C">
        <w:rPr>
          <w:rFonts w:cs="Arial"/>
        </w:rPr>
        <w:t xml:space="preserve"> performed a joint study </w:t>
      </w:r>
      <w:r w:rsidR="00D21874" w:rsidRPr="00B8767C">
        <w:rPr>
          <w:rFonts w:cs="Arial"/>
        </w:rPr>
        <w:t xml:space="preserve">at the request of the North Carolina Utilities Commission </w:t>
      </w:r>
      <w:r>
        <w:rPr>
          <w:rFonts w:cs="Arial"/>
        </w:rPr>
        <w:t xml:space="preserve">to evaluate </w:t>
      </w:r>
      <w:r w:rsidR="00D21874" w:rsidRPr="00B8767C">
        <w:rPr>
          <w:rFonts w:cs="Arial"/>
        </w:rPr>
        <w:t xml:space="preserve">potential congestion and reliability impacts on the Duke Energy </w:t>
      </w:r>
      <w:r>
        <w:rPr>
          <w:rFonts w:cs="Arial"/>
        </w:rPr>
        <w:t xml:space="preserve">Progress and Carolinas </w:t>
      </w:r>
      <w:r w:rsidR="00D21874" w:rsidRPr="00B8767C">
        <w:rPr>
          <w:rFonts w:cs="Arial"/>
        </w:rPr>
        <w:t>systems</w:t>
      </w:r>
      <w:r w:rsidR="00DC1E99">
        <w:rPr>
          <w:rFonts w:cs="Arial"/>
        </w:rPr>
        <w:t xml:space="preserve">. This </w:t>
      </w:r>
      <w:r w:rsidR="003B2C45">
        <w:rPr>
          <w:rFonts w:cs="Arial"/>
        </w:rPr>
        <w:t xml:space="preserve">request </w:t>
      </w:r>
      <w:r w:rsidR="00DC1E99">
        <w:rPr>
          <w:rFonts w:cs="Arial"/>
        </w:rPr>
        <w:t>was</w:t>
      </w:r>
      <w:r w:rsidR="00D21874" w:rsidRPr="00B8767C">
        <w:rPr>
          <w:rFonts w:cs="Arial"/>
        </w:rPr>
        <w:t xml:space="preserve"> due to an unprecedented amount of external capacity </w:t>
      </w:r>
      <w:r w:rsidR="00DC1E99" w:rsidRPr="00B8767C">
        <w:rPr>
          <w:rFonts w:cs="Arial"/>
        </w:rPr>
        <w:t>(about 7,700 MW)</w:t>
      </w:r>
      <w:r w:rsidR="00DC1E99">
        <w:rPr>
          <w:rFonts w:cs="Arial"/>
        </w:rPr>
        <w:t xml:space="preserve"> </w:t>
      </w:r>
      <w:r w:rsidR="00D21874" w:rsidRPr="00B8767C">
        <w:rPr>
          <w:rFonts w:cs="Arial"/>
        </w:rPr>
        <w:t xml:space="preserve">clearing in PJM’s </w:t>
      </w:r>
      <w:r w:rsidR="00CB51DD">
        <w:rPr>
          <w:rFonts w:cs="Arial"/>
        </w:rPr>
        <w:t>Reliability Pricing Model</w:t>
      </w:r>
      <w:r w:rsidR="00D21874" w:rsidRPr="00B8767C">
        <w:rPr>
          <w:rFonts w:cs="Arial"/>
        </w:rPr>
        <w:t xml:space="preserve"> </w:t>
      </w:r>
      <w:r w:rsidR="00A27ECF" w:rsidRPr="00B8767C">
        <w:rPr>
          <w:rFonts w:cs="Arial"/>
        </w:rPr>
        <w:t xml:space="preserve">Base Residual Auction for the </w:t>
      </w:r>
      <w:r w:rsidR="00D21874" w:rsidRPr="00B8767C">
        <w:rPr>
          <w:rFonts w:cs="Arial"/>
        </w:rPr>
        <w:t xml:space="preserve">delivery </w:t>
      </w:r>
      <w:r w:rsidR="00A27ECF" w:rsidRPr="00B8767C">
        <w:rPr>
          <w:rFonts w:cs="Arial"/>
        </w:rPr>
        <w:t>year 2016</w:t>
      </w:r>
      <w:r w:rsidR="00D21874" w:rsidRPr="00B8767C">
        <w:rPr>
          <w:rFonts w:cs="Arial"/>
        </w:rPr>
        <w:t>/2017 (June 1– May 31)</w:t>
      </w:r>
      <w:r w:rsidR="00A27ECF" w:rsidRPr="00B8767C">
        <w:rPr>
          <w:rFonts w:cs="Arial"/>
        </w:rPr>
        <w:t xml:space="preserve">. </w:t>
      </w:r>
      <w:r w:rsidR="003B2C45">
        <w:rPr>
          <w:rFonts w:cs="Arial"/>
        </w:rPr>
        <w:t>The study revealed</w:t>
      </w:r>
      <w:r>
        <w:rPr>
          <w:rFonts w:cs="Arial"/>
        </w:rPr>
        <w:t xml:space="preserve"> that several thousand megawatts of transactions from the Base Residual Auction were not included </w:t>
      </w:r>
      <w:r w:rsidR="007824BE">
        <w:rPr>
          <w:rFonts w:cs="Arial"/>
        </w:rPr>
        <w:t>within</w:t>
      </w:r>
      <w:r>
        <w:rPr>
          <w:rFonts w:cs="Arial"/>
        </w:rPr>
        <w:t xml:space="preserve"> the </w:t>
      </w:r>
      <w:r w:rsidR="00DC1E99">
        <w:rPr>
          <w:rFonts w:cs="Arial"/>
        </w:rPr>
        <w:t>Multi-regional Modeling working group (</w:t>
      </w:r>
      <w:r>
        <w:rPr>
          <w:rFonts w:cs="Arial"/>
        </w:rPr>
        <w:t>MMWG</w:t>
      </w:r>
      <w:r w:rsidR="00DC1E99">
        <w:rPr>
          <w:rFonts w:cs="Arial"/>
        </w:rPr>
        <w:t>)</w:t>
      </w:r>
      <w:r>
        <w:rPr>
          <w:rFonts w:cs="Arial"/>
        </w:rPr>
        <w:t xml:space="preserve"> models</w:t>
      </w:r>
      <w:r w:rsidR="00F83E3E">
        <w:rPr>
          <w:rFonts w:cs="Arial"/>
        </w:rPr>
        <w:t xml:space="preserve"> of the Eastern Interconnection (EI)</w:t>
      </w:r>
      <w:r>
        <w:rPr>
          <w:rFonts w:cs="Arial"/>
        </w:rPr>
        <w:t xml:space="preserve">. </w:t>
      </w:r>
      <w:r w:rsidR="00CB51DD">
        <w:rPr>
          <w:rFonts w:cs="Arial"/>
        </w:rPr>
        <w:t>These</w:t>
      </w:r>
      <w:r w:rsidR="00A27ECF" w:rsidRPr="00B8767C">
        <w:rPr>
          <w:rFonts w:cs="Arial"/>
        </w:rPr>
        <w:t xml:space="preserve"> </w:t>
      </w:r>
      <w:r w:rsidR="00CB51DD">
        <w:rPr>
          <w:rFonts w:cs="Arial"/>
        </w:rPr>
        <w:t xml:space="preserve">omissions </w:t>
      </w:r>
      <w:r w:rsidR="00A27ECF" w:rsidRPr="00B8767C">
        <w:rPr>
          <w:rFonts w:cs="Arial"/>
        </w:rPr>
        <w:t>could have loop flow implications for the entities in the areas</w:t>
      </w:r>
      <w:r w:rsidR="00F83E3E">
        <w:rPr>
          <w:rFonts w:cs="Arial"/>
        </w:rPr>
        <w:t xml:space="preserve"> of focus</w:t>
      </w:r>
      <w:r w:rsidR="00A27ECF" w:rsidRPr="00B8767C">
        <w:rPr>
          <w:rFonts w:cs="Arial"/>
        </w:rPr>
        <w:t>. The study participants contacted PJM and the LTSG members of MISO to better identify firm transmission services</w:t>
      </w:r>
      <w:r>
        <w:rPr>
          <w:rFonts w:cs="Arial"/>
        </w:rPr>
        <w:t xml:space="preserve"> </w:t>
      </w:r>
      <w:r w:rsidR="00DC1E99">
        <w:rPr>
          <w:rFonts w:cs="Arial"/>
        </w:rPr>
        <w:t xml:space="preserve">and </w:t>
      </w:r>
      <w:r>
        <w:rPr>
          <w:rFonts w:cs="Arial"/>
        </w:rPr>
        <w:t>ensur</w:t>
      </w:r>
      <w:r w:rsidR="00DC1E99">
        <w:rPr>
          <w:rFonts w:cs="Arial"/>
        </w:rPr>
        <w:t>e</w:t>
      </w:r>
      <w:r>
        <w:rPr>
          <w:rFonts w:cs="Arial"/>
        </w:rPr>
        <w:t xml:space="preserve"> better MMWG model accuracy</w:t>
      </w:r>
      <w:r w:rsidR="00CB51DD">
        <w:rPr>
          <w:rFonts w:cs="Arial"/>
        </w:rPr>
        <w:t>.</w:t>
      </w:r>
      <w:r>
        <w:rPr>
          <w:rFonts w:cs="Arial"/>
        </w:rPr>
        <w:t xml:space="preserve"> </w:t>
      </w:r>
      <w:r w:rsidR="00C11E15" w:rsidRPr="00B8767C">
        <w:rPr>
          <w:rFonts w:cs="Arial"/>
        </w:rPr>
        <w:t xml:space="preserve">The SERC liaison to </w:t>
      </w:r>
      <w:r>
        <w:rPr>
          <w:rFonts w:cs="Arial"/>
        </w:rPr>
        <w:t xml:space="preserve">the </w:t>
      </w:r>
      <w:r w:rsidR="00C11E15" w:rsidRPr="00B8767C">
        <w:rPr>
          <w:rFonts w:cs="Arial"/>
        </w:rPr>
        <w:t xml:space="preserve">MMWG and SERC study group members worked together to </w:t>
      </w:r>
      <w:r>
        <w:rPr>
          <w:rFonts w:cs="Arial"/>
        </w:rPr>
        <w:t>correct</w:t>
      </w:r>
      <w:r w:rsidR="00C11E15" w:rsidRPr="00B8767C">
        <w:rPr>
          <w:rFonts w:cs="Arial"/>
        </w:rPr>
        <w:t xml:space="preserve"> the interchange issues related to the </w:t>
      </w:r>
      <w:r w:rsidR="00CB51DD">
        <w:rPr>
          <w:rFonts w:cs="Arial"/>
        </w:rPr>
        <w:t>omitted</w:t>
      </w:r>
      <w:r w:rsidR="00CB51DD" w:rsidRPr="00B8767C">
        <w:rPr>
          <w:rFonts w:cs="Arial"/>
        </w:rPr>
        <w:t xml:space="preserve"> </w:t>
      </w:r>
      <w:r w:rsidR="00C11E15" w:rsidRPr="00B8767C">
        <w:rPr>
          <w:rFonts w:cs="Arial"/>
        </w:rPr>
        <w:t>transfers.</w:t>
      </w:r>
    </w:p>
    <w:p w:rsidR="00DF424B" w:rsidRPr="00B8767C" w:rsidRDefault="00592D42" w:rsidP="00DF424B">
      <w:r>
        <w:t>As a result, t</w:t>
      </w:r>
      <w:r w:rsidR="00DF424B" w:rsidRPr="00B8767C">
        <w:t xml:space="preserve">he RRT </w:t>
      </w:r>
      <w:r>
        <w:t>identified</w:t>
      </w:r>
      <w:r w:rsidR="00DF424B" w:rsidRPr="00B8767C">
        <w:t xml:space="preserve"> the </w:t>
      </w:r>
      <w:r>
        <w:t xml:space="preserve">accurate modeling of </w:t>
      </w:r>
      <w:r w:rsidR="00DF424B" w:rsidRPr="00B8767C">
        <w:t xml:space="preserve">firm </w:t>
      </w:r>
      <w:r>
        <w:t xml:space="preserve">interchange in the MMWG as </w:t>
      </w:r>
      <w:r w:rsidR="00FC5E7F" w:rsidRPr="00B8767C">
        <w:t xml:space="preserve">a </w:t>
      </w:r>
      <w:r w:rsidR="003E7DA8">
        <w:t xml:space="preserve">significant </w:t>
      </w:r>
      <w:r w:rsidR="00F83E3E">
        <w:t xml:space="preserve">SERC </w:t>
      </w:r>
      <w:r w:rsidR="002C6D26">
        <w:t xml:space="preserve">planning </w:t>
      </w:r>
      <w:r w:rsidR="00F83E3E">
        <w:t>risk</w:t>
      </w:r>
      <w:r w:rsidR="003B2C45">
        <w:t>;</w:t>
      </w:r>
      <w:r>
        <w:t xml:space="preserve"> the </w:t>
      </w:r>
      <w:r w:rsidR="003E7DA8">
        <w:t>Regional Studies Steering Committee (</w:t>
      </w:r>
      <w:r w:rsidR="00DF424B" w:rsidRPr="00B8767C">
        <w:t>RSSC</w:t>
      </w:r>
      <w:r w:rsidR="003E7DA8">
        <w:t>)</w:t>
      </w:r>
      <w:r w:rsidR="00DF424B" w:rsidRPr="00B8767C">
        <w:t xml:space="preserve"> took an action item to </w:t>
      </w:r>
      <w:r w:rsidR="00DC1E99">
        <w:t xml:space="preserve">assess </w:t>
      </w:r>
      <w:r w:rsidR="00F83E3E">
        <w:t xml:space="preserve">the </w:t>
      </w:r>
      <w:r w:rsidR="00DC1E99">
        <w:t>problem</w:t>
      </w:r>
      <w:r w:rsidR="00F83E3E">
        <w:t>.</w:t>
      </w:r>
      <w:r w:rsidR="00DF424B" w:rsidRPr="00B8767C">
        <w:t xml:space="preserve"> </w:t>
      </w:r>
    </w:p>
    <w:p w:rsidR="00C03BCD" w:rsidRPr="00B8767C" w:rsidRDefault="00C03BCD" w:rsidP="00C03BCD">
      <w:r w:rsidRPr="00B8767C">
        <w:t xml:space="preserve">After the summer 2015 RSSC meeting, </w:t>
      </w:r>
      <w:r w:rsidR="00C55787" w:rsidRPr="00B8767C">
        <w:t>representatives from the LTSG and NAESB W</w:t>
      </w:r>
      <w:r w:rsidR="00F91D3F">
        <w:t xml:space="preserve">orking </w:t>
      </w:r>
      <w:r w:rsidR="00C55787" w:rsidRPr="00B8767C">
        <w:t>G</w:t>
      </w:r>
      <w:r w:rsidR="00F91D3F">
        <w:t>roup</w:t>
      </w:r>
      <w:r w:rsidR="00C55787" w:rsidRPr="00B8767C">
        <w:t xml:space="preserve"> </w:t>
      </w:r>
      <w:r w:rsidRPr="00B8767C">
        <w:t>presented this problem to NAESB</w:t>
      </w:r>
      <w:r w:rsidR="00C55787" w:rsidRPr="00B8767C">
        <w:t xml:space="preserve"> Wholesale Electric Quadrant (WEQ) </w:t>
      </w:r>
      <w:r w:rsidR="003B2C45" w:rsidRPr="003B2C45">
        <w:t>Open Access Same-</w:t>
      </w:r>
      <w:r w:rsidR="00F37DE6">
        <w:t>t</w:t>
      </w:r>
      <w:r w:rsidR="003B2C45" w:rsidRPr="003B2C45">
        <w:t xml:space="preserve">ime Information Systems (OASIS) </w:t>
      </w:r>
      <w:r w:rsidR="00DC1E99">
        <w:t>s</w:t>
      </w:r>
      <w:r w:rsidR="00C55787" w:rsidRPr="00B8767C">
        <w:t>ubcommittee representatives</w:t>
      </w:r>
      <w:r w:rsidR="00592D42">
        <w:t xml:space="preserve"> in an effort to see if </w:t>
      </w:r>
      <w:r w:rsidR="002C6D26">
        <w:t xml:space="preserve">potential </w:t>
      </w:r>
      <w:r w:rsidR="00592D42">
        <w:t xml:space="preserve">OASIS modifications could decrease the number of transactions </w:t>
      </w:r>
      <w:r w:rsidR="003E7DA8">
        <w:t>excluded from the models</w:t>
      </w:r>
      <w:r w:rsidR="00592D42">
        <w:t>.</w:t>
      </w:r>
    </w:p>
    <w:p w:rsidR="00C11E15" w:rsidRPr="00B8767C" w:rsidRDefault="00C03BCD" w:rsidP="00C11E15">
      <w:r w:rsidRPr="00B8767C">
        <w:lastRenderedPageBreak/>
        <w:t>At the October 2016 meeting, t</w:t>
      </w:r>
      <w:r w:rsidR="00C11E15" w:rsidRPr="00B8767C">
        <w:t>he EC generated an action item</w:t>
      </w:r>
      <w:r w:rsidR="009B264F" w:rsidRPr="00B8767C">
        <w:t xml:space="preserve"> for </w:t>
      </w:r>
      <w:r w:rsidR="00F37DE6">
        <w:t xml:space="preserve">the </w:t>
      </w:r>
      <w:r w:rsidR="009B264F" w:rsidRPr="00B8767C">
        <w:t>RSSC to f</w:t>
      </w:r>
      <w:r w:rsidR="00C11E15" w:rsidRPr="00B8767C">
        <w:t xml:space="preserve">orm a task force to identify and address modeling </w:t>
      </w:r>
      <w:r w:rsidR="00583B88">
        <w:t xml:space="preserve">issues </w:t>
      </w:r>
      <w:r w:rsidR="00C11E15" w:rsidRPr="00B8767C">
        <w:t>of firm interchange in the long-t</w:t>
      </w:r>
      <w:r w:rsidR="009B264F" w:rsidRPr="00B8767C">
        <w:t xml:space="preserve">erm and near-term study models. </w:t>
      </w:r>
      <w:r w:rsidR="00583B88">
        <w:t>T</w:t>
      </w:r>
      <w:r w:rsidR="009B264F" w:rsidRPr="00B8767C">
        <w:t xml:space="preserve">he </w:t>
      </w:r>
      <w:r w:rsidR="003B2C45">
        <w:t>RSSC</w:t>
      </w:r>
      <w:r w:rsidR="009B264F" w:rsidRPr="00B8767C">
        <w:t xml:space="preserve"> formed </w:t>
      </w:r>
      <w:r w:rsidR="003B2C45">
        <w:t>the FFTF, which held its</w:t>
      </w:r>
      <w:r w:rsidR="00583B88">
        <w:t xml:space="preserve"> initial meeting </w:t>
      </w:r>
      <w:r w:rsidR="00C962DD" w:rsidRPr="00B8767C">
        <w:t>on November 7, 2016.</w:t>
      </w:r>
    </w:p>
    <w:p w:rsidR="00C93FD2" w:rsidRPr="00AB3255" w:rsidRDefault="00405F35" w:rsidP="000F3DB5">
      <w:pPr>
        <w:pStyle w:val="Heading2"/>
      </w:pPr>
      <w:bookmarkStart w:id="48" w:name="_Toc490484053"/>
      <w:bookmarkStart w:id="49" w:name="_Toc493163373"/>
      <w:r w:rsidRPr="00B8767C">
        <w:t xml:space="preserve">PC Assessment of </w:t>
      </w:r>
      <w:r w:rsidR="00C93FD2">
        <w:t xml:space="preserve">the </w:t>
      </w:r>
      <w:r w:rsidR="005408BD">
        <w:t xml:space="preserve">Firm Flow </w:t>
      </w:r>
      <w:r w:rsidR="00C93FD2">
        <w:t>Issues</w:t>
      </w:r>
      <w:bookmarkEnd w:id="48"/>
      <w:bookmarkEnd w:id="49"/>
    </w:p>
    <w:p w:rsidR="00C93FD2" w:rsidRDefault="00C93FD2" w:rsidP="00C93FD2">
      <w:r>
        <w:t>Actions have been taken to improve the coordination</w:t>
      </w:r>
      <w:r w:rsidR="00650F11">
        <w:t xml:space="preserve"> of firm flows</w:t>
      </w:r>
      <w:r w:rsidR="006A6887">
        <w:t xml:space="preserve"> in assessment models</w:t>
      </w:r>
      <w:r>
        <w:t>. The MMWG Procedure Manual now contains the following direction on coordination of interchange for model development:</w:t>
      </w:r>
    </w:p>
    <w:p w:rsidR="00C93FD2" w:rsidRPr="00650F11" w:rsidRDefault="00650F11" w:rsidP="00650F11">
      <w:pPr>
        <w:pStyle w:val="BodyText"/>
        <w:spacing w:after="0"/>
        <w:ind w:left="720"/>
        <w:contextualSpacing/>
        <w:rPr>
          <w:i/>
        </w:rPr>
      </w:pPr>
      <w:r>
        <w:rPr>
          <w:i/>
        </w:rPr>
        <w:t>“</w:t>
      </w:r>
      <w:r w:rsidR="00C93FD2" w:rsidRPr="00650F11">
        <w:rPr>
          <w:i/>
        </w:rPr>
        <w:t xml:space="preserve">Interchange coordination must be performed to ensure generation resources are allocated to the appropriate Balancing Authority Areas (BAA) and therefore, generation in each BAA is accurately dispatched to meet the BAA’s load plus losses.  The interchange coordination should consider all transactions that have confirmed annual firm transmission service (for one year or longer, including consideration of rollover rights) along the entire path from source to sink and have a firm energy contract for the resource.  The amount of interchange in any given year/season may not utilize the full capacity allowed under the transmission service or energy contract.  The amount of interchange for a year/season should represent the expected and agreed upon firm capacity expected to serve load.  For clarity and understanding, the table should include information identifying the source generation and the associated transmission service request numbers.  It is important that the area where generation resources are expected to be sinking verify that the transfer is properly modeled to ensure the area’s load will be served reliably.  Omission of such firm transfers can create both transmission system reliability concerns, as well as resource planning issues.  Transmission system reliability concerns are created because the models, when used for evaluation of transmission service requests and planning studies, would not contain the flows associated with these firm transfers that are expected to occur in real time. Resource planning issues, such as double counting of resources and incorrect utilization or dispatch priority of generation, may also not be recognized.  </w:t>
      </w:r>
    </w:p>
    <w:p w:rsidR="00C93FD2" w:rsidRPr="00650F11" w:rsidRDefault="00C93FD2" w:rsidP="00650F11">
      <w:pPr>
        <w:pStyle w:val="BodyText"/>
        <w:spacing w:after="0"/>
        <w:ind w:left="2736"/>
        <w:contextualSpacing/>
        <w:rPr>
          <w:i/>
        </w:rPr>
      </w:pPr>
    </w:p>
    <w:p w:rsidR="00C93FD2" w:rsidRPr="00650F11" w:rsidRDefault="00C93FD2" w:rsidP="00650F11">
      <w:pPr>
        <w:pStyle w:val="BodyText"/>
        <w:spacing w:after="0"/>
        <w:ind w:left="720"/>
        <w:contextualSpacing/>
        <w:rPr>
          <w:i/>
        </w:rPr>
      </w:pPr>
      <w:r w:rsidRPr="00650F11">
        <w:rPr>
          <w:i/>
        </w:rPr>
        <w:t>Generation resources and transmission service are frequently not contracted for the entire ten years that the models are developed for.  Coordination of interchange for these cases will require some judgment because all of the required elements (generation contract, source to sink transmission service) may not be available.  Information provided by LSE’s resource forecasts and plans, rollover/renewal of transmission service, and duration of energy contracts should be considered when interchange coordination, particularly in the out-year cases, is being performed.</w:t>
      </w:r>
      <w:r w:rsidR="00650F11">
        <w:rPr>
          <w:i/>
        </w:rPr>
        <w:t>”</w:t>
      </w:r>
    </w:p>
    <w:p w:rsidR="00C93FD2" w:rsidRDefault="00C93FD2" w:rsidP="00C93FD2"/>
    <w:p w:rsidR="00C93FD2" w:rsidRDefault="00C93FD2" w:rsidP="00C93FD2">
      <w:r>
        <w:t xml:space="preserve">The manual’s instructions were improved in 2015 to </w:t>
      </w:r>
      <w:r w:rsidR="00244E59">
        <w:t xml:space="preserve">encourage </w:t>
      </w:r>
      <w:r>
        <w:t>better interchange</w:t>
      </w:r>
      <w:r w:rsidR="00244E59">
        <w:t xml:space="preserve"> coordination.</w:t>
      </w:r>
      <w:r>
        <w:t xml:space="preserve"> The required involvement of Planning Coordinators in model development under MOD-032 has brought better focus </w:t>
      </w:r>
      <w:r w:rsidR="00244E59">
        <w:t xml:space="preserve">and overall awareness </w:t>
      </w:r>
      <w:r>
        <w:t xml:space="preserve">to </w:t>
      </w:r>
      <w:r w:rsidR="00244E59">
        <w:t xml:space="preserve">interchange </w:t>
      </w:r>
      <w:r>
        <w:t>coordination</w:t>
      </w:r>
      <w:r w:rsidR="00244E59">
        <w:t>.</w:t>
      </w:r>
      <w:r w:rsidR="00F91D3F">
        <w:t xml:space="preserve"> </w:t>
      </w:r>
      <w:r w:rsidR="00244E59">
        <w:t xml:space="preserve">Better </w:t>
      </w:r>
      <w:r w:rsidR="000714C8">
        <w:t xml:space="preserve">tools </w:t>
      </w:r>
      <w:r w:rsidR="00F37DE6">
        <w:t xml:space="preserve">for tracking coordination of TSR’s </w:t>
      </w:r>
      <w:r w:rsidR="000714C8">
        <w:t xml:space="preserve">have been created </w:t>
      </w:r>
      <w:r>
        <w:t>and an improvement in known resource plans</w:t>
      </w:r>
      <w:r w:rsidR="00F91D3F">
        <w:t xml:space="preserve"> </w:t>
      </w:r>
      <w:r>
        <w:t>represented in the models</w:t>
      </w:r>
      <w:r w:rsidR="00244E59">
        <w:t xml:space="preserve"> has been noted</w:t>
      </w:r>
      <w:r>
        <w:t xml:space="preserve">.  </w:t>
      </w:r>
    </w:p>
    <w:p w:rsidR="00C93FD2" w:rsidRDefault="00C93FD2" w:rsidP="00C93FD2">
      <w:r>
        <w:lastRenderedPageBreak/>
        <w:t xml:space="preserve">There is no effective way to </w:t>
      </w:r>
      <w:r w:rsidR="006525F3">
        <w:t>ensure</w:t>
      </w:r>
      <w:r>
        <w:t xml:space="preserve"> that all OASIS transactions have been inclu</w:t>
      </w:r>
      <w:r w:rsidR="006525F3">
        <w:t>ded</w:t>
      </w:r>
      <w:r>
        <w:t xml:space="preserve"> in the models, nor </w:t>
      </w:r>
      <w:r w:rsidR="00F37DE6">
        <w:t xml:space="preserve">is there </w:t>
      </w:r>
      <w:r>
        <w:t>an</w:t>
      </w:r>
      <w:r w:rsidR="006525F3">
        <w:t xml:space="preserve"> effective </w:t>
      </w:r>
      <w:r>
        <w:t>metric to measure the performance of the coordination effort. NERC Reliability Standards require model validation and Event Analysis efforts</w:t>
      </w:r>
      <w:r w:rsidR="00F37DE6">
        <w:t>,</w:t>
      </w:r>
      <w:r>
        <w:t xml:space="preserve"> </w:t>
      </w:r>
      <w:r w:rsidR="00E53569">
        <w:t xml:space="preserve">which </w:t>
      </w:r>
      <w:r>
        <w:t xml:space="preserve">offer some </w:t>
      </w:r>
      <w:r w:rsidR="00E53569">
        <w:t xml:space="preserve">assessment of </w:t>
      </w:r>
      <w:r>
        <w:t>the quality of coordination.</w:t>
      </w:r>
    </w:p>
    <w:p w:rsidR="00C93FD2" w:rsidRPr="00E53569" w:rsidRDefault="00C93FD2" w:rsidP="00C93FD2">
      <w:pPr>
        <w:rPr>
          <w:rFonts w:cs="Arial"/>
        </w:rPr>
      </w:pPr>
      <w:r w:rsidRPr="00F76005">
        <w:t xml:space="preserve">As explained in the MMWG Procedure Manual, judgment on the part of participants performing the coordination is required on a variety of issues. Additional information is available to Transmission Planners and Planning Coordinators to better support the decisions they must make. </w:t>
      </w:r>
      <w:r w:rsidRPr="00E53569">
        <w:rPr>
          <w:rFonts w:cs="Arial"/>
        </w:rPr>
        <w:t xml:space="preserve">FERC’s </w:t>
      </w:r>
      <w:r w:rsidR="0025357F">
        <w:rPr>
          <w:rFonts w:cs="Arial"/>
        </w:rPr>
        <w:t>P</w:t>
      </w:r>
      <w:r w:rsidR="0025357F" w:rsidRPr="00E53569">
        <w:rPr>
          <w:rFonts w:cs="Arial"/>
        </w:rPr>
        <w:t>ro</w:t>
      </w:r>
      <w:r w:rsidR="0025357F">
        <w:rPr>
          <w:rFonts w:cs="Arial"/>
        </w:rPr>
        <w:t xml:space="preserve"> F</w:t>
      </w:r>
      <w:r w:rsidRPr="00E53569">
        <w:rPr>
          <w:rFonts w:cs="Arial"/>
        </w:rPr>
        <w:t xml:space="preserve">orma </w:t>
      </w:r>
      <w:r w:rsidR="0025357F">
        <w:rPr>
          <w:rFonts w:cs="Arial"/>
        </w:rPr>
        <w:t>O</w:t>
      </w:r>
      <w:r w:rsidR="003B2C45" w:rsidRPr="003B2C45">
        <w:rPr>
          <w:rFonts w:cs="Arial"/>
        </w:rPr>
        <w:t xml:space="preserve">pen </w:t>
      </w:r>
      <w:r w:rsidR="0025357F">
        <w:rPr>
          <w:rFonts w:cs="Arial"/>
        </w:rPr>
        <w:t>A</w:t>
      </w:r>
      <w:r w:rsidR="003B2C45" w:rsidRPr="003B2C45">
        <w:rPr>
          <w:rFonts w:cs="Arial"/>
        </w:rPr>
        <w:t xml:space="preserve">ccess </w:t>
      </w:r>
      <w:r w:rsidR="0025357F">
        <w:rPr>
          <w:rFonts w:cs="Arial"/>
        </w:rPr>
        <w:t>T</w:t>
      </w:r>
      <w:r w:rsidR="003B2C45" w:rsidRPr="003B2C45">
        <w:rPr>
          <w:rFonts w:cs="Arial"/>
        </w:rPr>
        <w:t xml:space="preserve">ransmission </w:t>
      </w:r>
      <w:r w:rsidR="0025357F">
        <w:rPr>
          <w:rFonts w:cs="Arial"/>
        </w:rPr>
        <w:t>T</w:t>
      </w:r>
      <w:r w:rsidR="003B2C45" w:rsidRPr="003B2C45">
        <w:rPr>
          <w:rFonts w:cs="Arial"/>
        </w:rPr>
        <w:t>ariff (pro forma OATT)</w:t>
      </w:r>
      <w:r w:rsidRPr="00E53569">
        <w:rPr>
          <w:rFonts w:cs="Arial"/>
        </w:rPr>
        <w:t xml:space="preserve"> sections 29.2 and 31.6 require Network Customers </w:t>
      </w:r>
      <w:r w:rsidR="0025357F">
        <w:rPr>
          <w:rFonts w:cs="Arial"/>
        </w:rPr>
        <w:t xml:space="preserve">to </w:t>
      </w:r>
      <w:r w:rsidRPr="00E53569">
        <w:rPr>
          <w:rFonts w:cs="Arial"/>
        </w:rPr>
        <w:t xml:space="preserve">provide a </w:t>
      </w:r>
      <w:r w:rsidR="003B2C45" w:rsidRPr="00E53569">
        <w:rPr>
          <w:rFonts w:cs="Arial"/>
        </w:rPr>
        <w:t>10</w:t>
      </w:r>
      <w:r w:rsidR="003B2C45">
        <w:rPr>
          <w:rFonts w:cs="Arial"/>
        </w:rPr>
        <w:t>-</w:t>
      </w:r>
      <w:r w:rsidRPr="00E53569">
        <w:rPr>
          <w:rFonts w:cs="Arial"/>
        </w:rPr>
        <w:t>year load and</w:t>
      </w:r>
      <w:r w:rsidRPr="000D0E9C">
        <w:rPr>
          <w:rFonts w:cs="Arial"/>
        </w:rPr>
        <w:t xml:space="preserve"> resource</w:t>
      </w:r>
      <w:r w:rsidRPr="00E53569">
        <w:rPr>
          <w:rFonts w:cs="Arial"/>
        </w:rPr>
        <w:t xml:space="preserve"> forecast. Th</w:t>
      </w:r>
      <w:r w:rsidR="00E53569">
        <w:rPr>
          <w:rFonts w:cs="Arial"/>
        </w:rPr>
        <w:t xml:space="preserve">is </w:t>
      </w:r>
      <w:r w:rsidRPr="00E53569">
        <w:rPr>
          <w:rFonts w:cs="Arial"/>
        </w:rPr>
        <w:t>information, coupled with OASIS reservations</w:t>
      </w:r>
      <w:r w:rsidR="00E53569">
        <w:rPr>
          <w:rFonts w:cs="Arial"/>
        </w:rPr>
        <w:t>,</w:t>
      </w:r>
      <w:r w:rsidRPr="00E53569">
        <w:rPr>
          <w:rFonts w:cs="Arial"/>
        </w:rPr>
        <w:t xml:space="preserve"> should provide a better picture of what interchange needs to be modeled. </w:t>
      </w:r>
      <w:r w:rsidR="0025357F">
        <w:rPr>
          <w:rFonts w:cs="Arial"/>
        </w:rPr>
        <w:t>FERC Order 890, Appendix B: P</w:t>
      </w:r>
      <w:r w:rsidR="0025357F" w:rsidRPr="00E53569">
        <w:rPr>
          <w:rFonts w:cs="Arial"/>
        </w:rPr>
        <w:t>ro</w:t>
      </w:r>
      <w:r w:rsidR="0025357F">
        <w:rPr>
          <w:rFonts w:cs="Arial"/>
        </w:rPr>
        <w:t xml:space="preserve"> F</w:t>
      </w:r>
      <w:r w:rsidR="0025357F" w:rsidRPr="00E53569">
        <w:rPr>
          <w:rFonts w:cs="Arial"/>
        </w:rPr>
        <w:t xml:space="preserve">orma </w:t>
      </w:r>
      <w:r w:rsidR="0025357F">
        <w:rPr>
          <w:rFonts w:cs="Arial"/>
        </w:rPr>
        <w:t>O</w:t>
      </w:r>
      <w:r w:rsidR="0025357F" w:rsidRPr="003B2C45">
        <w:rPr>
          <w:rFonts w:cs="Arial"/>
        </w:rPr>
        <w:t xml:space="preserve">pen </w:t>
      </w:r>
      <w:r w:rsidR="0025357F">
        <w:rPr>
          <w:rFonts w:cs="Arial"/>
        </w:rPr>
        <w:t>A</w:t>
      </w:r>
      <w:r w:rsidR="0025357F" w:rsidRPr="003B2C45">
        <w:rPr>
          <w:rFonts w:cs="Arial"/>
        </w:rPr>
        <w:t xml:space="preserve">ccess </w:t>
      </w:r>
      <w:r w:rsidR="0025357F">
        <w:rPr>
          <w:rFonts w:cs="Arial"/>
        </w:rPr>
        <w:t>T</w:t>
      </w:r>
      <w:r w:rsidR="0025357F" w:rsidRPr="003B2C45">
        <w:rPr>
          <w:rFonts w:cs="Arial"/>
        </w:rPr>
        <w:t xml:space="preserve">ransmission </w:t>
      </w:r>
      <w:r w:rsidR="0025357F">
        <w:rPr>
          <w:rFonts w:cs="Arial"/>
        </w:rPr>
        <w:t>T</w:t>
      </w:r>
      <w:r w:rsidR="0025357F" w:rsidRPr="003B2C45">
        <w:rPr>
          <w:rFonts w:cs="Arial"/>
        </w:rPr>
        <w:t>ariff</w:t>
      </w:r>
      <w:r w:rsidR="0025357F">
        <w:rPr>
          <w:rFonts w:cs="Arial"/>
        </w:rPr>
        <w:t>,</w:t>
      </w:r>
      <w:r w:rsidR="0025357F" w:rsidRPr="00E53569" w:rsidDel="0025357F">
        <w:rPr>
          <w:rFonts w:cs="Arial"/>
        </w:rPr>
        <w:t xml:space="preserve"> </w:t>
      </w:r>
      <w:r w:rsidR="0025357F">
        <w:rPr>
          <w:rFonts w:cs="Arial"/>
        </w:rPr>
        <w:t>s</w:t>
      </w:r>
      <w:r w:rsidRPr="00E53569">
        <w:rPr>
          <w:rFonts w:cs="Arial"/>
        </w:rPr>
        <w:t xml:space="preserve">ection 29.2 (v) </w:t>
      </w:r>
      <w:r w:rsidR="0025357F">
        <w:rPr>
          <w:rFonts w:cs="Arial"/>
        </w:rPr>
        <w:t>(pp 102-103) states</w:t>
      </w:r>
    </w:p>
    <w:p w:rsidR="00C93FD2" w:rsidRPr="00E53569" w:rsidRDefault="00E53569" w:rsidP="000D0E9C">
      <w:pPr>
        <w:pStyle w:val="NoSpacing"/>
        <w:ind w:left="720"/>
        <w:rPr>
          <w:rFonts w:ascii="Arial" w:hAnsi="Arial" w:cs="Arial"/>
          <w:i/>
        </w:rPr>
      </w:pPr>
      <w:r>
        <w:rPr>
          <w:rFonts w:ascii="Arial" w:hAnsi="Arial" w:cs="Arial"/>
          <w:i/>
        </w:rPr>
        <w:t>“</w:t>
      </w:r>
      <w:r w:rsidR="00C93FD2" w:rsidRPr="00E53569">
        <w:rPr>
          <w:rFonts w:ascii="Arial" w:hAnsi="Arial" w:cs="Arial"/>
          <w:i/>
        </w:rPr>
        <w:t>For each off-system Network Resource, such description shall</w:t>
      </w:r>
      <w:r w:rsidR="003B2C45">
        <w:rPr>
          <w:rFonts w:ascii="Arial" w:hAnsi="Arial" w:cs="Arial"/>
          <w:i/>
        </w:rPr>
        <w:t xml:space="preserve"> </w:t>
      </w:r>
      <w:r w:rsidR="00C93FD2" w:rsidRPr="00E53569">
        <w:rPr>
          <w:rFonts w:ascii="Arial" w:hAnsi="Arial" w:cs="Arial"/>
          <w:i/>
        </w:rPr>
        <w:t>include:</w:t>
      </w:r>
    </w:p>
    <w:p w:rsidR="00C93FD2" w:rsidRPr="00E53569" w:rsidRDefault="00C93FD2" w:rsidP="00C93FD2">
      <w:pPr>
        <w:pStyle w:val="NoSpacing"/>
        <w:ind w:left="1440"/>
        <w:rPr>
          <w:rFonts w:ascii="Arial" w:hAnsi="Arial" w:cs="Arial"/>
          <w:i/>
        </w:rPr>
      </w:pPr>
    </w:p>
    <w:p w:rsidR="00C93FD2" w:rsidRPr="000D0E9C" w:rsidRDefault="00C93FD2" w:rsidP="000D0E9C">
      <w:pPr>
        <w:pStyle w:val="NoSpacing"/>
        <w:ind w:left="1440"/>
        <w:rPr>
          <w:rFonts w:ascii="Arial" w:hAnsi="Arial" w:cs="Arial"/>
          <w:i/>
        </w:rPr>
      </w:pPr>
      <w:r w:rsidRPr="000D0E9C">
        <w:rPr>
          <w:rFonts w:ascii="Arial" w:hAnsi="Arial" w:cs="Arial"/>
          <w:i/>
        </w:rPr>
        <w:t>• Identification of the Network Resource as an off-system</w:t>
      </w:r>
      <w:r w:rsidR="000D0E9C">
        <w:rPr>
          <w:rFonts w:ascii="Arial" w:hAnsi="Arial" w:cs="Arial"/>
          <w:i/>
        </w:rPr>
        <w:t xml:space="preserve"> </w:t>
      </w:r>
      <w:r w:rsidRPr="000D0E9C">
        <w:rPr>
          <w:rFonts w:ascii="Arial" w:hAnsi="Arial" w:cs="Arial"/>
          <w:i/>
        </w:rPr>
        <w:t>resource</w:t>
      </w:r>
    </w:p>
    <w:p w:rsidR="00C93FD2" w:rsidRPr="000D0E9C" w:rsidRDefault="00C93FD2" w:rsidP="00C93FD2">
      <w:pPr>
        <w:pStyle w:val="NoSpacing"/>
        <w:ind w:left="1440"/>
        <w:rPr>
          <w:rFonts w:ascii="Arial" w:hAnsi="Arial" w:cs="Arial"/>
          <w:i/>
        </w:rPr>
      </w:pPr>
      <w:r w:rsidRPr="000D0E9C">
        <w:rPr>
          <w:rFonts w:ascii="Arial" w:hAnsi="Arial" w:cs="Arial"/>
          <w:i/>
        </w:rPr>
        <w:t>• Amount of power to which the customer has rights</w:t>
      </w:r>
    </w:p>
    <w:p w:rsidR="00C93FD2" w:rsidRPr="000D0E9C" w:rsidRDefault="00C93FD2" w:rsidP="000D0E9C">
      <w:pPr>
        <w:pStyle w:val="NoSpacing"/>
        <w:ind w:left="1440"/>
        <w:rPr>
          <w:rFonts w:ascii="Arial" w:hAnsi="Arial" w:cs="Arial"/>
          <w:i/>
        </w:rPr>
      </w:pPr>
      <w:r w:rsidRPr="000D0E9C">
        <w:rPr>
          <w:rFonts w:ascii="Arial" w:hAnsi="Arial" w:cs="Arial"/>
          <w:i/>
        </w:rPr>
        <w:t>• Identification of the control area from which the power will</w:t>
      </w:r>
      <w:r w:rsidR="000D0E9C">
        <w:rPr>
          <w:rFonts w:ascii="Arial" w:hAnsi="Arial" w:cs="Arial"/>
          <w:i/>
        </w:rPr>
        <w:t xml:space="preserve"> </w:t>
      </w:r>
      <w:r w:rsidRPr="000D0E9C">
        <w:rPr>
          <w:rFonts w:ascii="Arial" w:hAnsi="Arial" w:cs="Arial"/>
          <w:i/>
        </w:rPr>
        <w:t>originate</w:t>
      </w:r>
    </w:p>
    <w:p w:rsidR="00C93FD2" w:rsidRPr="000D0E9C" w:rsidRDefault="00C93FD2" w:rsidP="000D0E9C">
      <w:pPr>
        <w:pStyle w:val="NoSpacing"/>
        <w:ind w:left="1440"/>
        <w:rPr>
          <w:rFonts w:ascii="Arial" w:hAnsi="Arial" w:cs="Arial"/>
          <w:i/>
        </w:rPr>
      </w:pPr>
      <w:r w:rsidRPr="000D0E9C">
        <w:rPr>
          <w:rFonts w:ascii="Arial" w:hAnsi="Arial" w:cs="Arial"/>
          <w:i/>
        </w:rPr>
        <w:t>• Delivery point(s) to the Transmission Provider’s</w:t>
      </w:r>
      <w:r w:rsidR="000D0E9C">
        <w:rPr>
          <w:rFonts w:ascii="Arial" w:hAnsi="Arial" w:cs="Arial"/>
          <w:i/>
        </w:rPr>
        <w:t xml:space="preserve"> </w:t>
      </w:r>
      <w:r w:rsidRPr="000D0E9C">
        <w:rPr>
          <w:rFonts w:ascii="Arial" w:hAnsi="Arial" w:cs="Arial"/>
          <w:i/>
        </w:rPr>
        <w:t>Transmission System</w:t>
      </w:r>
    </w:p>
    <w:p w:rsidR="00C93FD2" w:rsidRPr="000D0E9C" w:rsidRDefault="00C93FD2" w:rsidP="000D0E9C">
      <w:pPr>
        <w:pStyle w:val="NoSpacing"/>
        <w:ind w:left="1440"/>
        <w:rPr>
          <w:rFonts w:ascii="Arial" w:hAnsi="Arial" w:cs="Arial"/>
          <w:i/>
        </w:rPr>
      </w:pPr>
      <w:r w:rsidRPr="000D0E9C">
        <w:rPr>
          <w:rFonts w:ascii="Arial" w:hAnsi="Arial" w:cs="Arial"/>
          <w:i/>
        </w:rPr>
        <w:t>• Transmission arrangements on the external transmission</w:t>
      </w:r>
      <w:r w:rsidR="000D0E9C">
        <w:rPr>
          <w:rFonts w:ascii="Arial" w:hAnsi="Arial" w:cs="Arial"/>
          <w:i/>
        </w:rPr>
        <w:t xml:space="preserve"> </w:t>
      </w:r>
      <w:r w:rsidRPr="000D0E9C">
        <w:rPr>
          <w:rFonts w:ascii="Arial" w:hAnsi="Arial" w:cs="Arial"/>
          <w:i/>
        </w:rPr>
        <w:t>system(s)</w:t>
      </w:r>
    </w:p>
    <w:p w:rsidR="00C93FD2" w:rsidRPr="000D0E9C" w:rsidRDefault="000D0E9C" w:rsidP="00C93FD2">
      <w:pPr>
        <w:pStyle w:val="NoSpacing"/>
        <w:ind w:left="1440"/>
        <w:rPr>
          <w:rFonts w:ascii="Arial" w:hAnsi="Arial" w:cs="Arial"/>
          <w:i/>
        </w:rPr>
      </w:pPr>
      <w:r>
        <w:rPr>
          <w:rFonts w:ascii="Arial" w:hAnsi="Arial" w:cs="Arial"/>
          <w:i/>
        </w:rPr>
        <w:t>• Operating restrictions:</w:t>
      </w:r>
    </w:p>
    <w:p w:rsidR="00C93FD2" w:rsidRPr="000D0E9C" w:rsidRDefault="00C93FD2" w:rsidP="000D0E9C">
      <w:pPr>
        <w:pStyle w:val="NoSpacing"/>
        <w:tabs>
          <w:tab w:val="left" w:pos="2430"/>
        </w:tabs>
        <w:ind w:left="2160"/>
        <w:rPr>
          <w:rFonts w:ascii="Arial" w:hAnsi="Arial" w:cs="Arial"/>
          <w:i/>
        </w:rPr>
      </w:pPr>
      <w:r w:rsidRPr="000D0E9C">
        <w:rPr>
          <w:rFonts w:ascii="Arial" w:hAnsi="Arial" w:cs="Arial"/>
          <w:i/>
        </w:rPr>
        <w:t>− Any periods of restricted operations throughout the year</w:t>
      </w:r>
    </w:p>
    <w:p w:rsidR="00C93FD2" w:rsidRPr="000D0E9C" w:rsidRDefault="00C93FD2" w:rsidP="000D0E9C">
      <w:pPr>
        <w:pStyle w:val="NoSpacing"/>
        <w:tabs>
          <w:tab w:val="left" w:pos="2430"/>
        </w:tabs>
        <w:ind w:left="2160"/>
        <w:rPr>
          <w:rFonts w:ascii="Arial" w:hAnsi="Arial" w:cs="Arial"/>
          <w:i/>
        </w:rPr>
      </w:pPr>
      <w:r w:rsidRPr="000D0E9C">
        <w:rPr>
          <w:rFonts w:ascii="Arial" w:hAnsi="Arial" w:cs="Arial"/>
          <w:i/>
        </w:rPr>
        <w:t>− Maintenance schedules</w:t>
      </w:r>
    </w:p>
    <w:p w:rsidR="00C93FD2" w:rsidRPr="000D0E9C" w:rsidRDefault="00C93FD2" w:rsidP="000D0E9C">
      <w:pPr>
        <w:pStyle w:val="NoSpacing"/>
        <w:tabs>
          <w:tab w:val="left" w:pos="2430"/>
        </w:tabs>
        <w:ind w:left="2160"/>
        <w:rPr>
          <w:rFonts w:ascii="Arial" w:hAnsi="Arial" w:cs="Arial"/>
          <w:i/>
        </w:rPr>
      </w:pPr>
      <w:r w:rsidRPr="000D0E9C">
        <w:rPr>
          <w:rFonts w:ascii="Arial" w:hAnsi="Arial" w:cs="Arial"/>
          <w:i/>
        </w:rPr>
        <w:t>− Minimum loading level of unit</w:t>
      </w:r>
    </w:p>
    <w:p w:rsidR="00C93FD2" w:rsidRPr="000D0E9C" w:rsidRDefault="00C93FD2" w:rsidP="000D0E9C">
      <w:pPr>
        <w:pStyle w:val="NoSpacing"/>
        <w:tabs>
          <w:tab w:val="left" w:pos="2430"/>
        </w:tabs>
        <w:ind w:left="2160"/>
        <w:rPr>
          <w:rFonts w:ascii="Arial" w:hAnsi="Arial" w:cs="Arial"/>
          <w:i/>
        </w:rPr>
      </w:pPr>
      <w:r w:rsidRPr="000D0E9C">
        <w:rPr>
          <w:rFonts w:ascii="Arial" w:hAnsi="Arial" w:cs="Arial"/>
          <w:i/>
        </w:rPr>
        <w:t>− Normal operating level of unit</w:t>
      </w:r>
    </w:p>
    <w:p w:rsidR="00C93FD2" w:rsidRPr="000D0E9C" w:rsidRDefault="00C93FD2" w:rsidP="000D0E9C">
      <w:pPr>
        <w:pStyle w:val="NoSpacing"/>
        <w:tabs>
          <w:tab w:val="left" w:pos="2340"/>
        </w:tabs>
        <w:ind w:left="2340" w:hanging="180"/>
        <w:rPr>
          <w:rFonts w:ascii="Arial" w:hAnsi="Arial" w:cs="Arial"/>
          <w:i/>
        </w:rPr>
      </w:pPr>
      <w:r w:rsidRPr="000D0E9C">
        <w:rPr>
          <w:rFonts w:ascii="Arial" w:hAnsi="Arial" w:cs="Arial"/>
          <w:i/>
        </w:rPr>
        <w:t>− Any must-run unit designations required for system</w:t>
      </w:r>
      <w:r w:rsidR="000D0E9C">
        <w:rPr>
          <w:rFonts w:ascii="Arial" w:hAnsi="Arial" w:cs="Arial"/>
          <w:i/>
        </w:rPr>
        <w:t xml:space="preserve"> reliability or contract </w:t>
      </w:r>
      <w:r w:rsidRPr="000D0E9C">
        <w:rPr>
          <w:rFonts w:ascii="Arial" w:hAnsi="Arial" w:cs="Arial"/>
          <w:i/>
        </w:rPr>
        <w:t>reasons</w:t>
      </w:r>
    </w:p>
    <w:p w:rsidR="00C93FD2" w:rsidRPr="00E53569" w:rsidRDefault="00C93FD2" w:rsidP="000D0E9C">
      <w:pPr>
        <w:pStyle w:val="NoSpacing"/>
        <w:ind w:left="1440"/>
        <w:rPr>
          <w:rFonts w:ascii="Arial" w:hAnsi="Arial" w:cs="Arial"/>
          <w:color w:val="1F497D"/>
        </w:rPr>
      </w:pPr>
      <w:r w:rsidRPr="000D0E9C">
        <w:rPr>
          <w:rFonts w:ascii="Arial" w:hAnsi="Arial" w:cs="Arial"/>
          <w:i/>
        </w:rPr>
        <w:t>• Approximate variable generating cost ($/MWH) for</w:t>
      </w:r>
      <w:r w:rsidR="000D0E9C">
        <w:rPr>
          <w:rFonts w:ascii="Arial" w:hAnsi="Arial" w:cs="Arial"/>
          <w:i/>
        </w:rPr>
        <w:t xml:space="preserve"> </w:t>
      </w:r>
      <w:r w:rsidRPr="000D0E9C">
        <w:rPr>
          <w:rFonts w:ascii="Arial" w:hAnsi="Arial" w:cs="Arial"/>
          <w:i/>
        </w:rPr>
        <w:t>re</w:t>
      </w:r>
      <w:r w:rsidR="000D0E9C">
        <w:rPr>
          <w:rFonts w:ascii="Arial" w:hAnsi="Arial" w:cs="Arial"/>
          <w:i/>
        </w:rPr>
        <w:t>-</w:t>
      </w:r>
      <w:r w:rsidRPr="000D0E9C">
        <w:rPr>
          <w:rFonts w:ascii="Arial" w:hAnsi="Arial" w:cs="Arial"/>
          <w:i/>
        </w:rPr>
        <w:t>dispatch computations</w:t>
      </w:r>
      <w:r w:rsidR="000D0E9C">
        <w:rPr>
          <w:rFonts w:ascii="Arial" w:hAnsi="Arial" w:cs="Arial"/>
          <w:i/>
        </w:rPr>
        <w:t>”</w:t>
      </w:r>
    </w:p>
    <w:p w:rsidR="00C93FD2" w:rsidRDefault="00C93FD2" w:rsidP="00C93FD2">
      <w:pPr>
        <w:rPr>
          <w:rFonts w:ascii="Calibri" w:hAnsi="Calibri" w:cs="Calibri"/>
          <w:color w:val="1F497D"/>
        </w:rPr>
      </w:pPr>
    </w:p>
    <w:p w:rsidR="00C93FD2" w:rsidRDefault="00C93FD2" w:rsidP="00C93FD2">
      <w:r>
        <w:t xml:space="preserve">Although not explicitly called for in the OATT, knowledge of the </w:t>
      </w:r>
      <w:r w:rsidR="00E53569">
        <w:t>n</w:t>
      </w:r>
      <w:r>
        <w:t xml:space="preserve">etwork </w:t>
      </w:r>
      <w:r w:rsidR="00E53569">
        <w:t>c</w:t>
      </w:r>
      <w:r>
        <w:t>ustomer’s priority for specified resources allows for development of resource priority order</w:t>
      </w:r>
      <w:r w:rsidR="006F592A">
        <w:t>. This</w:t>
      </w:r>
      <w:r>
        <w:t xml:space="preserve"> defines </w:t>
      </w:r>
      <w:r w:rsidR="006F592A">
        <w:t>the</w:t>
      </w:r>
      <w:r>
        <w:t xml:space="preserve"> resources required to serve that customer’s load at any level</w:t>
      </w:r>
      <w:r w:rsidR="0025357F">
        <w:t>—light load through peak load—for modeling.</w:t>
      </w:r>
      <w:r>
        <w:t xml:space="preserve"> Transmission Planners and Planning Coordinators should be</w:t>
      </w:r>
      <w:r w:rsidR="0025357F">
        <w:t>come familiar with</w:t>
      </w:r>
      <w:r>
        <w:t xml:space="preserve"> this OATT requirement and acquire this information as part of their annual model development and interchange coordination efforts. Establishing the relationship between projected load in a Balancing Authority Area and the priority of resources acquired to serve that load should allow Transmission Planners and Planning Coordinators to verify </w:t>
      </w:r>
      <w:r w:rsidR="0025357F">
        <w:t xml:space="preserve">models include </w:t>
      </w:r>
      <w:r>
        <w:t>sufficient and appropriate resources to serve the load in their area of responsibility.</w:t>
      </w:r>
    </w:p>
    <w:p w:rsidR="006779E5" w:rsidRDefault="00AA0758" w:rsidP="00921915">
      <w:r>
        <w:t>This effort has focused on improving planning models</w:t>
      </w:r>
      <w:r w:rsidR="0025357F">
        <w:t>;</w:t>
      </w:r>
      <w:r>
        <w:t xml:space="preserve"> however, i</w:t>
      </w:r>
      <w:r w:rsidR="005F1F3E">
        <w:t>t is important to note that economic power transfers occur in real-time. Therefore</w:t>
      </w:r>
      <w:r w:rsidR="001115E6">
        <w:t xml:space="preserve">, a planning model with firm transactions </w:t>
      </w:r>
      <w:r w:rsidR="005F1F3E">
        <w:t>modeled</w:t>
      </w:r>
      <w:r w:rsidR="001115E6">
        <w:t xml:space="preserve"> and minimal economic transactions modeled</w:t>
      </w:r>
      <w:r w:rsidR="005F1F3E">
        <w:t>, will not likely match actual historical performance in real-time. We plan for firm system use. Reliability planning models intentionally do not contain economic transactions.</w:t>
      </w:r>
    </w:p>
    <w:p w:rsidR="00C77D44" w:rsidRPr="00AF29CA" w:rsidRDefault="00163900" w:rsidP="00AF29CA">
      <w:pPr>
        <w:pStyle w:val="Heading2"/>
      </w:pPr>
      <w:bookmarkStart w:id="50" w:name="_Toc490484054"/>
      <w:bookmarkStart w:id="51" w:name="_Toc493163374"/>
      <w:r>
        <w:lastRenderedPageBreak/>
        <w:t>Accounting for</w:t>
      </w:r>
      <w:r w:rsidRPr="00C77D44">
        <w:t xml:space="preserve"> </w:t>
      </w:r>
      <w:r w:rsidR="00C77D44" w:rsidRPr="00C77D44">
        <w:t>Transactions</w:t>
      </w:r>
      <w:bookmarkEnd w:id="50"/>
      <w:r>
        <w:t xml:space="preserve"> by SERC PCs</w:t>
      </w:r>
      <w:bookmarkEnd w:id="51"/>
    </w:p>
    <w:p w:rsidR="00921915" w:rsidRDefault="00C93FD2" w:rsidP="00921915">
      <w:r>
        <w:t xml:space="preserve">To </w:t>
      </w:r>
      <w:r w:rsidR="007C7658">
        <w:t xml:space="preserve">clarify </w:t>
      </w:r>
      <w:r>
        <w:t>the difference</w:t>
      </w:r>
      <w:r w:rsidR="007C7658">
        <w:t>s</w:t>
      </w:r>
      <w:r>
        <w:t xml:space="preserve"> </w:t>
      </w:r>
      <w:r w:rsidR="007C7658">
        <w:t xml:space="preserve">in </w:t>
      </w:r>
      <w:r>
        <w:t xml:space="preserve">Planning Coordinator practices in the SERC </w:t>
      </w:r>
      <w:r w:rsidR="0025357F">
        <w:t>Region</w:t>
      </w:r>
      <w:r>
        <w:t xml:space="preserve">, </w:t>
      </w:r>
      <w:r w:rsidR="0025357F">
        <w:t xml:space="preserve">sections </w:t>
      </w:r>
      <w:r w:rsidR="0025357F">
        <w:fldChar w:fldCharType="begin"/>
      </w:r>
      <w:r w:rsidR="0025357F">
        <w:instrText xml:space="preserve"> REF _Ref493060073 \r \h </w:instrText>
      </w:r>
      <w:r w:rsidR="0025357F">
        <w:fldChar w:fldCharType="separate"/>
      </w:r>
      <w:r w:rsidR="0025357F">
        <w:t>3.3.1</w:t>
      </w:r>
      <w:r w:rsidR="0025357F">
        <w:fldChar w:fldCharType="end"/>
      </w:r>
      <w:r w:rsidR="006779E5">
        <w:t xml:space="preserve"> through </w:t>
      </w:r>
      <w:r w:rsidR="0025357F">
        <w:fldChar w:fldCharType="begin"/>
      </w:r>
      <w:r w:rsidR="0025357F">
        <w:instrText xml:space="preserve"> REF _Ref493060094 \r \h </w:instrText>
      </w:r>
      <w:r w:rsidR="0025357F">
        <w:fldChar w:fldCharType="separate"/>
      </w:r>
      <w:r w:rsidR="0025357F">
        <w:t>3.3.13</w:t>
      </w:r>
      <w:r w:rsidR="0025357F">
        <w:fldChar w:fldCharType="end"/>
      </w:r>
      <w:r w:rsidR="006779E5">
        <w:t xml:space="preserve"> summari</w:t>
      </w:r>
      <w:r w:rsidR="007C7658">
        <w:t>ze</w:t>
      </w:r>
      <w:r w:rsidR="006779E5">
        <w:t xml:space="preserve"> the majority of the </w:t>
      </w:r>
      <w:r w:rsidR="007C7658">
        <w:t xml:space="preserve">SERC </w:t>
      </w:r>
      <w:r w:rsidR="0025357F">
        <w:t xml:space="preserve">Region </w:t>
      </w:r>
      <w:r w:rsidR="006779E5">
        <w:t>Planning Coordinators</w:t>
      </w:r>
      <w:r w:rsidR="000B1239">
        <w:t>’</w:t>
      </w:r>
      <w:r w:rsidR="006779E5">
        <w:t xml:space="preserve"> </w:t>
      </w:r>
      <w:r w:rsidR="007C7658">
        <w:t xml:space="preserve">practices for including </w:t>
      </w:r>
      <w:r w:rsidR="006779E5">
        <w:t>transaction</w:t>
      </w:r>
      <w:r w:rsidR="007C7658">
        <w:t>s</w:t>
      </w:r>
      <w:r w:rsidR="00F91D3F">
        <w:t xml:space="preserve"> </w:t>
      </w:r>
      <w:r w:rsidR="006779E5">
        <w:t>in their PC load flow model.</w:t>
      </w:r>
    </w:p>
    <w:p w:rsidR="00D3406E" w:rsidRPr="00AF29CA" w:rsidRDefault="00D3406E" w:rsidP="00AF29CA">
      <w:pPr>
        <w:pStyle w:val="Heading3"/>
      </w:pPr>
      <w:bookmarkStart w:id="52" w:name="_Toc492984996"/>
      <w:bookmarkStart w:id="53" w:name="_Toc471989107"/>
      <w:bookmarkStart w:id="54" w:name="_Toc471989487"/>
      <w:bookmarkStart w:id="55" w:name="_Toc471989511"/>
      <w:bookmarkStart w:id="56" w:name="_Toc473152048"/>
      <w:bookmarkStart w:id="57" w:name="_Toc471735762"/>
      <w:bookmarkStart w:id="58" w:name="_Toc471735892"/>
      <w:bookmarkStart w:id="59" w:name="_Toc471735983"/>
      <w:bookmarkStart w:id="60" w:name="_Toc471738329"/>
      <w:bookmarkStart w:id="61" w:name="_Toc471738367"/>
      <w:bookmarkStart w:id="62" w:name="_Toc471738471"/>
      <w:bookmarkStart w:id="63" w:name="_Toc471989108"/>
      <w:bookmarkStart w:id="64" w:name="_Toc471989488"/>
      <w:bookmarkStart w:id="65" w:name="_Toc471989512"/>
      <w:bookmarkStart w:id="66" w:name="_Toc473152049"/>
      <w:bookmarkStart w:id="67" w:name="_Toc471735765"/>
      <w:bookmarkStart w:id="68" w:name="_Toc471735895"/>
      <w:bookmarkStart w:id="69" w:name="_Toc471735986"/>
      <w:bookmarkStart w:id="70" w:name="_Toc471738332"/>
      <w:bookmarkStart w:id="71" w:name="_Toc471738370"/>
      <w:bookmarkStart w:id="72" w:name="_Toc471738474"/>
      <w:bookmarkStart w:id="73" w:name="_Toc471989111"/>
      <w:bookmarkStart w:id="74" w:name="_Toc471989491"/>
      <w:bookmarkStart w:id="75" w:name="_Toc471989515"/>
      <w:bookmarkStart w:id="76" w:name="_Toc473152052"/>
      <w:bookmarkStart w:id="77" w:name="_Toc471989113"/>
      <w:bookmarkStart w:id="78" w:name="_Toc471989493"/>
      <w:bookmarkStart w:id="79" w:name="_Toc471989517"/>
      <w:bookmarkStart w:id="80" w:name="_Toc473152054"/>
      <w:bookmarkStart w:id="81" w:name="_Toc490484055"/>
      <w:bookmarkStart w:id="82" w:name="_Ref493060073"/>
      <w:bookmarkStart w:id="83" w:name="_Toc49316337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56F17">
        <w:t>Alcoa Power Generating, Inc. – Tapoco Division</w:t>
      </w:r>
      <w:bookmarkEnd w:id="81"/>
      <w:bookmarkEnd w:id="82"/>
      <w:bookmarkEnd w:id="83"/>
    </w:p>
    <w:p w:rsidR="00D3406E" w:rsidRDefault="0025357F" w:rsidP="00D3406E">
      <w:r>
        <w:t>Alcoa Power Generating, Inc. – Tapoco Division (</w:t>
      </w:r>
      <w:r w:rsidR="00D3406E">
        <w:t>Tapoco</w:t>
      </w:r>
      <w:r>
        <w:t>)</w:t>
      </w:r>
      <w:r w:rsidR="00D3406E">
        <w:t xml:space="preserve"> has no generation.</w:t>
      </w:r>
    </w:p>
    <w:p w:rsidR="00D3406E" w:rsidRDefault="00D3406E" w:rsidP="00D3406E">
      <w:r>
        <w:t>Tapoco contracts power from an outside source (</w:t>
      </w:r>
      <w:r w:rsidR="007C7658" w:rsidRPr="0025357F">
        <w:rPr>
          <w:i/>
        </w:rPr>
        <w:t>e.g.</w:t>
      </w:r>
      <w:r w:rsidR="0025357F">
        <w:rPr>
          <w:i/>
        </w:rPr>
        <w:t>,</w:t>
      </w:r>
      <w:r>
        <w:t xml:space="preserve"> TVA) to service the load at Tapoco. The power transfer is represented in each SERC case and MMWG case.</w:t>
      </w:r>
    </w:p>
    <w:p w:rsidR="00D3406E" w:rsidRPr="00AF29CA" w:rsidRDefault="00D3406E" w:rsidP="00AF29CA">
      <w:pPr>
        <w:pStyle w:val="Heading3"/>
      </w:pPr>
      <w:bookmarkStart w:id="84" w:name="_Toc492984998"/>
      <w:bookmarkStart w:id="85" w:name="_Toc492984999"/>
      <w:bookmarkStart w:id="86" w:name="_Toc490484056"/>
      <w:bookmarkStart w:id="87" w:name="_Toc493163376"/>
      <w:bookmarkEnd w:id="84"/>
      <w:bookmarkEnd w:id="85"/>
      <w:r w:rsidRPr="00656F17">
        <w:t>Associated Electric Cooperative Inc.</w:t>
      </w:r>
      <w:bookmarkEnd w:id="86"/>
      <w:bookmarkEnd w:id="87"/>
    </w:p>
    <w:p w:rsidR="00D3406E" w:rsidRDefault="0025357F" w:rsidP="000D0E9C">
      <w:r w:rsidRPr="0025357F">
        <w:t>Associated Electric Cooperative Inc. (AECI)</w:t>
      </w:r>
      <w:r>
        <w:t xml:space="preserve"> </w:t>
      </w:r>
      <w:r w:rsidR="00D3406E">
        <w:t>does not differentiate between the criteria use</w:t>
      </w:r>
      <w:r w:rsidR="007C7658">
        <w:t>d</w:t>
      </w:r>
      <w:r w:rsidR="00D3406E">
        <w:t xml:space="preserve"> for internal or </w:t>
      </w:r>
      <w:r>
        <w:t xml:space="preserve">Regional </w:t>
      </w:r>
      <w:r w:rsidR="00D3406E">
        <w:t xml:space="preserve">model building processes and </w:t>
      </w:r>
      <w:r w:rsidR="007C7658">
        <w:t xml:space="preserve">that </w:t>
      </w:r>
      <w:r w:rsidR="00D3406E">
        <w:t>use</w:t>
      </w:r>
      <w:r w:rsidR="007C7658">
        <w:t>d</w:t>
      </w:r>
      <w:r w:rsidR="00D3406E">
        <w:t xml:space="preserve"> for the MMWG model building effort. AECI’s interchange mainly consist</w:t>
      </w:r>
      <w:r w:rsidR="000B1239">
        <w:t>s</w:t>
      </w:r>
      <w:r w:rsidR="00D3406E">
        <w:t xml:space="preserve"> of</w:t>
      </w:r>
    </w:p>
    <w:p w:rsidR="00D3406E" w:rsidRPr="003B2C45" w:rsidRDefault="00D3406E" w:rsidP="000D0E9C">
      <w:pPr>
        <w:pStyle w:val="Bullet1"/>
      </w:pPr>
      <w:r w:rsidRPr="003B2C45">
        <w:t>Long term hydro or wind allocation capacity contracts</w:t>
      </w:r>
      <w:r w:rsidR="0025357F">
        <w:t>, and</w:t>
      </w:r>
      <w:r w:rsidRPr="003B2C45">
        <w:t xml:space="preserve"> </w:t>
      </w:r>
    </w:p>
    <w:p w:rsidR="00D3406E" w:rsidRPr="003B2C45" w:rsidRDefault="00D3406E" w:rsidP="000D0E9C">
      <w:pPr>
        <w:pStyle w:val="Bullet1"/>
      </w:pPr>
      <w:r w:rsidRPr="003B2C45">
        <w:t>Transactions to serve non-native load on the AECI system (</w:t>
      </w:r>
      <w:r w:rsidRPr="0025357F">
        <w:rPr>
          <w:i/>
        </w:rPr>
        <w:t>e.g.</w:t>
      </w:r>
      <w:r w:rsidR="0025357F">
        <w:t>,</w:t>
      </w:r>
      <w:r w:rsidRPr="003B2C45">
        <w:t xml:space="preserve"> municipal loads not members of AECI).</w:t>
      </w:r>
    </w:p>
    <w:p w:rsidR="00D3406E" w:rsidRDefault="00D3406E" w:rsidP="000D0E9C">
      <w:r>
        <w:t>The amount of interchange for a year/season represents the expected and agreed upon firm capacity to serve load, and thus the resulting model would contain the flows associated with these firm transfers that are expected to occur in real time.</w:t>
      </w:r>
    </w:p>
    <w:p w:rsidR="00D3406E" w:rsidRPr="00AF29CA" w:rsidRDefault="00D3406E" w:rsidP="00AF29CA">
      <w:pPr>
        <w:pStyle w:val="Heading3"/>
      </w:pPr>
      <w:bookmarkStart w:id="88" w:name="_Toc492985001"/>
      <w:bookmarkStart w:id="89" w:name="_Toc492985002"/>
      <w:bookmarkStart w:id="90" w:name="_Toc490484057"/>
      <w:bookmarkStart w:id="91" w:name="_Toc493163377"/>
      <w:bookmarkEnd w:id="88"/>
      <w:bookmarkEnd w:id="89"/>
      <w:r w:rsidRPr="00656F17">
        <w:t>Cube Hydro Carolinas LLC – Yadkin Division</w:t>
      </w:r>
      <w:bookmarkEnd w:id="90"/>
      <w:bookmarkEnd w:id="91"/>
    </w:p>
    <w:p w:rsidR="00D3406E" w:rsidRDefault="0025357F" w:rsidP="00D3406E">
      <w:r>
        <w:t>Cube Hydro Carolinas LLC – Yadkin Division (</w:t>
      </w:r>
      <w:r w:rsidR="00D3406E">
        <w:t>Yadkin</w:t>
      </w:r>
      <w:r>
        <w:t>)</w:t>
      </w:r>
      <w:r w:rsidR="00D3406E">
        <w:t xml:space="preserve"> </w:t>
      </w:r>
      <w:r>
        <w:t xml:space="preserve">has </w:t>
      </w:r>
      <w:r w:rsidR="00D3406E">
        <w:t xml:space="preserve">no firm contracts for power. </w:t>
      </w:r>
    </w:p>
    <w:p w:rsidR="00D3406E" w:rsidRDefault="00D3406E" w:rsidP="00D3406E">
      <w:r>
        <w:t>Yadkin would represent any firm yearly contract they had in the SERC and MMWG cases.</w:t>
      </w:r>
    </w:p>
    <w:p w:rsidR="00D3406E" w:rsidRPr="00AF29CA" w:rsidRDefault="00D3406E" w:rsidP="00AF29CA">
      <w:pPr>
        <w:pStyle w:val="Heading3"/>
      </w:pPr>
      <w:bookmarkStart w:id="92" w:name="_Toc492985004"/>
      <w:bookmarkStart w:id="93" w:name="_Toc492985005"/>
      <w:bookmarkStart w:id="94" w:name="_Toc493163378"/>
      <w:bookmarkStart w:id="95" w:name="_Toc490484058"/>
      <w:bookmarkEnd w:id="92"/>
      <w:bookmarkEnd w:id="93"/>
      <w:r w:rsidRPr="00656F17">
        <w:t>Duke Energy Carolinas</w:t>
      </w:r>
      <w:bookmarkEnd w:id="94"/>
      <w:r w:rsidRPr="00656F17">
        <w:t xml:space="preserve"> </w:t>
      </w:r>
      <w:bookmarkEnd w:id="95"/>
    </w:p>
    <w:p w:rsidR="00D3406E" w:rsidRPr="00D3406E" w:rsidRDefault="00D3406E" w:rsidP="000D0E9C">
      <w:r w:rsidRPr="00D3406E">
        <w:t>D</w:t>
      </w:r>
      <w:r w:rsidR="0025357F">
        <w:t xml:space="preserve">uke </w:t>
      </w:r>
      <w:r w:rsidRPr="00D3406E">
        <w:t>E</w:t>
      </w:r>
      <w:r w:rsidR="0025357F">
        <w:t xml:space="preserve">nergy </w:t>
      </w:r>
      <w:r w:rsidRPr="00D3406E">
        <w:t>C</w:t>
      </w:r>
      <w:r w:rsidR="0025357F">
        <w:t>arolinas</w:t>
      </w:r>
      <w:r w:rsidRPr="00D3406E">
        <w:t xml:space="preserve"> </w:t>
      </w:r>
      <w:r w:rsidR="0025357F">
        <w:t xml:space="preserve">(DEC) bases </w:t>
      </w:r>
      <w:r w:rsidR="0025357F" w:rsidRPr="00D3406E">
        <w:t>SERC models</w:t>
      </w:r>
      <w:r w:rsidR="0025357F">
        <w:t xml:space="preserve"> of the DEC </w:t>
      </w:r>
      <w:r w:rsidRPr="00D3406E">
        <w:t>interchange on the following</w:t>
      </w:r>
      <w:r w:rsidR="0025357F">
        <w:t xml:space="preserve"> guidelines.</w:t>
      </w:r>
    </w:p>
    <w:p w:rsidR="000579AD" w:rsidRPr="00D3406E" w:rsidRDefault="000579AD" w:rsidP="000D0E9C">
      <w:r w:rsidRPr="00D3406E">
        <w:t xml:space="preserve">As mandated by the OATT, each </w:t>
      </w:r>
      <w:r w:rsidR="00163900">
        <w:t>Load Serving Entity (</w:t>
      </w:r>
      <w:r w:rsidRPr="00D3406E">
        <w:t>LSE</w:t>
      </w:r>
      <w:r w:rsidR="00163900">
        <w:t>)</w:t>
      </w:r>
      <w:r w:rsidRPr="00D3406E">
        <w:t xml:space="preserve"> must provide projected load and resource forecasts. DEC uses those resource assumptions to determine which resources are needed to meet the modeled load and whether or not those resources are fully utilized. The value of the interchange is set in accordance with section 6.2.B of the MMWG Procedural Manual. </w:t>
      </w:r>
      <w:r w:rsidR="0025357F">
        <w:t>Each LSE reviews t</w:t>
      </w:r>
      <w:r w:rsidRPr="00D3406E">
        <w:t>he modeling assumptions for DEC’s internal models</w:t>
      </w:r>
      <w:r w:rsidR="0025357F">
        <w:t>;</w:t>
      </w:r>
      <w:r w:rsidRPr="00D3406E">
        <w:t xml:space="preserve"> those assumptions serve as the starting point for the SERC models.</w:t>
      </w:r>
    </w:p>
    <w:p w:rsidR="00D3406E" w:rsidRPr="00D3406E" w:rsidRDefault="00D3406E" w:rsidP="0025357F">
      <w:pPr>
        <w:spacing w:after="0"/>
      </w:pPr>
      <w:r w:rsidRPr="00D3406E">
        <w:t xml:space="preserve">In order to determine interchange for a specific year/season, DEC utilizes a combination of load forecasts and resource assumptions (available resources and resource priority) for each LSE on the DEC system. </w:t>
      </w:r>
      <w:r w:rsidR="000579AD">
        <w:t xml:space="preserve">Because generation resources and transmission service reservations </w:t>
      </w:r>
      <w:r w:rsidR="0025357F">
        <w:t>are not</w:t>
      </w:r>
      <w:r w:rsidR="000579AD">
        <w:t xml:space="preserve"> </w:t>
      </w:r>
      <w:r w:rsidR="000579AD">
        <w:lastRenderedPageBreak/>
        <w:t>always in place years in advance, determining interchange reflected in the models</w:t>
      </w:r>
      <w:r w:rsidR="0025357F" w:rsidRPr="0025357F">
        <w:t xml:space="preserve"> </w:t>
      </w:r>
      <w:r w:rsidR="0025357F">
        <w:t>may require engineering judgment</w:t>
      </w:r>
      <w:r w:rsidR="000579AD">
        <w:t xml:space="preserve">. </w:t>
      </w:r>
      <w:r w:rsidRPr="00D3406E">
        <w:t>Unless otherwise specified by a</w:t>
      </w:r>
      <w:r w:rsidR="0025357F">
        <w:t>n</w:t>
      </w:r>
      <w:r w:rsidRPr="00D3406E">
        <w:t xml:space="preserve"> LSE, DEC assumes rollover rights for all transmission service reservations requested and granted for a period of at least </w:t>
      </w:r>
      <w:r w:rsidR="0025357F">
        <w:t>five</w:t>
      </w:r>
      <w:r w:rsidR="0025357F" w:rsidRPr="00D3406E">
        <w:t xml:space="preserve"> </w:t>
      </w:r>
      <w:r w:rsidRPr="00D3406E">
        <w:t>years.</w:t>
      </w:r>
    </w:p>
    <w:p w:rsidR="00D3406E" w:rsidRPr="00D3406E" w:rsidRDefault="00D3406E" w:rsidP="000D0E9C">
      <w:r w:rsidRPr="00D3406E">
        <w:t xml:space="preserve">The inclusion of inter-area transfers in the SERC models requires either 1) confirmed firm transmission service (and a firm energy contract) on the path for </w:t>
      </w:r>
      <w:r w:rsidR="00084312">
        <w:t xml:space="preserve">a period of </w:t>
      </w:r>
      <w:r w:rsidRPr="00D3406E">
        <w:t xml:space="preserve">at least </w:t>
      </w:r>
      <w:r w:rsidR="0025357F">
        <w:t>one</w:t>
      </w:r>
      <w:r w:rsidR="0025357F" w:rsidRPr="00D3406E">
        <w:t xml:space="preserve"> </w:t>
      </w:r>
      <w:r w:rsidRPr="00D3406E">
        <w:t>year or 2) an agree</w:t>
      </w:r>
      <w:r w:rsidR="0061316B">
        <w:t>ment</w:t>
      </w:r>
      <w:r w:rsidR="00763B8C">
        <w:t xml:space="preserve"> </w:t>
      </w:r>
      <w:r w:rsidR="00084312">
        <w:t>between areas on the path to model a transaction based on available</w:t>
      </w:r>
      <w:r w:rsidR="0061316B">
        <w:t xml:space="preserve"> information</w:t>
      </w:r>
      <w:r w:rsidRPr="00D3406E">
        <w:t xml:space="preserve">. In addition to agreeing whether </w:t>
      </w:r>
      <w:r w:rsidR="0025357F">
        <w:t>to model</w:t>
      </w:r>
      <w:r w:rsidRPr="00D3406E">
        <w:t xml:space="preserve"> a transaction</w:t>
      </w:r>
      <w:r w:rsidR="0025357F">
        <w:t xml:space="preserve"> or not</w:t>
      </w:r>
      <w:r w:rsidRPr="00D3406E">
        <w:t xml:space="preserve">, the areas on the path must also agree </w:t>
      </w:r>
      <w:r w:rsidR="00084312">
        <w:t>on the value at which the transfer is modeled and the duration for which the transfer is modeled.</w:t>
      </w:r>
      <w:r w:rsidRPr="00D3406E">
        <w:t xml:space="preserve"> </w:t>
      </w:r>
      <w:r w:rsidR="000579AD">
        <w:t>The value and duration of the transfer to be modeled will not exceed the lowest/least value/duration for each area on the path.</w:t>
      </w:r>
    </w:p>
    <w:p w:rsidR="00D3406E" w:rsidRPr="00D3406E" w:rsidRDefault="00D3406E" w:rsidP="000D0E9C">
      <w:r w:rsidRPr="00D3406E">
        <w:t>As appropriate, DEC includes reservation numbers and other pertinent information for each transaction.</w:t>
      </w:r>
    </w:p>
    <w:p w:rsidR="00D3406E" w:rsidRPr="00AF29CA" w:rsidRDefault="00D3406E" w:rsidP="00AF29CA">
      <w:pPr>
        <w:pStyle w:val="Heading3"/>
      </w:pPr>
      <w:bookmarkStart w:id="96" w:name="_Toc492985007"/>
      <w:bookmarkStart w:id="97" w:name="_Toc492985008"/>
      <w:bookmarkStart w:id="98" w:name="_Toc493163379"/>
      <w:bookmarkStart w:id="99" w:name="_Toc490484059"/>
      <w:bookmarkEnd w:id="96"/>
      <w:bookmarkEnd w:id="97"/>
      <w:r w:rsidRPr="00656F17">
        <w:t>Duke Energy Progress</w:t>
      </w:r>
      <w:bookmarkEnd w:id="98"/>
      <w:r w:rsidR="00693928">
        <w:t xml:space="preserve"> </w:t>
      </w:r>
      <w:bookmarkEnd w:id="99"/>
    </w:p>
    <w:p w:rsidR="00D3406E" w:rsidRDefault="0025357F" w:rsidP="000D0E9C">
      <w:r w:rsidRPr="0025357F">
        <w:t>Duke</w:t>
      </w:r>
      <w:r>
        <w:t xml:space="preserve"> Energy Progress</w:t>
      </w:r>
      <w:r w:rsidRPr="0025357F">
        <w:t xml:space="preserve"> </w:t>
      </w:r>
      <w:r>
        <w:t>(</w:t>
      </w:r>
      <w:r w:rsidR="00D3406E" w:rsidRPr="0025357F">
        <w:t>D</w:t>
      </w:r>
      <w:r w:rsidR="00D3406E">
        <w:t>EP</w:t>
      </w:r>
      <w:r>
        <w:t>)</w:t>
      </w:r>
      <w:r w:rsidR="00D3406E">
        <w:t xml:space="preserve"> does not differentiate between the criteria it uses for any internal or </w:t>
      </w:r>
      <w:r>
        <w:t xml:space="preserve">Regional </w:t>
      </w:r>
      <w:r w:rsidR="00D3406E">
        <w:t>model building processes and what it uses for the MMWG model building effort. DEP uses the following criteria to determine if a transaction can be or should be modeled</w:t>
      </w:r>
      <w:r>
        <w:t>.</w:t>
      </w:r>
    </w:p>
    <w:p w:rsidR="00D3406E" w:rsidRDefault="00D3406E" w:rsidP="000D0E9C">
      <w:r w:rsidRPr="00D83625">
        <w:t>First</w:t>
      </w:r>
      <w:r>
        <w:t xml:space="preserve">, all transactions must have confirmed annual firm transmission service, for one year or longer, along the entire path from source to sink.  </w:t>
      </w:r>
    </w:p>
    <w:p w:rsidR="00D3406E" w:rsidRDefault="00D3406E" w:rsidP="000D0E9C">
      <w:r w:rsidRPr="00D83625">
        <w:t>Second</w:t>
      </w:r>
      <w:r>
        <w:t>, a firm energy contract for the resource must be in place. The amount of interchange in any given year/season is not necessarily the same as the full capacity allowed under the transmission service or energy contract. The amount of interchange for a year/season should represent the agreed upon firm capacity expected to serve load, and thus the resulting model would contain the flows associated with these firm transfers expected to occur in real time.</w:t>
      </w:r>
    </w:p>
    <w:p w:rsidR="00D3406E" w:rsidRDefault="00D3406E" w:rsidP="000D0E9C">
      <w:r w:rsidRPr="00D83625">
        <w:t>Third</w:t>
      </w:r>
      <w:r>
        <w:t>, all parties involved in the transfer must agree to the dates and transaction value. If transmission service reservation dates do not line up along the full path, then only the dates for which the reservations overlap will be modeled. This is also true when considering rollover rights. If there are different amounts on either side, then the lower amount becomes the coordinated value.</w:t>
      </w:r>
    </w:p>
    <w:p w:rsidR="00D3406E" w:rsidRDefault="00D3406E" w:rsidP="000D0E9C">
      <w:r>
        <w:t>In recent years, the DEP Balancing Authority Areas (BAAs) have shown the following transactions and interchange schedules in the MMWG series, in no particular order:</w:t>
      </w:r>
    </w:p>
    <w:p w:rsidR="00D3406E" w:rsidRPr="003B2C45" w:rsidRDefault="00D3406E" w:rsidP="000D0E9C">
      <w:pPr>
        <w:pStyle w:val="Bullet1"/>
      </w:pPr>
      <w:r w:rsidRPr="003B2C45">
        <w:t>Exports to and from D</w:t>
      </w:r>
      <w:r w:rsidR="00693928" w:rsidRPr="003B2C45">
        <w:t>EC</w:t>
      </w:r>
      <w:r w:rsidRPr="003B2C45">
        <w:t xml:space="preserve"> are coordinated between DEP and D</w:t>
      </w:r>
      <w:r w:rsidR="00693928" w:rsidRPr="003B2C45">
        <w:t>EC</w:t>
      </w:r>
      <w:r w:rsidRPr="003B2C45">
        <w:t xml:space="preserve"> each year. </w:t>
      </w:r>
    </w:p>
    <w:p w:rsidR="00D3406E" w:rsidRPr="003B2C45" w:rsidRDefault="00D3406E" w:rsidP="000D0E9C">
      <w:pPr>
        <w:pStyle w:val="Bullet1"/>
      </w:pPr>
      <w:r w:rsidRPr="003B2C45">
        <w:t xml:space="preserve">Exports to and from PJM are coordinated each year between DEP and all </w:t>
      </w:r>
      <w:r w:rsidR="0025357F">
        <w:t>a</w:t>
      </w:r>
      <w:r w:rsidR="0025357F" w:rsidRPr="003B2C45">
        <w:t xml:space="preserve">ffected </w:t>
      </w:r>
      <w:r w:rsidRPr="003B2C45">
        <w:t>parties (PJM, AEP, DVP).</w:t>
      </w:r>
    </w:p>
    <w:p w:rsidR="00D3406E" w:rsidRPr="00AF29CA" w:rsidRDefault="00D3406E" w:rsidP="000D0E9C">
      <w:pPr>
        <w:pStyle w:val="Bullet1"/>
      </w:pPr>
      <w:r w:rsidRPr="00AF29CA">
        <w:t>Imports from TVA are coordinated between DEP and TVA each year.</w:t>
      </w:r>
    </w:p>
    <w:p w:rsidR="00D3406E" w:rsidRPr="00AF29CA" w:rsidRDefault="00D3406E" w:rsidP="000D0E9C">
      <w:pPr>
        <w:pStyle w:val="Bullet1"/>
      </w:pPr>
      <w:r w:rsidRPr="00AF29CA">
        <w:t>Imports from SC are coordinated between DEP and SC each year.</w:t>
      </w:r>
    </w:p>
    <w:p w:rsidR="00D3406E" w:rsidRPr="00AF29CA" w:rsidRDefault="00D3406E" w:rsidP="000D0E9C">
      <w:pPr>
        <w:pStyle w:val="Bullet1"/>
      </w:pPr>
      <w:r w:rsidRPr="00AF29CA">
        <w:t>Transfers between the DEP BAAs are reviewed each year and adjusted based on expected transfers.</w:t>
      </w:r>
    </w:p>
    <w:p w:rsidR="00D3406E" w:rsidRDefault="00D3406E" w:rsidP="000D0E9C">
      <w:r>
        <w:lastRenderedPageBreak/>
        <w:t>Because generation resources and transmission service are frequently not contracted for the entire ten years of models in a series, interchange coordination in some cases may require engineering judgment. This is due to the inherent unavailability of certain key elements</w:t>
      </w:r>
      <w:r w:rsidR="0025357F">
        <w:t>,</w:t>
      </w:r>
      <w:r>
        <w:t xml:space="preserve"> such as confirmed transmission service or a firm energy contract. Resource forecasts and plans, rollover/renewal of transmission service, and duration of energy contracts are all considered when coordinating interchange in the out-year cases. In general,</w:t>
      </w:r>
      <w:r w:rsidDel="00D83625">
        <w:rPr>
          <w:rStyle w:val="CommentReference"/>
        </w:rPr>
        <w:t xml:space="preserve"> </w:t>
      </w:r>
      <w:r>
        <w:t>DEP assumes rollover rights for all transmission service requested and granted for a period of at least five years.</w:t>
      </w:r>
    </w:p>
    <w:p w:rsidR="00D3406E" w:rsidRDefault="00D3406E" w:rsidP="000D0E9C">
      <w:r>
        <w:t>As appropriate, DEP includes reservation numbers and other pertinent information for each transaction.</w:t>
      </w:r>
    </w:p>
    <w:p w:rsidR="001A3191" w:rsidRPr="00AF29CA" w:rsidRDefault="001A3191" w:rsidP="00AF29CA">
      <w:pPr>
        <w:pStyle w:val="Heading3"/>
      </w:pPr>
      <w:bookmarkStart w:id="100" w:name="_Toc492985010"/>
      <w:bookmarkStart w:id="101" w:name="_Toc492985011"/>
      <w:bookmarkStart w:id="102" w:name="_Toc490484060"/>
      <w:bookmarkStart w:id="103" w:name="_Toc493163380"/>
      <w:bookmarkEnd w:id="100"/>
      <w:bookmarkEnd w:id="101"/>
      <w:r w:rsidRPr="00656F17">
        <w:t>Louisville Gas &amp; Electric</w:t>
      </w:r>
      <w:bookmarkEnd w:id="102"/>
      <w:bookmarkEnd w:id="103"/>
    </w:p>
    <w:p w:rsidR="001A3191" w:rsidRDefault="0025357F" w:rsidP="000D0E9C">
      <w:r w:rsidRPr="0025357F">
        <w:t>L</w:t>
      </w:r>
      <w:r>
        <w:t xml:space="preserve">ouisville Gas and Electric </w:t>
      </w:r>
      <w:r w:rsidR="001A3191">
        <w:t>and K</w:t>
      </w:r>
      <w:r>
        <w:t xml:space="preserve">entucky </w:t>
      </w:r>
      <w:r w:rsidR="001A3191">
        <w:t>U</w:t>
      </w:r>
      <w:r>
        <w:t>tilities</w:t>
      </w:r>
      <w:r w:rsidR="001A3191">
        <w:t xml:space="preserve"> Energy</w:t>
      </w:r>
      <w:r>
        <w:t xml:space="preserve"> (</w:t>
      </w:r>
      <w:r w:rsidRPr="0025357F">
        <w:t>L</w:t>
      </w:r>
      <w:r>
        <w:t>G&amp;E and KU)</w:t>
      </w:r>
      <w:r w:rsidR="001A3191">
        <w:t xml:space="preserve"> utilize</w:t>
      </w:r>
      <w:r w:rsidR="00D90032">
        <w:t>s</w:t>
      </w:r>
      <w:r w:rsidR="001A3191">
        <w:t xml:space="preserve"> the</w:t>
      </w:r>
      <w:r w:rsidR="00F91D3F">
        <w:t xml:space="preserve"> </w:t>
      </w:r>
      <w:r w:rsidR="001A3191">
        <w:t>data requested and received yearly from each Resource Planner</w:t>
      </w:r>
      <w:r w:rsidR="00AD10DF">
        <w:t xml:space="preserve"> (in support of MOD-032)</w:t>
      </w:r>
      <w:r w:rsidR="001A3191">
        <w:t xml:space="preserve"> for any internal model building processes and for </w:t>
      </w:r>
      <w:r>
        <w:t xml:space="preserve">Regional </w:t>
      </w:r>
      <w:r w:rsidR="001A3191">
        <w:t>and MMWG model building effort</w:t>
      </w:r>
      <w:r w:rsidR="00D90032">
        <w:t>s</w:t>
      </w:r>
      <w:r w:rsidR="001A3191">
        <w:t>. LG&amp;E and KU uses the following criteria to determine if a transaction can be or should be modeled</w:t>
      </w:r>
      <w:r>
        <w:t>.</w:t>
      </w:r>
    </w:p>
    <w:p w:rsidR="001A3191" w:rsidRDefault="001A3191" w:rsidP="000D0E9C">
      <w:r>
        <w:t>F</w:t>
      </w:r>
      <w:r w:rsidRPr="006221C1">
        <w:t xml:space="preserve">irm transmission service reservations that are annual, confirmed, and have a contract period of five or more years </w:t>
      </w:r>
      <w:r>
        <w:t>(or have rollover rights) are to be</w:t>
      </w:r>
      <w:r w:rsidRPr="006221C1">
        <w:t xml:space="preserve"> included in the models.</w:t>
      </w:r>
      <w:r>
        <w:t xml:space="preserve"> The amount of interchange in any given year/season is not necessarily the same as the full capacity allowed under the transmission service or energy contract. The amount of interchange for a year/season should represent the expected and agreed upon firm capacity to serve load, and thus the resulting model would contain the flows associated with the firm transfers expected to occur in real time.</w:t>
      </w:r>
    </w:p>
    <w:p w:rsidR="001A3191" w:rsidRDefault="001A3191" w:rsidP="003B2C45">
      <w:r>
        <w:t xml:space="preserve">For internal model building, LG&amp;E and KU utilizes the MOD-032 data requested and received. If there are resource deficiencies for LSE loads on the LG&amp;E and KU system, determination of the appropriate resource to cover the deficiency is made on </w:t>
      </w:r>
      <w:r w:rsidR="00CC64FF">
        <w:t xml:space="preserve">a </w:t>
      </w:r>
      <w:r>
        <w:t>case</w:t>
      </w:r>
      <w:r w:rsidR="00CC64FF">
        <w:t>-</w:t>
      </w:r>
      <w:r>
        <w:t>by</w:t>
      </w:r>
      <w:r w:rsidR="00CC64FF">
        <w:t>-</w:t>
      </w:r>
      <w:r>
        <w:t xml:space="preserve">case basis.   </w:t>
      </w:r>
    </w:p>
    <w:p w:rsidR="001A3191" w:rsidRDefault="001A3191" w:rsidP="0025357F">
      <w:r>
        <w:t xml:space="preserve">For MMWG and </w:t>
      </w:r>
      <w:r w:rsidR="0025357F">
        <w:t>R</w:t>
      </w:r>
      <w:r>
        <w:t xml:space="preserve">egional model building, LG&amp;E and KU coordinates with the other PC party involved in the transfer to agree to the transaction dates and values. If transmission service reservation dates do not line up along the full path, then only the dates and values for which the reservations overlap will be modeled. This is also true when considering rollover rights. If there </w:t>
      </w:r>
      <w:r w:rsidR="00CC64FF">
        <w:t xml:space="preserve">are </w:t>
      </w:r>
      <w:r>
        <w:t>resource deficiencies for LSE loads on the LG&amp;E and KU system, determination of the appropriate resource</w:t>
      </w:r>
      <w:r w:rsidR="00AF29CA">
        <w:t xml:space="preserve"> </w:t>
      </w:r>
      <w:r>
        <w:t xml:space="preserve">to cover the deficiency is made on </w:t>
      </w:r>
      <w:r w:rsidR="00CC64FF">
        <w:t xml:space="preserve">a </w:t>
      </w:r>
      <w:r>
        <w:t>case</w:t>
      </w:r>
      <w:r w:rsidR="00CC64FF">
        <w:t>-</w:t>
      </w:r>
      <w:r>
        <w:t>by</w:t>
      </w:r>
      <w:r w:rsidR="00CC64FF">
        <w:t>-</w:t>
      </w:r>
      <w:r>
        <w:t>case basis.</w:t>
      </w:r>
    </w:p>
    <w:p w:rsidR="001A3191" w:rsidRDefault="001A3191" w:rsidP="000D0E9C">
      <w:r>
        <w:t>As appropriate, LG&amp;E and KU includes reservation numbers and other pertinent information in the spreadsheet’s comment cells for each transaction.</w:t>
      </w:r>
    </w:p>
    <w:p w:rsidR="002D60B0" w:rsidRDefault="005F1F3E" w:rsidP="00AF29CA">
      <w:pPr>
        <w:pStyle w:val="Heading3"/>
      </w:pPr>
      <w:bookmarkStart w:id="104" w:name="_Toc492985013"/>
      <w:bookmarkStart w:id="105" w:name="_Toc492985014"/>
      <w:bookmarkStart w:id="106" w:name="_Toc493163381"/>
      <w:bookmarkEnd w:id="104"/>
      <w:bookmarkEnd w:id="105"/>
      <w:r>
        <w:t>Midcontinent Independent System Operator</w:t>
      </w:r>
      <w:bookmarkEnd w:id="106"/>
    </w:p>
    <w:p w:rsidR="00DF424B" w:rsidRDefault="0025357F" w:rsidP="00DF424B">
      <w:r>
        <w:t>The Midcontinent Independent System Operator (</w:t>
      </w:r>
      <w:r w:rsidR="00DF424B">
        <w:t>MISO</w:t>
      </w:r>
      <w:r>
        <w:t>)</w:t>
      </w:r>
      <w:r w:rsidR="00DF424B">
        <w:t xml:space="preserve"> </w:t>
      </w:r>
      <w:r w:rsidR="003F2EF9">
        <w:t xml:space="preserve">internal model development process </w:t>
      </w:r>
      <w:r w:rsidR="00DF424B">
        <w:t xml:space="preserve">uses the same process </w:t>
      </w:r>
      <w:r>
        <w:t xml:space="preserve">used by </w:t>
      </w:r>
      <w:r w:rsidR="00DF424B">
        <w:t xml:space="preserve">the </w:t>
      </w:r>
      <w:r w:rsidRPr="0025357F">
        <w:t xml:space="preserve">Eastern Interconnection Reliability Assessment Group Multi-regional Modeling Working Group </w:t>
      </w:r>
      <w:r>
        <w:t>(</w:t>
      </w:r>
      <w:r w:rsidR="00DF424B">
        <w:t>ERAG MMWG</w:t>
      </w:r>
      <w:r>
        <w:t>)</w:t>
      </w:r>
      <w:r w:rsidR="00DF424B">
        <w:t xml:space="preserve"> process for decades. Parties submit their transactions and MISO reconciles them. Both buyers and sellers will need to submit the same transactions. MISO considers them as confirmed transactions </w:t>
      </w:r>
      <w:r w:rsidR="003B1542">
        <w:t>when both parties agree on the value</w:t>
      </w:r>
      <w:r w:rsidR="00DF424B">
        <w:t xml:space="preserve">. </w:t>
      </w:r>
      <w:r w:rsidR="00A8777E">
        <w:t>I</w:t>
      </w:r>
      <w:r w:rsidR="00EC22F1">
        <w:t>t is possible to miss a transaction</w:t>
      </w:r>
      <w:r w:rsidR="006F592A">
        <w:t xml:space="preserve"> </w:t>
      </w:r>
      <w:r w:rsidR="00EC22F1">
        <w:t>i</w:t>
      </w:r>
      <w:r w:rsidR="003B1542">
        <w:t xml:space="preserve">f both parties </w:t>
      </w:r>
      <w:r w:rsidR="00A8777E">
        <w:t xml:space="preserve">fail </w:t>
      </w:r>
      <w:r w:rsidR="00DF424B">
        <w:t xml:space="preserve">to </w:t>
      </w:r>
      <w:r w:rsidR="00DF3B7C">
        <w:t>submit a transaction</w:t>
      </w:r>
      <w:r w:rsidR="00A8777E">
        <w:t>.</w:t>
      </w:r>
      <w:r w:rsidR="00DF424B">
        <w:t xml:space="preserve"> </w:t>
      </w:r>
    </w:p>
    <w:p w:rsidR="00DF424B" w:rsidRDefault="00DF424B" w:rsidP="00DF424B">
      <w:r>
        <w:lastRenderedPageBreak/>
        <w:t>MISO requests OASIS reference numbers to go with each transaction.</w:t>
      </w:r>
      <w:r w:rsidR="000D0E9C">
        <w:t xml:space="preserve"> Assigning OASIS reference numbers with each transaction is effective for tracking</w:t>
      </w:r>
      <w:r>
        <w:t xml:space="preserve">. </w:t>
      </w:r>
      <w:r w:rsidR="000D0E9C">
        <w:t>However</w:t>
      </w:r>
      <w:r w:rsidR="00B425C1">
        <w:t>, where MISO has a transaction with PJM, t</w:t>
      </w:r>
      <w:r>
        <w:t>he challenge is to match</w:t>
      </w:r>
      <w:r w:rsidR="00DF3B7C">
        <w:t xml:space="preserve"> MISO reference</w:t>
      </w:r>
      <w:r>
        <w:t xml:space="preserve"> </w:t>
      </w:r>
      <w:r w:rsidR="00B425C1">
        <w:t xml:space="preserve">number </w:t>
      </w:r>
      <w:r>
        <w:t>with a PJM reference number</w:t>
      </w:r>
      <w:r w:rsidR="00B425C1">
        <w:t xml:space="preserve">. </w:t>
      </w:r>
      <w:r>
        <w:t>The process is different when the transaction go</w:t>
      </w:r>
      <w:r w:rsidR="001A59AD">
        <w:t>es</w:t>
      </w:r>
      <w:r>
        <w:t xml:space="preserve"> to an external party. In that case, MISO would go over them with PJM and SPP </w:t>
      </w:r>
      <w:r w:rsidR="0025357F">
        <w:t>to en</w:t>
      </w:r>
      <w:r>
        <w:t>su</w:t>
      </w:r>
      <w:r w:rsidR="006469F5">
        <w:t>r</w:t>
      </w:r>
      <w:r>
        <w:t xml:space="preserve">e </w:t>
      </w:r>
      <w:r w:rsidR="0025357F">
        <w:t xml:space="preserve">all </w:t>
      </w:r>
      <w:r w:rsidR="00DF3B7C">
        <w:t>Planning Coordinators agree on what is modeled</w:t>
      </w:r>
      <w:r w:rsidR="00084312">
        <w:t xml:space="preserve">. </w:t>
      </w:r>
      <w:r w:rsidR="007F2463">
        <w:t xml:space="preserve">MISO does not model partial path transactions. </w:t>
      </w:r>
    </w:p>
    <w:p w:rsidR="00DF424B" w:rsidRDefault="00DF424B" w:rsidP="00DF424B">
      <w:r>
        <w:t xml:space="preserve">When there is not an exact match, </w:t>
      </w:r>
      <w:r w:rsidR="00DF3B7C">
        <w:t>MISO will</w:t>
      </w:r>
      <w:r>
        <w:t xml:space="preserve"> maximize the firm</w:t>
      </w:r>
      <w:r w:rsidR="001A59AD">
        <w:t>,</w:t>
      </w:r>
      <w:r>
        <w:t xml:space="preserve"> agreed upon</w:t>
      </w:r>
      <w:r w:rsidR="001A59AD">
        <w:t>,</w:t>
      </w:r>
      <w:r>
        <w:t xml:space="preserve"> transaction amount based on the reservation</w:t>
      </w:r>
      <w:r w:rsidR="00DF3B7C">
        <w:t>s</w:t>
      </w:r>
      <w:r>
        <w:t xml:space="preserve"> that are available on each side. </w:t>
      </w:r>
      <w:r w:rsidR="00DF3B7C">
        <w:t xml:space="preserve">For example, </w:t>
      </w:r>
      <w:r w:rsidR="001A59AD">
        <w:t xml:space="preserve">if </w:t>
      </w:r>
      <w:r>
        <w:t>there is a 1000 MW transaction from MISO to PJM</w:t>
      </w:r>
      <w:r w:rsidR="001A59AD">
        <w:t xml:space="preserve"> (from </w:t>
      </w:r>
      <w:r w:rsidR="00DF3B7C">
        <w:t>MISO</w:t>
      </w:r>
      <w:r w:rsidR="001A59AD">
        <w:t xml:space="preserve">’s perspective), designated as </w:t>
      </w:r>
      <w:r w:rsidR="00276A75">
        <w:t>a</w:t>
      </w:r>
      <w:r w:rsidR="001A59AD">
        <w:t xml:space="preserve"> </w:t>
      </w:r>
      <w:r>
        <w:t>1100 MW transaction</w:t>
      </w:r>
      <w:r w:rsidR="001A59AD">
        <w:t xml:space="preserve"> by PJM, t</w:t>
      </w:r>
      <w:r>
        <w:t xml:space="preserve">he confirmed transaction </w:t>
      </w:r>
      <w:r w:rsidR="001A59AD">
        <w:t>wou</w:t>
      </w:r>
      <w:r w:rsidR="00F91D3F">
        <w:t>l</w:t>
      </w:r>
      <w:r w:rsidR="001A59AD">
        <w:t xml:space="preserve">d be </w:t>
      </w:r>
      <w:r>
        <w:t>1000 MW</w:t>
      </w:r>
      <w:r w:rsidR="001A59AD">
        <w:t>,</w:t>
      </w:r>
      <w:r w:rsidR="00F91D3F">
        <w:t xml:space="preserve"> </w:t>
      </w:r>
      <w:r>
        <w:t xml:space="preserve">not 1100 MW.  </w:t>
      </w:r>
    </w:p>
    <w:p w:rsidR="00DF424B" w:rsidRDefault="00DF424B" w:rsidP="00DF424B">
      <w:r>
        <w:t xml:space="preserve">To initiate the process of </w:t>
      </w:r>
      <w:r w:rsidR="00DF3B7C">
        <w:t>submitting</w:t>
      </w:r>
      <w:r>
        <w:t xml:space="preserve"> transaction</w:t>
      </w:r>
      <w:r w:rsidR="00DF3B7C">
        <w:t>s</w:t>
      </w:r>
      <w:r>
        <w:t xml:space="preserve">, MISO provides the historic transactions to its entities. </w:t>
      </w:r>
      <w:r w:rsidR="00DF3B7C">
        <w:t xml:space="preserve">Submitted transactions are checked with </w:t>
      </w:r>
      <w:r>
        <w:t xml:space="preserve">OASIS. </w:t>
      </w:r>
    </w:p>
    <w:p w:rsidR="00BF2026" w:rsidRDefault="00BF2026" w:rsidP="00BF2026">
      <w:r>
        <w:t>Transmission Service Requests (TSR</w:t>
      </w:r>
      <w:r w:rsidR="00400AAC">
        <w:t>s</w:t>
      </w:r>
      <w:r>
        <w:t>) with long reservation duration may have rollover rights. MISO’s review of OASIS information assumes TSR</w:t>
      </w:r>
      <w:r w:rsidR="00400AAC">
        <w:t>s</w:t>
      </w:r>
      <w:r>
        <w:t xml:space="preserve"> with rollover rights may continue with the reservation after the initial reservation period. </w:t>
      </w:r>
      <w:r w:rsidR="0025357F">
        <w:t xml:space="preserve">MISO treats </w:t>
      </w:r>
      <w:r>
        <w:t>TSR</w:t>
      </w:r>
      <w:r w:rsidR="00400AAC">
        <w:t>s</w:t>
      </w:r>
      <w:r>
        <w:t xml:space="preserve"> that have rollover rights like other reservations</w:t>
      </w:r>
      <w:r w:rsidR="0025357F">
        <w:t>,</w:t>
      </w:r>
      <w:r w:rsidR="00400AAC">
        <w:t xml:space="preserve"> but</w:t>
      </w:r>
      <w:r>
        <w:t xml:space="preserve"> both buying and selling parties must agree to modeling of </w:t>
      </w:r>
      <w:r w:rsidR="0025357F">
        <w:t xml:space="preserve">the </w:t>
      </w:r>
      <w:r>
        <w:t>TSR in the planning horizon. MISO allows modeling of TSR</w:t>
      </w:r>
      <w:r w:rsidR="00400AAC">
        <w:t>s</w:t>
      </w:r>
      <w:r>
        <w:t xml:space="preserve"> that may </w:t>
      </w:r>
      <w:r w:rsidR="00B92159">
        <w:t>be</w:t>
      </w:r>
      <w:r>
        <w:t xml:space="preserve"> </w:t>
      </w:r>
      <w:r w:rsidR="00400AAC">
        <w:t xml:space="preserve">in contention for </w:t>
      </w:r>
      <w:r>
        <w:t xml:space="preserve">extension of service using rollover rights. </w:t>
      </w:r>
    </w:p>
    <w:p w:rsidR="001A3191" w:rsidRPr="00AF29CA" w:rsidRDefault="001A3191" w:rsidP="00AF29CA">
      <w:pPr>
        <w:pStyle w:val="Heading3"/>
      </w:pPr>
      <w:bookmarkStart w:id="107" w:name="_Toc492985016"/>
      <w:bookmarkStart w:id="108" w:name="_Toc492985017"/>
      <w:bookmarkStart w:id="109" w:name="_Toc490484062"/>
      <w:bookmarkStart w:id="110" w:name="_Toc493163382"/>
      <w:bookmarkEnd w:id="107"/>
      <w:bookmarkEnd w:id="108"/>
      <w:r w:rsidRPr="00656F17">
        <w:t>PowerSouth</w:t>
      </w:r>
      <w:bookmarkEnd w:id="109"/>
      <w:bookmarkEnd w:id="110"/>
    </w:p>
    <w:p w:rsidR="001A3191" w:rsidRPr="00906BDB" w:rsidRDefault="001A3191" w:rsidP="001A3191">
      <w:pPr>
        <w:rPr>
          <w:rFonts w:cs="Arial"/>
        </w:rPr>
      </w:pPr>
      <w:r w:rsidRPr="00906BDB">
        <w:rPr>
          <w:rFonts w:cs="Arial"/>
        </w:rPr>
        <w:t xml:space="preserve">PowerSouth models transactions </w:t>
      </w:r>
      <w:r w:rsidR="0025357F">
        <w:rPr>
          <w:rFonts w:cs="Arial"/>
        </w:rPr>
        <w:t>that</w:t>
      </w:r>
      <w:r w:rsidR="0025357F" w:rsidRPr="00906BDB">
        <w:rPr>
          <w:rFonts w:cs="Arial"/>
        </w:rPr>
        <w:t xml:space="preserve"> </w:t>
      </w:r>
      <w:r w:rsidRPr="00906BDB">
        <w:rPr>
          <w:rFonts w:cs="Arial"/>
        </w:rPr>
        <w:t xml:space="preserve">are considered firm and have full path contracts of one year or longer. The amount modeled will be the full amount appropriate for the year or season, or the transaction </w:t>
      </w:r>
      <w:r w:rsidR="00E8180A">
        <w:rPr>
          <w:rFonts w:cs="Arial"/>
        </w:rPr>
        <w:t>may</w:t>
      </w:r>
      <w:r w:rsidRPr="00906BDB">
        <w:rPr>
          <w:rFonts w:cs="Arial"/>
        </w:rPr>
        <w:t xml:space="preserve"> be reduced to the amount that is available from the source.  </w:t>
      </w:r>
    </w:p>
    <w:p w:rsidR="001A3191" w:rsidRPr="00906BDB" w:rsidRDefault="001A3191" w:rsidP="001A3191">
      <w:pPr>
        <w:rPr>
          <w:rFonts w:cs="Arial"/>
        </w:rPr>
      </w:pPr>
      <w:r w:rsidRPr="00906BDB">
        <w:rPr>
          <w:rFonts w:cs="Arial"/>
        </w:rPr>
        <w:t xml:space="preserve">Full path means there must be transmission service on both sides of the interface from the source generator to the sinking </w:t>
      </w:r>
      <w:r w:rsidR="00E8180A">
        <w:rPr>
          <w:rFonts w:cs="Arial"/>
        </w:rPr>
        <w:t>LSE</w:t>
      </w:r>
      <w:r w:rsidRPr="00906BDB">
        <w:rPr>
          <w:rFonts w:cs="Arial"/>
        </w:rPr>
        <w:t>.</w:t>
      </w:r>
    </w:p>
    <w:p w:rsidR="001A3191" w:rsidRPr="00906BDB" w:rsidRDefault="001A3191" w:rsidP="001A3191">
      <w:pPr>
        <w:rPr>
          <w:rFonts w:cs="Arial"/>
        </w:rPr>
      </w:pPr>
      <w:r w:rsidRPr="00906BDB">
        <w:rPr>
          <w:rFonts w:cs="Arial"/>
        </w:rPr>
        <w:t xml:space="preserve">The amount of interchange should represent the expected and agreed upon firm capacity </w:t>
      </w:r>
      <w:r w:rsidR="0025357F">
        <w:rPr>
          <w:rFonts w:cs="Arial"/>
        </w:rPr>
        <w:t>required</w:t>
      </w:r>
      <w:r w:rsidR="0025357F" w:rsidRPr="00906BDB">
        <w:rPr>
          <w:rFonts w:cs="Arial"/>
        </w:rPr>
        <w:t xml:space="preserve"> </w:t>
      </w:r>
      <w:r w:rsidRPr="00906BDB">
        <w:rPr>
          <w:rFonts w:cs="Arial"/>
        </w:rPr>
        <w:t xml:space="preserve">to serve the load.  </w:t>
      </w:r>
    </w:p>
    <w:p w:rsidR="002D60B0" w:rsidRPr="00656F17" w:rsidRDefault="00C54D85" w:rsidP="00AF29CA">
      <w:pPr>
        <w:pStyle w:val="Heading3"/>
      </w:pPr>
      <w:bookmarkStart w:id="111" w:name="_Toc490484063"/>
      <w:bookmarkStart w:id="112" w:name="_Toc493163383"/>
      <w:r w:rsidRPr="00656F17">
        <w:t>PJM</w:t>
      </w:r>
      <w:bookmarkEnd w:id="111"/>
      <w:bookmarkEnd w:id="112"/>
    </w:p>
    <w:p w:rsidR="00BF2026" w:rsidRPr="00BF2026" w:rsidRDefault="00BF2026" w:rsidP="00BF2026">
      <w:r w:rsidRPr="00BF2026">
        <w:t>PJM uses different criteria for their regional process</w:t>
      </w:r>
      <w:r w:rsidR="006F592A">
        <w:t xml:space="preserve"> Regional Transmission Expansion Plan</w:t>
      </w:r>
      <w:r w:rsidRPr="00BF2026">
        <w:t xml:space="preserve"> (RTEP) than for the MMWG model building effort. PJM’s internal planning cases (RTEP) are rights</w:t>
      </w:r>
      <w:r w:rsidR="00E8180A">
        <w:t>-</w:t>
      </w:r>
      <w:r w:rsidRPr="00BF2026">
        <w:t xml:space="preserve">based and include all transmission service </w:t>
      </w:r>
      <w:r w:rsidR="0025357F">
        <w:t>granted by</w:t>
      </w:r>
      <w:r w:rsidR="0025357F" w:rsidRPr="00BF2026">
        <w:t xml:space="preserve"> </w:t>
      </w:r>
      <w:r w:rsidRPr="00BF2026">
        <w:t>PJM, independent of confirmation from the other party or parties involved in the transfer.</w:t>
      </w:r>
    </w:p>
    <w:p w:rsidR="00BF2026" w:rsidRPr="00BF2026" w:rsidRDefault="00BF2026" w:rsidP="00BF2026">
      <w:r w:rsidRPr="00BF2026">
        <w:t>Transactions are only modeled in MMWG if all parties involved in the transaction path agree to the dates and transaction value. If there are different values on either side they are coordinated at the lower value, as explained above</w:t>
      </w:r>
      <w:r w:rsidR="00E8180A">
        <w:t xml:space="preserve"> in the MISO description</w:t>
      </w:r>
      <w:r w:rsidRPr="00BF2026">
        <w:t xml:space="preserve">. Additionally, if transmission service reservation dates </w:t>
      </w:r>
      <w:r w:rsidR="00E8180A">
        <w:t>do</w:t>
      </w:r>
      <w:r w:rsidRPr="00BF2026">
        <w:t xml:space="preserve"> not line up along the full path, only the dates for which the reservations overlap will be modeled.</w:t>
      </w:r>
    </w:p>
    <w:p w:rsidR="00BF2026" w:rsidRPr="00BF2026" w:rsidRDefault="00BF2026" w:rsidP="00BF2026">
      <w:r w:rsidRPr="00BF2026">
        <w:t>Unlike MISO</w:t>
      </w:r>
      <w:r w:rsidR="00E8180A">
        <w:t>’s process</w:t>
      </w:r>
      <w:r w:rsidRPr="00BF2026">
        <w:t xml:space="preserve">, </w:t>
      </w:r>
      <w:r w:rsidR="00E8180A">
        <w:t xml:space="preserve">PJM does not consider </w:t>
      </w:r>
      <w:r w:rsidRPr="00BF2026">
        <w:t xml:space="preserve">transmission service from one PJM Transmission Owner to another PJM Transmission Owner. PJM operates as a single Balancing </w:t>
      </w:r>
      <w:r w:rsidRPr="00BF2026">
        <w:lastRenderedPageBreak/>
        <w:t>Authority, and as such transmission service is scheduled to and from PJM. To represent this on the MMWG interchange table</w:t>
      </w:r>
      <w:r w:rsidR="00E8180A">
        <w:t>,</w:t>
      </w:r>
      <w:r w:rsidRPr="00BF2026">
        <w:t xml:space="preserve"> PJM uses Area 225 as the source/sink for all PJM transactions. Area 225 represents the Mid-Atlantic 500 kV network area </w:t>
      </w:r>
      <w:r w:rsidR="00E8180A">
        <w:t xml:space="preserve">as </w:t>
      </w:r>
      <w:r w:rsidR="0025357F">
        <w:t>“</w:t>
      </w:r>
      <w:r w:rsidRPr="00BF2026">
        <w:t>PJM Classic.</w:t>
      </w:r>
      <w:r w:rsidR="0025357F">
        <w:t>”</w:t>
      </w:r>
      <w:r w:rsidRPr="00BF2026">
        <w:t xml:space="preserve"> Every other PJM area has a line as </w:t>
      </w:r>
      <w:r w:rsidR="0025357F">
        <w:t xml:space="preserve">an </w:t>
      </w:r>
      <w:r w:rsidRPr="00BF2026">
        <w:t>intra-PJM transaction in the MMWG interchange spreadsheet</w:t>
      </w:r>
      <w:r w:rsidR="00E8180A">
        <w:t>;</w:t>
      </w:r>
      <w:r w:rsidR="00F91D3F">
        <w:t xml:space="preserve"> </w:t>
      </w:r>
      <w:r w:rsidRPr="00BF2026">
        <w:t>calculated as a result of the pool</w:t>
      </w:r>
      <w:r w:rsidR="001A772E">
        <w:t>-</w:t>
      </w:r>
      <w:r w:rsidRPr="00BF2026">
        <w:t>wide security constrained economic dispatch</w:t>
      </w:r>
      <w:r w:rsidR="001A772E">
        <w:t xml:space="preserve"> (SCED)</w:t>
      </w:r>
    </w:p>
    <w:p w:rsidR="00BF2026" w:rsidRPr="00BF2026" w:rsidRDefault="00BF2026" w:rsidP="00BF2026">
      <w:r w:rsidRPr="00BF2026">
        <w:t xml:space="preserve">For the purpose of MMWG, PJM includes all granted OASIS reservations in the interchange table, with their reservation number and </w:t>
      </w:r>
      <w:r w:rsidR="001A772E">
        <w:t xml:space="preserve">MW </w:t>
      </w:r>
      <w:r w:rsidRPr="00BF2026">
        <w:t>value</w:t>
      </w:r>
      <w:r w:rsidR="001A772E">
        <w:t>s identified</w:t>
      </w:r>
      <w:r w:rsidRPr="00BF2026">
        <w:t xml:space="preserve"> in the comments, whether coordinated as full path transactions or not. Those reservations </w:t>
      </w:r>
      <w:r w:rsidR="0025357F">
        <w:t>that</w:t>
      </w:r>
      <w:r w:rsidR="0025357F" w:rsidRPr="00BF2026">
        <w:t xml:space="preserve"> </w:t>
      </w:r>
      <w:r w:rsidRPr="00BF2026">
        <w:t xml:space="preserve">have not obtained a full path reservation will have </w:t>
      </w:r>
      <w:r w:rsidR="0025357F">
        <w:t>‘</w:t>
      </w:r>
      <w:r w:rsidRPr="00BF2026">
        <w:t>0</w:t>
      </w:r>
      <w:r w:rsidR="0025357F">
        <w:t>”</w:t>
      </w:r>
      <w:r w:rsidRPr="00BF2026">
        <w:t xml:space="preserve"> interchange modeled for each study case. This information may be of interest as it shows what interchange may be added to the model if the other portion(s) of the path were to be confirmed.</w:t>
      </w:r>
    </w:p>
    <w:p w:rsidR="00BF2026" w:rsidRPr="00BF2026" w:rsidRDefault="00BF2026" w:rsidP="00BF2026">
      <w:r w:rsidRPr="00BF2026">
        <w:t>PJM assumes rollover rights for all transmission service requested and granted for a period of five years. It has been observed in the MMWG interchange coordination process that a reservation may have rollover rights on one side, but only have a granted reservation for a shorter period (less than 5 years) on the other side. In this case, the interchange is only modeled for the years in which the reservations overlap.</w:t>
      </w:r>
    </w:p>
    <w:p w:rsidR="008817E2" w:rsidRDefault="00BF2026" w:rsidP="00DF424B">
      <w:r w:rsidRPr="00BF2026">
        <w:t>PJM conducts the Base Residual Auction (BRA) annually to procure capacity resources three years in the future. A small portion of this capacity may be units external to the PJM footprint. In order to participate in the auction, a unit must have applied for transmission service to PJM, but that transmission service does not need to be granted at the time of the auction. Additionally, through annual incremental capacity auctions, an external resource may buy themselves out of their capacity commitment to PJM, whether transmission service has been secured or not. As such, results of the BRA are of limited use in developing the interchange schedules.</w:t>
      </w:r>
    </w:p>
    <w:p w:rsidR="001A3191" w:rsidRPr="00AF29CA" w:rsidRDefault="0025357F" w:rsidP="0025357F">
      <w:pPr>
        <w:pStyle w:val="Heading3"/>
      </w:pPr>
      <w:bookmarkStart w:id="113" w:name="_Toc492985020"/>
      <w:bookmarkStart w:id="114" w:name="_Toc492985021"/>
      <w:bookmarkEnd w:id="113"/>
      <w:bookmarkEnd w:id="114"/>
      <w:r w:rsidRPr="0025357F">
        <w:t xml:space="preserve"> </w:t>
      </w:r>
      <w:bookmarkStart w:id="115" w:name="_Toc493163384"/>
      <w:r w:rsidRPr="0025357F">
        <w:t>South Carolina Electric and Gas</w:t>
      </w:r>
      <w:bookmarkEnd w:id="115"/>
    </w:p>
    <w:p w:rsidR="001A3191" w:rsidRDefault="0025357F" w:rsidP="00276A75">
      <w:r w:rsidRPr="0025357F">
        <w:t>South</w:t>
      </w:r>
      <w:r>
        <w:t xml:space="preserve"> Carolina Electric and Gas (</w:t>
      </w:r>
      <w:r w:rsidR="001A3191" w:rsidRPr="0025357F">
        <w:t>S</w:t>
      </w:r>
      <w:r w:rsidR="001A3191">
        <w:t>CE&amp;G</w:t>
      </w:r>
      <w:r>
        <w:t>)</w:t>
      </w:r>
      <w:r w:rsidR="001A3191">
        <w:t xml:space="preserve"> does not differentiate between the criteria it uses for internal or </w:t>
      </w:r>
      <w:r>
        <w:t xml:space="preserve">Regional </w:t>
      </w:r>
      <w:r w:rsidR="001A3191">
        <w:t>model building processes and what it uses for the MMWG model building effort. SCE&amp;G uses the following criteria to determine if a transaction can be or should be modeled.</w:t>
      </w:r>
    </w:p>
    <w:p w:rsidR="001A3191" w:rsidRDefault="001A3191" w:rsidP="00276A75">
      <w:r w:rsidRPr="00DE08B7">
        <w:t>First</w:t>
      </w:r>
      <w:r>
        <w:t xml:space="preserve">, all transactions must have confirmed annual firm transmission service, for one year or longer, along the entire path from source to sink. </w:t>
      </w:r>
      <w:r w:rsidRPr="00DE08B7">
        <w:t>Second</w:t>
      </w:r>
      <w:r>
        <w:t xml:space="preserve">, a firm energy contract for the resource must be in place. The amount of interchange in any given year/season is not necessarily the same as the full capacity allowed under the transmission service or energy contract. The amount of interchange for a year/season should represent the expected and agreed upon firm capacity to serve load, and thus the resulting model would contain the flows associated with these firm transfers expected to occur in real time. </w:t>
      </w:r>
      <w:r w:rsidRPr="00DE08B7">
        <w:t>Third</w:t>
      </w:r>
      <w:r>
        <w:t>, all parties involved in the transfer must agree to the dates and transaction capacity.</w:t>
      </w:r>
    </w:p>
    <w:p w:rsidR="001A3191" w:rsidRDefault="001A3191" w:rsidP="00276A75">
      <w:pPr>
        <w:keepNext/>
      </w:pPr>
      <w:r>
        <w:lastRenderedPageBreak/>
        <w:t>In recent years, the SCE&amp;G Balancing Authority Area (BAA) has shown the following transactions and interchange schedules in the MMWG series, in no particular order:</w:t>
      </w:r>
    </w:p>
    <w:p w:rsidR="001A3191" w:rsidRPr="003B2C45" w:rsidRDefault="001A3191" w:rsidP="00276A75">
      <w:pPr>
        <w:pStyle w:val="Bullet1"/>
      </w:pPr>
      <w:r w:rsidRPr="003B2C45">
        <w:t xml:space="preserve">Imports from </w:t>
      </w:r>
      <w:r w:rsidR="0025357F" w:rsidRPr="00AC3C35">
        <w:t>South Eastern Power Administration</w:t>
      </w:r>
      <w:r w:rsidR="0025357F">
        <w:t>’s (</w:t>
      </w:r>
      <w:r w:rsidRPr="003B2C45">
        <w:t>SEPA's</w:t>
      </w:r>
      <w:r w:rsidR="0025357F">
        <w:t>)</w:t>
      </w:r>
      <w:r w:rsidRPr="003B2C45">
        <w:t xml:space="preserve"> Clarks Hill/Strom Thurmond system, modeled at fixed contractual values during conditions when their hydro is dispatched</w:t>
      </w:r>
    </w:p>
    <w:p w:rsidR="001A3191" w:rsidRPr="00213E5D" w:rsidRDefault="001A3191" w:rsidP="00276A75">
      <w:pPr>
        <w:pStyle w:val="Bullet1"/>
      </w:pPr>
      <w:r w:rsidRPr="003B2C45">
        <w:t xml:space="preserve">Firm imports from </w:t>
      </w:r>
      <w:r w:rsidR="0025357F">
        <w:t>South Carolina Public Service Authority (</w:t>
      </w:r>
      <w:r w:rsidRPr="003B2C45">
        <w:t>SCPSA</w:t>
      </w:r>
      <w:r w:rsidR="0025357F">
        <w:t>)</w:t>
      </w:r>
      <w:r w:rsidRPr="003B2C45">
        <w:t xml:space="preserve"> to numerous delivery points on the SCE</w:t>
      </w:r>
      <w:r w:rsidRPr="00213E5D">
        <w:t xml:space="preserve">&amp;G system </w:t>
      </w:r>
    </w:p>
    <w:p w:rsidR="001A3191" w:rsidRPr="00213E5D" w:rsidRDefault="001A3191" w:rsidP="00276A75">
      <w:pPr>
        <w:pStyle w:val="Bullet1"/>
      </w:pPr>
      <w:r w:rsidRPr="00213E5D">
        <w:t>Grandfathered exports to SCPSA for their share of the VC Summer Nuclear projects</w:t>
      </w:r>
    </w:p>
    <w:p w:rsidR="001A3191" w:rsidRPr="00213E5D" w:rsidRDefault="001A3191" w:rsidP="00276A75">
      <w:pPr>
        <w:pStyle w:val="Bullet1"/>
      </w:pPr>
      <w:r w:rsidRPr="00213E5D">
        <w:t>Chappells, an individual delivery point in Duke Energy Carolinas BAA served by SCE&amp;G, as native load</w:t>
      </w:r>
    </w:p>
    <w:p w:rsidR="001A3191" w:rsidRPr="00213E5D" w:rsidRDefault="001A3191" w:rsidP="00276A75">
      <w:pPr>
        <w:pStyle w:val="Bullet1"/>
      </w:pPr>
      <w:r w:rsidRPr="00213E5D">
        <w:t>Firm fixed capacity and energy sale from SCPSA to SCE&amp;G.</w:t>
      </w:r>
    </w:p>
    <w:p w:rsidR="001A3191" w:rsidRDefault="001A3191" w:rsidP="00276A75">
      <w:r>
        <w:t xml:space="preserve">Because generation resources and transmission service </w:t>
      </w:r>
      <w:r w:rsidR="0025357F">
        <w:t xml:space="preserve">frequently </w:t>
      </w:r>
      <w:r>
        <w:t>are not contracted for the entire ten years model</w:t>
      </w:r>
      <w:r w:rsidR="00213E5D">
        <w:t xml:space="preserve">ed </w:t>
      </w:r>
      <w:r>
        <w:t xml:space="preserve">in a </w:t>
      </w:r>
      <w:r w:rsidR="00213E5D">
        <w:t>study case</w:t>
      </w:r>
      <w:r>
        <w:t xml:space="preserve">, interchange coordination may require engineering judgment. This is due to the inherent unavailability of certain key elements such as confirmed transmission service or a firm energy contract. Resource forecasts and plans, rollover/renewal of </w:t>
      </w:r>
      <w:r w:rsidR="00213E5D">
        <w:t>transmission</w:t>
      </w:r>
      <w:r>
        <w:t xml:space="preserve"> service, and duration of energy contracts are all considered when coordinating interchange in the out-year cases. In general, SCE&amp;G assumes rollover rights for all transmission service requested and granted for a period of at least five years.</w:t>
      </w:r>
    </w:p>
    <w:p w:rsidR="001A3191" w:rsidRDefault="001A3191" w:rsidP="00276A75">
      <w:r>
        <w:t>As appropriate, SCE&amp;G includes reservation numbers and other pertinent information for each transaction.</w:t>
      </w:r>
    </w:p>
    <w:p w:rsidR="001A3191" w:rsidRPr="00AF29CA" w:rsidRDefault="001A3191" w:rsidP="00AF29CA">
      <w:pPr>
        <w:pStyle w:val="Heading3"/>
      </w:pPr>
      <w:bookmarkStart w:id="116" w:name="_Toc492985023"/>
      <w:bookmarkStart w:id="117" w:name="_Toc492985024"/>
      <w:bookmarkStart w:id="118" w:name="_Toc490484065"/>
      <w:bookmarkStart w:id="119" w:name="_Toc493163385"/>
      <w:bookmarkEnd w:id="116"/>
      <w:bookmarkEnd w:id="117"/>
      <w:r w:rsidRPr="00656F17">
        <w:t>South Carolina Public Service Authority</w:t>
      </w:r>
      <w:bookmarkEnd w:id="118"/>
      <w:bookmarkEnd w:id="119"/>
    </w:p>
    <w:p w:rsidR="001A3191" w:rsidRDefault="001A3191" w:rsidP="00276A75">
      <w:r>
        <w:t xml:space="preserve">South Carolina Public Service Authority (SCPSA) uses the same methods for internal and </w:t>
      </w:r>
      <w:r w:rsidR="0025357F">
        <w:t xml:space="preserve">Regional </w:t>
      </w:r>
      <w:r>
        <w:t>model building processes as the methods used for the MMWG model building effort. SCPSA uses the following criteria to determine if a transaction or contract should be modeled and built into the SERC interchange data for the load flow base cases:</w:t>
      </w:r>
    </w:p>
    <w:p w:rsidR="001A3191" w:rsidRPr="003B2C45" w:rsidRDefault="001A3191" w:rsidP="00276A75">
      <w:pPr>
        <w:pStyle w:val="Bullet1"/>
      </w:pPr>
      <w:r w:rsidRPr="003B2C45">
        <w:t xml:space="preserve">Each interchange transaction should be reviewed during/prior to the SERC </w:t>
      </w:r>
      <w:r w:rsidR="0025357F">
        <w:t>database update</w:t>
      </w:r>
      <w:r w:rsidR="0025357F" w:rsidRPr="003B2C45">
        <w:t xml:space="preserve"> </w:t>
      </w:r>
      <w:r w:rsidRPr="003B2C45">
        <w:t>process with SCPSA’s internal Transmission Services to verify</w:t>
      </w:r>
      <w:r w:rsidR="0025357F">
        <w:t xml:space="preserve"> the following</w:t>
      </w:r>
      <w:r w:rsidRPr="003B2C45">
        <w:t>:</w:t>
      </w:r>
    </w:p>
    <w:p w:rsidR="001A3191" w:rsidRPr="003B2C45" w:rsidRDefault="001A3191" w:rsidP="00276A75">
      <w:pPr>
        <w:pStyle w:val="Bullet2"/>
      </w:pPr>
      <w:r w:rsidRPr="003B2C45">
        <w:t>Transaction amount and timeframe</w:t>
      </w:r>
    </w:p>
    <w:p w:rsidR="001A3191" w:rsidRPr="00213E5D" w:rsidRDefault="001A3191" w:rsidP="00276A75">
      <w:pPr>
        <w:pStyle w:val="Bullet2"/>
      </w:pPr>
      <w:r w:rsidRPr="00213E5D">
        <w:t>Transaction type of firm or non-firm: typically only firm transactions are used in the interchange data</w:t>
      </w:r>
    </w:p>
    <w:p w:rsidR="001A3191" w:rsidRPr="00213E5D" w:rsidRDefault="001A3191" w:rsidP="00276A75">
      <w:pPr>
        <w:pStyle w:val="Bullet2"/>
      </w:pPr>
      <w:r w:rsidRPr="00213E5D">
        <w:t>Long term contract: amount and timeframe</w:t>
      </w:r>
    </w:p>
    <w:p w:rsidR="001A3191" w:rsidRPr="00213E5D" w:rsidRDefault="001A3191" w:rsidP="00276A75">
      <w:pPr>
        <w:pStyle w:val="Bullet1"/>
      </w:pPr>
      <w:r w:rsidRPr="00213E5D">
        <w:t>All transactions and contracts should have designated source and sink areas</w:t>
      </w:r>
      <w:r w:rsidR="0025357F">
        <w:t>.</w:t>
      </w:r>
    </w:p>
    <w:p w:rsidR="001A3191" w:rsidRPr="00213E5D" w:rsidRDefault="001A3191" w:rsidP="00276A75">
      <w:pPr>
        <w:pStyle w:val="Bullet1"/>
      </w:pPr>
      <w:r w:rsidRPr="00213E5D">
        <w:t>All transactions and contracts should have a common name that’s understood by both source and sink areas</w:t>
      </w:r>
      <w:r w:rsidR="0025357F">
        <w:t>.</w:t>
      </w:r>
    </w:p>
    <w:p w:rsidR="001A3191" w:rsidRDefault="001A3191" w:rsidP="00276A75">
      <w:r>
        <w:t xml:space="preserve">All source and sink areas or companies involved in the transactions must agree to </w:t>
      </w:r>
      <w:r w:rsidR="0025357F">
        <w:t xml:space="preserve">both the transaction values and the </w:t>
      </w:r>
      <w:r>
        <w:t xml:space="preserve">dates or the applicable seasons </w:t>
      </w:r>
      <w:r w:rsidR="0025357F">
        <w:t>for</w:t>
      </w:r>
      <w:r>
        <w:t xml:space="preserve"> the load flow cases of interest. </w:t>
      </w:r>
      <w:r>
        <w:lastRenderedPageBreak/>
        <w:t xml:space="preserve">SCPSA’s transmission planners </w:t>
      </w:r>
      <w:r w:rsidR="0025357F">
        <w:t>coordinate</w:t>
      </w:r>
      <w:r>
        <w:t xml:space="preserve"> with other compan</w:t>
      </w:r>
      <w:r w:rsidR="00B92159">
        <w:t>ies’</w:t>
      </w:r>
      <w:r>
        <w:t xml:space="preserve"> transmission planners or planning coordinators</w:t>
      </w:r>
      <w:r w:rsidR="0025357F">
        <w:t xml:space="preserve"> to achieve this</w:t>
      </w:r>
      <w:r>
        <w:t>.</w:t>
      </w:r>
    </w:p>
    <w:p w:rsidR="001A3191" w:rsidRDefault="001A3191" w:rsidP="00276A75">
      <w:r>
        <w:t>In recent years, SCPSA has shown the following interchange schedules in the MMWG/SERC LTSG series (not an all-inclusive list):</w:t>
      </w:r>
    </w:p>
    <w:p w:rsidR="001A3191" w:rsidRPr="003B2C45" w:rsidRDefault="001A3191" w:rsidP="00276A75">
      <w:pPr>
        <w:pStyle w:val="Bullet1"/>
      </w:pPr>
      <w:r w:rsidRPr="003B2C45">
        <w:t>Exports to Duke Energy Carolinas of the</w:t>
      </w:r>
      <w:r w:rsidR="00276A75">
        <w:t xml:space="preserve"> New Hampshire Electric Cooperative (NHEC) l</w:t>
      </w:r>
      <w:r w:rsidRPr="003B2C45">
        <w:t>oad</w:t>
      </w:r>
    </w:p>
    <w:p w:rsidR="001A3191" w:rsidRPr="003B2C45" w:rsidRDefault="001A3191" w:rsidP="00276A75">
      <w:pPr>
        <w:pStyle w:val="Bullet1"/>
      </w:pPr>
      <w:r w:rsidRPr="003B2C45">
        <w:t xml:space="preserve">Exports to Duke Energy Carolinas of the </w:t>
      </w:r>
      <w:r w:rsidR="0025357F">
        <w:t>Piedmont Municipal Power Agency (</w:t>
      </w:r>
      <w:r w:rsidRPr="003B2C45">
        <w:t>PMPA</w:t>
      </w:r>
      <w:r w:rsidR="0025357F">
        <w:t>)</w:t>
      </w:r>
      <w:r w:rsidRPr="003B2C45">
        <w:t xml:space="preserve"> load</w:t>
      </w:r>
    </w:p>
    <w:p w:rsidR="001A3191" w:rsidRPr="00AC3C35" w:rsidRDefault="001A3191" w:rsidP="00276A75">
      <w:pPr>
        <w:pStyle w:val="Bullet1"/>
      </w:pPr>
      <w:r w:rsidRPr="00AC3C35">
        <w:t>Exports to Duke Energy Carolinas of the Seneca load</w:t>
      </w:r>
    </w:p>
    <w:p w:rsidR="001A3191" w:rsidRPr="00AC3C35" w:rsidRDefault="001A3191" w:rsidP="00276A75">
      <w:pPr>
        <w:pStyle w:val="Bullet1"/>
      </w:pPr>
      <w:r w:rsidRPr="00AC3C35">
        <w:t>Imports from Duke Energy Carolinas of the Haile Gold Mine load</w:t>
      </w:r>
    </w:p>
    <w:p w:rsidR="001A3191" w:rsidRPr="00AC3C35" w:rsidRDefault="001A3191" w:rsidP="00276A75">
      <w:pPr>
        <w:pStyle w:val="Bullet1"/>
      </w:pPr>
      <w:r w:rsidRPr="00AC3C35">
        <w:t>Exports to Southern Company of the AMEA load</w:t>
      </w:r>
    </w:p>
    <w:p w:rsidR="001A3191" w:rsidRPr="003B2C45" w:rsidRDefault="001A3191" w:rsidP="00276A75">
      <w:pPr>
        <w:pStyle w:val="Bullet1"/>
      </w:pPr>
      <w:r w:rsidRPr="00AC3C35">
        <w:t>Import from SCE&amp;G of the V.C.</w:t>
      </w:r>
      <w:r w:rsidR="00812F57">
        <w:t xml:space="preserve"> </w:t>
      </w:r>
      <w:r w:rsidRPr="003B2C45">
        <w:t>Summer generation (one third of the plant output is owned by SCPSA)</w:t>
      </w:r>
    </w:p>
    <w:p w:rsidR="001A3191" w:rsidRPr="00AC3C35" w:rsidRDefault="001A3191" w:rsidP="00276A75">
      <w:pPr>
        <w:pStyle w:val="Bullet1"/>
      </w:pPr>
      <w:r w:rsidRPr="003B2C45">
        <w:t>Exports to SCE&amp;G of the Charleston Navy Yard load and NHEC load</w:t>
      </w:r>
    </w:p>
    <w:p w:rsidR="001A3191" w:rsidRPr="00AC3C35" w:rsidRDefault="001A3191" w:rsidP="00276A75">
      <w:pPr>
        <w:pStyle w:val="Bullet1"/>
      </w:pPr>
      <w:r w:rsidRPr="00AC3C35">
        <w:t>Imports from South Eastern Power Administration (SEPA) at Russell and Thurmond</w:t>
      </w:r>
    </w:p>
    <w:p w:rsidR="001A3191" w:rsidRDefault="001A3191" w:rsidP="001A3191">
      <w:pPr>
        <w:spacing w:after="0"/>
      </w:pPr>
    </w:p>
    <w:p w:rsidR="001A3191" w:rsidRDefault="00AC3C35" w:rsidP="00276A75">
      <w:r>
        <w:t>T</w:t>
      </w:r>
      <w:r w:rsidR="001A3191">
        <w:t>he term of the transmission service may not be contracted for the entire ten years series of models included,</w:t>
      </w:r>
      <w:r>
        <w:t xml:space="preserve"> therefore</w:t>
      </w:r>
      <w:r w:rsidR="001A3191">
        <w:t xml:space="preserve"> interchange coordination may require</w:t>
      </w:r>
      <w:r w:rsidR="001A3191" w:rsidRPr="003B2C45">
        <w:t xml:space="preserve"> engineering judgment. The SCPSA transmission planners coordinate with external transmission planners or planning coordinators</w:t>
      </w:r>
      <w:r w:rsidR="0025357F">
        <w:t xml:space="preserve"> for any judgment</w:t>
      </w:r>
      <w:r w:rsidR="001A3191" w:rsidRPr="003B2C45">
        <w:t xml:space="preserve">. </w:t>
      </w:r>
      <w:r w:rsidR="0025357F">
        <w:t>Planners consider r</w:t>
      </w:r>
      <w:r w:rsidR="001A3191" w:rsidRPr="003B2C45">
        <w:t xml:space="preserve">esource forecasts, rollover/renewal of transmission service, and duration of energy contracts when coordinating interchange in the </w:t>
      </w:r>
      <w:r w:rsidRPr="003B2C45">
        <w:t xml:space="preserve">future </w:t>
      </w:r>
      <w:r w:rsidR="001A3191" w:rsidRPr="003B2C45">
        <w:t>year cases where firm transactions or contr</w:t>
      </w:r>
      <w:r w:rsidR="001A3191">
        <w:t>acts are</w:t>
      </w:r>
      <w:r w:rsidR="0025357F">
        <w:t xml:space="preserve"> not </w:t>
      </w:r>
      <w:r w:rsidR="001A3191">
        <w:t xml:space="preserve">scheduled. </w:t>
      </w:r>
    </w:p>
    <w:p w:rsidR="001A3191" w:rsidRPr="00AF29CA" w:rsidRDefault="00C54D85" w:rsidP="00AF29CA">
      <w:pPr>
        <w:pStyle w:val="Heading3"/>
      </w:pPr>
      <w:bookmarkStart w:id="120" w:name="_Toc492985026"/>
      <w:bookmarkStart w:id="121" w:name="_Toc492985027"/>
      <w:bookmarkEnd w:id="120"/>
      <w:bookmarkEnd w:id="121"/>
      <w:r w:rsidRPr="00656F17">
        <w:t xml:space="preserve"> </w:t>
      </w:r>
      <w:bookmarkStart w:id="122" w:name="_Toc490484066"/>
      <w:bookmarkStart w:id="123" w:name="_Toc493163386"/>
      <w:r w:rsidR="001A3191" w:rsidRPr="00656F17">
        <w:t>Southern Company</w:t>
      </w:r>
      <w:bookmarkEnd w:id="122"/>
      <w:bookmarkEnd w:id="123"/>
      <w:r w:rsidR="00812F57">
        <w:t xml:space="preserve"> </w:t>
      </w:r>
    </w:p>
    <w:p w:rsidR="001A3191" w:rsidRPr="00D3406E" w:rsidRDefault="001A3191" w:rsidP="00276A75">
      <w:pPr>
        <w:rPr>
          <w:rFonts w:eastAsiaTheme="minorHAnsi"/>
        </w:rPr>
      </w:pPr>
      <w:r w:rsidRPr="00D3406E">
        <w:rPr>
          <w:rFonts w:eastAsiaTheme="minorHAnsi"/>
        </w:rPr>
        <w:t xml:space="preserve">Southern Company does not differentiate between the criteria it uses for internal base case model building processes and </w:t>
      </w:r>
      <w:r w:rsidR="00AC3C35">
        <w:rPr>
          <w:rFonts w:eastAsiaTheme="minorHAnsi"/>
        </w:rPr>
        <w:t xml:space="preserve">that </w:t>
      </w:r>
      <w:r w:rsidR="008E31D1">
        <w:rPr>
          <w:rFonts w:eastAsiaTheme="minorHAnsi"/>
        </w:rPr>
        <w:t xml:space="preserve">used </w:t>
      </w:r>
      <w:r w:rsidR="008E31D1" w:rsidRPr="00D3406E">
        <w:rPr>
          <w:rFonts w:eastAsiaTheme="minorHAnsi"/>
        </w:rPr>
        <w:t>for</w:t>
      </w:r>
      <w:r w:rsidRPr="00D3406E">
        <w:rPr>
          <w:rFonts w:eastAsiaTheme="minorHAnsi"/>
        </w:rPr>
        <w:t xml:space="preserve"> the MMWG model building effort.  </w:t>
      </w:r>
    </w:p>
    <w:p w:rsidR="001A3191" w:rsidRPr="00D3406E" w:rsidRDefault="001A3191" w:rsidP="00276A75">
      <w:pPr>
        <w:rPr>
          <w:rFonts w:eastAsiaTheme="minorHAnsi"/>
        </w:rPr>
      </w:pPr>
      <w:r w:rsidRPr="00D3406E">
        <w:rPr>
          <w:rFonts w:eastAsiaTheme="minorHAnsi"/>
        </w:rPr>
        <w:t xml:space="preserve">There are several criteria that a transaction must meet to be modeled in the Southern Company planning models. Generally, all transactions </w:t>
      </w:r>
      <w:r w:rsidR="0025357F">
        <w:rPr>
          <w:rFonts w:eastAsiaTheme="minorHAnsi"/>
        </w:rPr>
        <w:t>that</w:t>
      </w:r>
      <w:r w:rsidR="0025357F" w:rsidRPr="00D3406E">
        <w:rPr>
          <w:rFonts w:eastAsiaTheme="minorHAnsi"/>
        </w:rPr>
        <w:t xml:space="preserve"> </w:t>
      </w:r>
      <w:r w:rsidRPr="00D3406E">
        <w:rPr>
          <w:rFonts w:eastAsiaTheme="minorHAnsi"/>
        </w:rPr>
        <w:t>have a long-term firm, full path reservation</w:t>
      </w:r>
      <w:r w:rsidR="00AC3C35">
        <w:rPr>
          <w:rFonts w:eastAsiaTheme="minorHAnsi"/>
        </w:rPr>
        <w:t>,</w:t>
      </w:r>
      <w:r w:rsidRPr="00D3406E">
        <w:rPr>
          <w:rFonts w:eastAsiaTheme="minorHAnsi"/>
        </w:rPr>
        <w:t xml:space="preserve"> and an available source</w:t>
      </w:r>
      <w:r w:rsidR="00AC3C35">
        <w:rPr>
          <w:rFonts w:eastAsiaTheme="minorHAnsi"/>
        </w:rPr>
        <w:t>,</w:t>
      </w:r>
      <w:r w:rsidRPr="00D3406E">
        <w:rPr>
          <w:rFonts w:eastAsiaTheme="minorHAnsi"/>
        </w:rPr>
        <w:t xml:space="preserve"> will be modeled. The following provide</w:t>
      </w:r>
      <w:r w:rsidR="0025357F">
        <w:rPr>
          <w:rFonts w:eastAsiaTheme="minorHAnsi"/>
        </w:rPr>
        <w:t>s</w:t>
      </w:r>
      <w:r w:rsidRPr="00D3406E">
        <w:rPr>
          <w:rFonts w:eastAsiaTheme="minorHAnsi"/>
        </w:rPr>
        <w:t xml:space="preserve"> some detail on each of these criteria</w:t>
      </w:r>
      <w:r w:rsidR="00AC3C35">
        <w:rPr>
          <w:rFonts w:eastAsiaTheme="minorHAnsi"/>
        </w:rPr>
        <w:t>:</w:t>
      </w:r>
    </w:p>
    <w:p w:rsidR="001A3191" w:rsidRPr="00D3406E" w:rsidRDefault="001A3191" w:rsidP="00276A75">
      <w:pPr>
        <w:pStyle w:val="Bullet1"/>
        <w:rPr>
          <w:rFonts w:eastAsiaTheme="minorHAnsi"/>
        </w:rPr>
      </w:pPr>
      <w:r w:rsidRPr="00D3406E">
        <w:rPr>
          <w:rFonts w:eastAsiaTheme="minorHAnsi"/>
        </w:rPr>
        <w:t xml:space="preserve">Long-term firm transmission service is defined as transmission service </w:t>
      </w:r>
      <w:r w:rsidR="0025357F">
        <w:rPr>
          <w:rFonts w:eastAsiaTheme="minorHAnsi"/>
        </w:rPr>
        <w:t>with a</w:t>
      </w:r>
      <w:r w:rsidRPr="00D3406E">
        <w:rPr>
          <w:rFonts w:eastAsiaTheme="minorHAnsi"/>
        </w:rPr>
        <w:t xml:space="preserve"> length of at least one year or more. If the transmission service is for </w:t>
      </w:r>
      <w:r w:rsidR="0025357F">
        <w:rPr>
          <w:rFonts w:eastAsiaTheme="minorHAnsi"/>
        </w:rPr>
        <w:t>five</w:t>
      </w:r>
      <w:r w:rsidR="0025357F" w:rsidRPr="00D3406E">
        <w:rPr>
          <w:rFonts w:eastAsiaTheme="minorHAnsi"/>
        </w:rPr>
        <w:t xml:space="preserve"> </w:t>
      </w:r>
      <w:r w:rsidRPr="00D3406E">
        <w:rPr>
          <w:rFonts w:eastAsiaTheme="minorHAnsi"/>
        </w:rPr>
        <w:t>years or greater, rollover rights shall be preserved throughout the planning horizon.</w:t>
      </w:r>
    </w:p>
    <w:p w:rsidR="001A3191" w:rsidRPr="00D3406E" w:rsidRDefault="001A3191" w:rsidP="00276A75">
      <w:pPr>
        <w:pStyle w:val="Bullet1"/>
        <w:rPr>
          <w:rFonts w:eastAsiaTheme="minorHAnsi"/>
        </w:rPr>
      </w:pPr>
      <w:r w:rsidRPr="00D3406E">
        <w:rPr>
          <w:rFonts w:eastAsiaTheme="minorHAnsi"/>
        </w:rPr>
        <w:t>Full path</w:t>
      </w:r>
      <w:r w:rsidR="00AC3C35">
        <w:rPr>
          <w:rFonts w:eastAsiaTheme="minorHAnsi"/>
        </w:rPr>
        <w:t xml:space="preserve"> designation indicates </w:t>
      </w:r>
      <w:r w:rsidRPr="00D3406E">
        <w:rPr>
          <w:rFonts w:eastAsiaTheme="minorHAnsi"/>
        </w:rPr>
        <w:t>there must be transmission service on both sides of the interface</w:t>
      </w:r>
      <w:r w:rsidR="0025357F">
        <w:rPr>
          <w:rFonts w:eastAsiaTheme="minorHAnsi"/>
        </w:rPr>
        <w:t>,</w:t>
      </w:r>
      <w:r w:rsidRPr="00D3406E">
        <w:rPr>
          <w:rFonts w:eastAsiaTheme="minorHAnsi"/>
        </w:rPr>
        <w:t xml:space="preserve"> from the source generator to the sinking load serving entity.</w:t>
      </w:r>
    </w:p>
    <w:p w:rsidR="001A3191" w:rsidRPr="00D3406E" w:rsidRDefault="001A3191" w:rsidP="00276A75">
      <w:pPr>
        <w:pStyle w:val="Bullet1"/>
        <w:rPr>
          <w:rFonts w:eastAsiaTheme="minorHAnsi"/>
        </w:rPr>
      </w:pPr>
      <w:r w:rsidRPr="00D3406E">
        <w:rPr>
          <w:rFonts w:eastAsiaTheme="minorHAnsi"/>
        </w:rPr>
        <w:t>The source generator of the transaction must be available and able to provide the capacity needed for the reservation.</w:t>
      </w:r>
    </w:p>
    <w:p w:rsidR="001A3191" w:rsidRPr="00D3406E" w:rsidRDefault="001A3191" w:rsidP="00276A75">
      <w:pPr>
        <w:rPr>
          <w:rFonts w:eastAsiaTheme="minorHAnsi"/>
        </w:rPr>
      </w:pPr>
      <w:r w:rsidRPr="00D3406E">
        <w:rPr>
          <w:rFonts w:eastAsiaTheme="minorHAnsi"/>
        </w:rPr>
        <w:lastRenderedPageBreak/>
        <w:t>Before any long-term firm</w:t>
      </w:r>
      <w:r w:rsidR="00AC3C35">
        <w:rPr>
          <w:rFonts w:eastAsiaTheme="minorHAnsi"/>
        </w:rPr>
        <w:t>,</w:t>
      </w:r>
      <w:r w:rsidRPr="00D3406E">
        <w:rPr>
          <w:rFonts w:eastAsiaTheme="minorHAnsi"/>
        </w:rPr>
        <w:t xml:space="preserve"> full path transaction is modeled, all affected Transmission Providers along the path of the transaction must agree that the transaction meets the above listed criteria.</w:t>
      </w:r>
    </w:p>
    <w:p w:rsidR="001A3191" w:rsidRPr="00D3406E" w:rsidRDefault="001A3191" w:rsidP="00276A75">
      <w:pPr>
        <w:rPr>
          <w:rFonts w:eastAsiaTheme="minorHAnsi"/>
        </w:rPr>
      </w:pPr>
      <w:r w:rsidRPr="00D3406E">
        <w:rPr>
          <w:rFonts w:eastAsiaTheme="minorHAnsi"/>
        </w:rPr>
        <w:t xml:space="preserve">The amount modeled will be the full reservation amount, unless </w:t>
      </w:r>
      <w:r w:rsidR="0025357F" w:rsidRPr="00D3406E">
        <w:rPr>
          <w:rFonts w:eastAsiaTheme="minorHAnsi"/>
        </w:rPr>
        <w:t xml:space="preserve">all affected Transmission Providers </w:t>
      </w:r>
      <w:r w:rsidR="0025357F">
        <w:rPr>
          <w:rFonts w:eastAsiaTheme="minorHAnsi"/>
        </w:rPr>
        <w:t xml:space="preserve">agree upon </w:t>
      </w:r>
      <w:r w:rsidRPr="00D3406E">
        <w:rPr>
          <w:rFonts w:eastAsiaTheme="minorHAnsi"/>
        </w:rPr>
        <w:t xml:space="preserve">another value. For instance, if the source generator </w:t>
      </w:r>
      <w:r w:rsidR="0025357F" w:rsidRPr="00D3406E">
        <w:rPr>
          <w:rFonts w:eastAsiaTheme="minorHAnsi"/>
        </w:rPr>
        <w:t>does not</w:t>
      </w:r>
      <w:r w:rsidRPr="00D3406E">
        <w:rPr>
          <w:rFonts w:eastAsiaTheme="minorHAnsi"/>
        </w:rPr>
        <w:t xml:space="preserve"> have enough capacity to facilitate the full contract amount, the transaction will be reduced to the amount available from the source.</w:t>
      </w:r>
    </w:p>
    <w:p w:rsidR="001A3191" w:rsidRDefault="001A3191" w:rsidP="00276A75">
      <w:pPr>
        <w:rPr>
          <w:b/>
          <w:u w:val="single"/>
        </w:rPr>
      </w:pPr>
      <w:r w:rsidRPr="00D3406E">
        <w:rPr>
          <w:rFonts w:eastAsiaTheme="minorHAnsi"/>
        </w:rPr>
        <w:t>Southern Company has attempted to include OASIS reservation numbers and/or source generators in the description field of the interchange spreadsheet.</w:t>
      </w:r>
    </w:p>
    <w:p w:rsidR="00BC4BC0" w:rsidRPr="00AF29CA" w:rsidRDefault="001A3191" w:rsidP="00AF29CA">
      <w:pPr>
        <w:pStyle w:val="Heading3"/>
      </w:pPr>
      <w:bookmarkStart w:id="124" w:name="_Toc490484067"/>
      <w:bookmarkStart w:id="125" w:name="_Ref493060094"/>
      <w:bookmarkStart w:id="126" w:name="_Toc493163387"/>
      <w:r w:rsidRPr="00656F17">
        <w:t>T</w:t>
      </w:r>
      <w:r w:rsidR="006779E5" w:rsidRPr="00656F17">
        <w:t xml:space="preserve">ennessee </w:t>
      </w:r>
      <w:r w:rsidR="00BC4BC0" w:rsidRPr="00656F17">
        <w:t>V</w:t>
      </w:r>
      <w:r w:rsidR="006779E5" w:rsidRPr="00656F17">
        <w:t xml:space="preserve">alley </w:t>
      </w:r>
      <w:r w:rsidR="00BC4BC0" w:rsidRPr="00656F17">
        <w:t>A</w:t>
      </w:r>
      <w:r w:rsidR="006779E5" w:rsidRPr="00656F17">
        <w:t>uthority (TVA)</w:t>
      </w:r>
      <w:bookmarkEnd w:id="124"/>
      <w:bookmarkEnd w:id="125"/>
      <w:bookmarkEnd w:id="126"/>
    </w:p>
    <w:p w:rsidR="00BC4BC0" w:rsidRDefault="00BC4BC0" w:rsidP="00276A75">
      <w:r>
        <w:t xml:space="preserve">TVA does not differentiate between the criteria it uses for any internal or </w:t>
      </w:r>
      <w:r w:rsidR="0025357F">
        <w:t xml:space="preserve">Regional </w:t>
      </w:r>
      <w:r>
        <w:t>model building processes and what it uses for the MMWG model building effort. TVA uses the following criteria to determine if a transaction can be or should be modeled.</w:t>
      </w:r>
    </w:p>
    <w:p w:rsidR="0025357F" w:rsidRDefault="00BC4BC0" w:rsidP="00276A75">
      <w:r w:rsidRPr="00332CCE">
        <w:rPr>
          <w:i/>
        </w:rPr>
        <w:t>First</w:t>
      </w:r>
      <w:r>
        <w:t xml:space="preserve">, all transactions must have confirmed annual firm transmission service, for one year or longer, along the entire path from source to sink.  </w:t>
      </w:r>
    </w:p>
    <w:p w:rsidR="00BC4BC0" w:rsidRDefault="00BC4BC0" w:rsidP="00276A75">
      <w:r w:rsidRPr="00332CCE">
        <w:rPr>
          <w:i/>
        </w:rPr>
        <w:t>Second</w:t>
      </w:r>
      <w:r>
        <w:t>, a firm energy contract for the resource must be in place. The amount of interchange in any given year/season is not necessarily the same as the full capacity allowed under the transmission service or energy contract. The amount of interchange for a year/season should represent the expected and agreed upon firm capacity to serve load</w:t>
      </w:r>
      <w:r w:rsidR="0025357F">
        <w:t>;</w:t>
      </w:r>
      <w:r>
        <w:t xml:space="preserve"> thus</w:t>
      </w:r>
      <w:r w:rsidR="0025357F">
        <w:t>,</w:t>
      </w:r>
      <w:r>
        <w:t xml:space="preserve"> the resulting model would contain the flows associated with these firm transfers that </w:t>
      </w:r>
      <w:r w:rsidR="0025357F">
        <w:t xml:space="preserve">are </w:t>
      </w:r>
      <w:r>
        <w:t>expected to occur in real time.</w:t>
      </w:r>
    </w:p>
    <w:p w:rsidR="00BC4BC0" w:rsidRDefault="00BC4BC0" w:rsidP="00276A75">
      <w:r w:rsidRPr="00332CCE">
        <w:rPr>
          <w:i/>
        </w:rPr>
        <w:t>Third</w:t>
      </w:r>
      <w:r>
        <w:t>, all parties involved in the transfer must agree to the dates and transaction value. If transmission service reservation dates do not line up along the full path, then only the dates for which the reservations overlap will be modeled. This is also true when considering rollover rights. If there are different amounts on either side, then the lower amount becomes the coordinated value.</w:t>
      </w:r>
    </w:p>
    <w:p w:rsidR="00BC4BC0" w:rsidRDefault="00BC4BC0" w:rsidP="00276A75">
      <w:r>
        <w:t>In recent years, the TVA Balancing Authority Area (BAA) has shown the following transactions and interchange schedules in the MMWG series, in no particular order:</w:t>
      </w:r>
    </w:p>
    <w:p w:rsidR="00BC4BC0" w:rsidRPr="003B2C45" w:rsidRDefault="00BC4BC0" w:rsidP="00276A75">
      <w:pPr>
        <w:pStyle w:val="Bullet1"/>
      </w:pPr>
      <w:r w:rsidRPr="003B2C45">
        <w:t xml:space="preserve">Exports from SEPA's Cumberland River system, modeled at fixed contractual values during conditions when </w:t>
      </w:r>
      <w:r w:rsidR="0025357F">
        <w:t>they dispatch</w:t>
      </w:r>
      <w:r w:rsidR="0025357F" w:rsidRPr="003B2C45">
        <w:t xml:space="preserve"> </w:t>
      </w:r>
      <w:r w:rsidRPr="003B2C45">
        <w:t>hydro. Receiving entities include BREC, EKPC, CPLW, SMEPA, MEAM (in Entergy), MDEA (in Cleco), SIPC, KMPA (in LGEE), KyMEA (also in LGEE), and OMUA.</w:t>
      </w:r>
    </w:p>
    <w:p w:rsidR="00BC4BC0" w:rsidRPr="00C074A6" w:rsidRDefault="00BC4BC0" w:rsidP="00276A75">
      <w:pPr>
        <w:pStyle w:val="Bullet1"/>
      </w:pPr>
      <w:r w:rsidRPr="00C074A6">
        <w:t>Modeled wind farm power purchase agreements from ComEd (Cayuga Ridge and Bishop Hill, both at full contractual values in all years/seasons) and from ALTW (Pioneer Prairie, at partial contractual values in varying years/seasons). TVA has several more firm energy contracts for wind from other resources; however, due to the various industry positions on how to appropriately dispatch and model wind farm output, TVA has had limited success in its efforts to coordinate and model these imports.</w:t>
      </w:r>
    </w:p>
    <w:p w:rsidR="00BC4BC0" w:rsidRPr="00C074A6" w:rsidRDefault="00BC4BC0" w:rsidP="00276A75">
      <w:pPr>
        <w:pStyle w:val="Bullet1"/>
      </w:pPr>
      <w:r w:rsidRPr="00C074A6">
        <w:lastRenderedPageBreak/>
        <w:t xml:space="preserve">Native loads served by a neighboring transmission system, including individual TVA delivery point loads on SOCO, LGEE, and Entergy, and SOCO delivery point loads on TVA. TVA loads on LGEE and Entergy use the </w:t>
      </w:r>
      <w:r w:rsidR="0025357F">
        <w:t>‘</w:t>
      </w:r>
      <w:r w:rsidRPr="00C074A6">
        <w:t>tie lines + loads</w:t>
      </w:r>
      <w:r w:rsidR="0025357F">
        <w:t>”</w:t>
      </w:r>
      <w:r w:rsidRPr="00C074A6">
        <w:t xml:space="preserve"> solution method to achieve interchange, rather than by scheduling them as transactions.</w:t>
      </w:r>
      <w:bookmarkStart w:id="127" w:name="_GoBack"/>
      <w:bookmarkEnd w:id="127"/>
    </w:p>
    <w:p w:rsidR="00BC4BC0" w:rsidRPr="00C074A6" w:rsidRDefault="00BC4BC0" w:rsidP="00276A75">
      <w:pPr>
        <w:pStyle w:val="Bullet1"/>
      </w:pPr>
      <w:r w:rsidRPr="00C074A6">
        <w:t>Choctaw, which is a generation asset owned by NRG and modeled in the TVA BAA, dispatched and exported to LAGN (also owned by NRG) for the entire plant output.</w:t>
      </w:r>
    </w:p>
    <w:p w:rsidR="00BC4BC0" w:rsidRPr="00C074A6" w:rsidRDefault="00BC4BC0" w:rsidP="00276A75">
      <w:pPr>
        <w:pStyle w:val="Bullet1"/>
      </w:pPr>
      <w:r w:rsidRPr="00C074A6">
        <w:t>Exports to Alcoa, a TVA industrial customer load in TAP.</w:t>
      </w:r>
    </w:p>
    <w:p w:rsidR="00BC4BC0" w:rsidRPr="00C074A6" w:rsidRDefault="00BC4BC0" w:rsidP="00276A75">
      <w:pPr>
        <w:pStyle w:val="Bullet1"/>
      </w:pPr>
      <w:r w:rsidRPr="00C074A6">
        <w:t>Imports from Brookfield in SMT (the remaining non-firm portion of their dispatched hydro).</w:t>
      </w:r>
    </w:p>
    <w:p w:rsidR="00BC4BC0" w:rsidRDefault="00BC4BC0" w:rsidP="00276A75">
      <w:r>
        <w:t xml:space="preserve">Because generation resources and transmission service </w:t>
      </w:r>
      <w:r w:rsidR="0025357F">
        <w:t xml:space="preserve">frequently </w:t>
      </w:r>
      <w:r>
        <w:t xml:space="preserve">are not contracted for the entire ten years of models in a series, interchange coordination in some cases may require engineering judgment. This </w:t>
      </w:r>
      <w:r w:rsidR="0025591F">
        <w:t xml:space="preserve">is </w:t>
      </w:r>
      <w:r>
        <w:t xml:space="preserve">due to the inherent unavailability of certain key elements such as confirmed transmission service or a firm energy contract. </w:t>
      </w:r>
      <w:r w:rsidR="0025357F">
        <w:t>Planners consider r</w:t>
      </w:r>
      <w:r>
        <w:t>esource forecasts and plans, rollover/renewal of transmission service, and duration of energy contracts when coordinating interchange in the out-year cases. TVA assumes rollover rights for all transmission service requested and granted for a period of at least five years.</w:t>
      </w:r>
    </w:p>
    <w:p w:rsidR="00BC4BC0" w:rsidRDefault="00BC4BC0" w:rsidP="00276A75">
      <w:r>
        <w:t>As appropriate, TVA includes reservation numbers and other pertinent information each transaction.</w:t>
      </w:r>
    </w:p>
    <w:p w:rsidR="002D60B0" w:rsidRPr="00AB3255" w:rsidRDefault="00405F35" w:rsidP="00AF29CA">
      <w:pPr>
        <w:pStyle w:val="Heading1"/>
      </w:pPr>
      <w:bookmarkStart w:id="128" w:name="_Toc492985030"/>
      <w:bookmarkStart w:id="129" w:name="_Toc492985031"/>
      <w:bookmarkStart w:id="130" w:name="_Toc490484068"/>
      <w:bookmarkStart w:id="131" w:name="_Toc493163388"/>
      <w:bookmarkEnd w:id="128"/>
      <w:bookmarkEnd w:id="129"/>
      <w:r w:rsidRPr="00AB3255">
        <w:t>MOD</w:t>
      </w:r>
      <w:r w:rsidR="000F3DB5">
        <w:t>-0</w:t>
      </w:r>
      <w:r w:rsidRPr="00AB3255">
        <w:t>32 Impact</w:t>
      </w:r>
      <w:bookmarkEnd w:id="130"/>
      <w:bookmarkEnd w:id="131"/>
    </w:p>
    <w:p w:rsidR="00C962DD" w:rsidRDefault="005408BD" w:rsidP="00C962DD">
      <w:pPr>
        <w:rPr>
          <w:rFonts w:cs="Arial"/>
        </w:rPr>
      </w:pPr>
      <w:r w:rsidRPr="005408BD">
        <w:t xml:space="preserve">With </w:t>
      </w:r>
      <w:r w:rsidR="00C962DD" w:rsidRPr="005408BD">
        <w:t>t</w:t>
      </w:r>
      <w:r w:rsidR="00C962DD">
        <w:t xml:space="preserve">he </w:t>
      </w:r>
      <w:r>
        <w:t xml:space="preserve">July 1, 2016 </w:t>
      </w:r>
      <w:r w:rsidR="00C962DD">
        <w:t>MOD-</w:t>
      </w:r>
      <w:r w:rsidR="000F3DB5">
        <w:t>0</w:t>
      </w:r>
      <w:r w:rsidR="00C962DD">
        <w:t xml:space="preserve">32 implementation, Planning Coordinators are </w:t>
      </w:r>
      <w:r>
        <w:t>expected to coordinate</w:t>
      </w:r>
      <w:r w:rsidR="00C962DD">
        <w:t xml:space="preserve"> with each other to model firm transactions </w:t>
      </w:r>
      <w:r w:rsidR="00106D7C">
        <w:t>in</w:t>
      </w:r>
      <w:r w:rsidR="00C962DD">
        <w:t xml:space="preserve"> building ERAG models</w:t>
      </w:r>
      <w:r>
        <w:rPr>
          <w:rFonts w:cs="Arial"/>
        </w:rPr>
        <w:t xml:space="preserve">. This </w:t>
      </w:r>
      <w:r w:rsidR="00AA7489">
        <w:rPr>
          <w:rFonts w:cs="Arial"/>
        </w:rPr>
        <w:t>should</w:t>
      </w:r>
      <w:r>
        <w:rPr>
          <w:rFonts w:cs="Arial"/>
        </w:rPr>
        <w:t xml:space="preserve"> provide</w:t>
      </w:r>
      <w:r w:rsidR="009D5FB5">
        <w:rPr>
          <w:rFonts w:cs="Arial"/>
        </w:rPr>
        <w:t xml:space="preserve"> an additional</w:t>
      </w:r>
      <w:r w:rsidR="00C962DD">
        <w:rPr>
          <w:rFonts w:cs="Arial"/>
        </w:rPr>
        <w:t xml:space="preserve"> layer </w:t>
      </w:r>
      <w:r w:rsidR="009D5FB5">
        <w:rPr>
          <w:rFonts w:cs="Arial"/>
        </w:rPr>
        <w:t xml:space="preserve">of </w:t>
      </w:r>
      <w:r w:rsidR="00C962DD">
        <w:rPr>
          <w:rFonts w:cs="Arial"/>
        </w:rPr>
        <w:t xml:space="preserve">coordination among </w:t>
      </w:r>
      <w:r w:rsidR="009D5FB5">
        <w:rPr>
          <w:rFonts w:cs="Arial"/>
        </w:rPr>
        <w:t>transacting parties</w:t>
      </w:r>
      <w:r w:rsidR="00C962DD">
        <w:rPr>
          <w:rFonts w:cs="Arial"/>
        </w:rPr>
        <w:t>.</w:t>
      </w:r>
    </w:p>
    <w:p w:rsidR="00AF1035" w:rsidRDefault="00AF1035" w:rsidP="00AF1035">
      <w:pPr>
        <w:pStyle w:val="Heading1"/>
      </w:pPr>
      <w:bookmarkStart w:id="132" w:name="_Toc492985033"/>
      <w:bookmarkStart w:id="133" w:name="_Toc490484069"/>
      <w:bookmarkStart w:id="134" w:name="_Toc493163389"/>
      <w:bookmarkEnd w:id="132"/>
      <w:r w:rsidRPr="000D3BAD">
        <w:t xml:space="preserve">Conclusions &amp; </w:t>
      </w:r>
      <w:r w:rsidR="00213C8E" w:rsidRPr="000D3BAD">
        <w:t>R</w:t>
      </w:r>
      <w:r w:rsidRPr="000D3BAD">
        <w:t>ecommendations</w:t>
      </w:r>
      <w:bookmarkEnd w:id="133"/>
      <w:bookmarkEnd w:id="134"/>
    </w:p>
    <w:p w:rsidR="009248E5" w:rsidRDefault="0025591F" w:rsidP="00276A75">
      <w:r>
        <w:t xml:space="preserve">While characterizing firm flows within the SERC </w:t>
      </w:r>
      <w:r w:rsidR="00AA7489">
        <w:t xml:space="preserve">Region </w:t>
      </w:r>
      <w:r>
        <w:t xml:space="preserve">is challenging, </w:t>
      </w:r>
      <w:r w:rsidR="0097576C">
        <w:t xml:space="preserve">inadequate </w:t>
      </w:r>
      <w:r>
        <w:t xml:space="preserve">coordination may be responsible for </w:t>
      </w:r>
      <w:r w:rsidR="009248E5">
        <w:t xml:space="preserve">studies not accurately addressing TSR’s.  </w:t>
      </w:r>
      <w:r>
        <w:t xml:space="preserve">While assessments/studies are never exact representations of the system, they should represent them closely enough to allow generally accurate </w:t>
      </w:r>
      <w:r w:rsidR="00400A6D">
        <w:t xml:space="preserve">assessment conclusions and recommendations. </w:t>
      </w:r>
    </w:p>
    <w:p w:rsidR="00400A6D" w:rsidRDefault="00400A6D" w:rsidP="00C93FD2"/>
    <w:p w:rsidR="0025591F" w:rsidRDefault="00400A6D" w:rsidP="00C93FD2">
      <w:r>
        <w:t>General FFTF conclusions</w:t>
      </w:r>
      <w:r w:rsidR="00E97658">
        <w:t>/recommendations</w:t>
      </w:r>
      <w:r>
        <w:t xml:space="preserve"> include:</w:t>
      </w:r>
      <w:r w:rsidR="0025591F">
        <w:t xml:space="preserve">  </w:t>
      </w:r>
    </w:p>
    <w:p w:rsidR="003B6ABA" w:rsidRPr="003B2C45" w:rsidRDefault="00AA7489" w:rsidP="00276A75">
      <w:pPr>
        <w:pStyle w:val="List123"/>
        <w:numPr>
          <w:ilvl w:val="0"/>
          <w:numId w:val="51"/>
        </w:numPr>
      </w:pPr>
      <w:r>
        <w:t>The FFTF recognizes</w:t>
      </w:r>
      <w:r w:rsidR="00980FA2" w:rsidRPr="003B2C45">
        <w:t xml:space="preserve"> </w:t>
      </w:r>
      <w:r w:rsidR="003B6ABA" w:rsidRPr="003B2C45">
        <w:t xml:space="preserve">that </w:t>
      </w:r>
      <w:r w:rsidRPr="003B2C45">
        <w:t xml:space="preserve">all PCs </w:t>
      </w:r>
      <w:r>
        <w:t xml:space="preserve">currently make </w:t>
      </w:r>
      <w:r w:rsidR="00276A75">
        <w:t xml:space="preserve">significant </w:t>
      </w:r>
      <w:r w:rsidR="003B6ABA" w:rsidRPr="003B2C45">
        <w:t>efforts to model expected firm flows and thus generate valid SERC assessments</w:t>
      </w:r>
      <w:r w:rsidR="009C4618" w:rsidRPr="003B2C45">
        <w:t>.</w:t>
      </w:r>
    </w:p>
    <w:p w:rsidR="009248E5" w:rsidRPr="00400A6D" w:rsidRDefault="009248E5" w:rsidP="00276A75">
      <w:pPr>
        <w:pStyle w:val="List123"/>
      </w:pPr>
      <w:r w:rsidRPr="003B2C45">
        <w:t xml:space="preserve">Actual system flows contain economic power transactions. Therefore, it is likely that firm flows in planning models will not match the historic flows on </w:t>
      </w:r>
      <w:r>
        <w:t>the system that contain both firm and economic transactions.</w:t>
      </w:r>
    </w:p>
    <w:p w:rsidR="00400A6D" w:rsidRPr="00400A6D" w:rsidRDefault="00980FA2" w:rsidP="00276A75">
      <w:pPr>
        <w:pStyle w:val="List123"/>
      </w:pPr>
      <w:r>
        <w:t>Entities’ c</w:t>
      </w:r>
      <w:r w:rsidR="00400A6D">
        <w:t>oordination of transfer</w:t>
      </w:r>
      <w:r>
        <w:t>s</w:t>
      </w:r>
      <w:r w:rsidR="00400A6D">
        <w:t xml:space="preserve"> should be extensive enough to provide good approximation of actual firm transfers</w:t>
      </w:r>
      <w:r w:rsidR="0097576C">
        <w:t>. Entit</w:t>
      </w:r>
      <w:r w:rsidR="007C25F7">
        <w:t>y</w:t>
      </w:r>
      <w:r w:rsidR="0097576C">
        <w:t xml:space="preserve"> procedures </w:t>
      </w:r>
      <w:r>
        <w:t xml:space="preserve">should </w:t>
      </w:r>
      <w:r w:rsidR="003B6ABA">
        <w:t xml:space="preserve">ensure </w:t>
      </w:r>
      <w:r w:rsidR="0097576C">
        <w:t xml:space="preserve">that this </w:t>
      </w:r>
      <w:r w:rsidR="0097576C">
        <w:lastRenderedPageBreak/>
        <w:t>occurs.</w:t>
      </w:r>
      <w:r>
        <w:t xml:space="preserve"> RSSC action may be needed if entity coordination is not deemed adequate. </w:t>
      </w:r>
    </w:p>
    <w:p w:rsidR="00400A6D" w:rsidRDefault="00400A6D" w:rsidP="00276A75">
      <w:pPr>
        <w:pStyle w:val="List123"/>
      </w:pPr>
      <w:r w:rsidRPr="003B2C45">
        <w:t>Variations between</w:t>
      </w:r>
      <w:r>
        <w:t xml:space="preserve"> </w:t>
      </w:r>
      <w:r w:rsidR="00F20C70">
        <w:t>PC</w:t>
      </w:r>
      <w:r w:rsidRPr="003B2C45">
        <w:t xml:space="preserve"> </w:t>
      </w:r>
      <w:r w:rsidR="0097576C" w:rsidRPr="003B2C45">
        <w:t>internal</w:t>
      </w:r>
      <w:r w:rsidRPr="003B2C45">
        <w:t xml:space="preserve"> process</w:t>
      </w:r>
      <w:r w:rsidR="0097576C" w:rsidRPr="003B2C45">
        <w:t>es/models</w:t>
      </w:r>
      <w:r w:rsidRPr="003B2C45">
        <w:t xml:space="preserve"> and </w:t>
      </w:r>
      <w:r w:rsidR="0097576C" w:rsidRPr="003B2C45">
        <w:t xml:space="preserve">those used for MMWG models are </w:t>
      </w:r>
      <w:r w:rsidR="00E97658" w:rsidRPr="003B2C45">
        <w:t>notable</w:t>
      </w:r>
      <w:r w:rsidR="0097576C" w:rsidRPr="003B2C45">
        <w:t xml:space="preserve">. PCs with such variations should ensure that models </w:t>
      </w:r>
      <w:r w:rsidR="003B6ABA" w:rsidRPr="003B2C45">
        <w:t>forwarded</w:t>
      </w:r>
      <w:r w:rsidR="0097576C">
        <w:t xml:space="preserve"> to </w:t>
      </w:r>
      <w:r w:rsidR="00BE4864">
        <w:t xml:space="preserve">the </w:t>
      </w:r>
      <w:r w:rsidR="0097576C">
        <w:t xml:space="preserve">MMWG are </w:t>
      </w:r>
      <w:r w:rsidR="00E97658">
        <w:t xml:space="preserve">equally </w:t>
      </w:r>
      <w:r w:rsidR="00980FA2">
        <w:t xml:space="preserve">valid and effective </w:t>
      </w:r>
      <w:r w:rsidR="0097576C">
        <w:t>as</w:t>
      </w:r>
      <w:r w:rsidR="00980FA2">
        <w:t xml:space="preserve"> </w:t>
      </w:r>
      <w:r w:rsidR="0033149E">
        <w:t>those</w:t>
      </w:r>
      <w:r w:rsidR="00BE4864">
        <w:t xml:space="preserve"> </w:t>
      </w:r>
      <w:r w:rsidR="00980FA2">
        <w:t>transfer models</w:t>
      </w:r>
      <w:r w:rsidR="00BE4864">
        <w:t>/processes</w:t>
      </w:r>
      <w:r w:rsidR="00980FA2">
        <w:t xml:space="preserve"> used internally. </w:t>
      </w:r>
      <w:r w:rsidR="0097576C">
        <w:t>Ideally, the</w:t>
      </w:r>
      <w:r w:rsidR="00980FA2">
        <w:t>se</w:t>
      </w:r>
      <w:r w:rsidR="0097576C">
        <w:t xml:space="preserve"> models</w:t>
      </w:r>
      <w:r w:rsidR="00980FA2">
        <w:t xml:space="preserve">/processes </w:t>
      </w:r>
      <w:r w:rsidR="0097576C">
        <w:t xml:space="preserve">should be identical. </w:t>
      </w:r>
      <w:r w:rsidR="00980FA2">
        <w:t>If not, t</w:t>
      </w:r>
      <w:r w:rsidR="003B6ABA">
        <w:t>echnical justification for deviations should be provided to the RSSC.</w:t>
      </w:r>
    </w:p>
    <w:p w:rsidR="0097576C" w:rsidRDefault="0097576C" w:rsidP="00276A75">
      <w:pPr>
        <w:pStyle w:val="List123"/>
      </w:pPr>
      <w:r>
        <w:t xml:space="preserve">While </w:t>
      </w:r>
      <w:r w:rsidR="00AA7489">
        <w:t xml:space="preserve">the MMWG procedural manual now includes </w:t>
      </w:r>
      <w:r w:rsidR="001723E1">
        <w:t xml:space="preserve">FFTF associated </w:t>
      </w:r>
      <w:r>
        <w:t xml:space="preserve">changes, report findings should be </w:t>
      </w:r>
      <w:r w:rsidR="001723E1">
        <w:t xml:space="preserve">communicated </w:t>
      </w:r>
      <w:r>
        <w:t>to the ERAG management committee, the MMWG</w:t>
      </w:r>
      <w:r w:rsidR="00AA7489">
        <w:t>,</w:t>
      </w:r>
      <w:r>
        <w:t xml:space="preserve"> and to the NERC System Analysis and Modeling </w:t>
      </w:r>
      <w:r w:rsidR="001E6FE9">
        <w:t xml:space="preserve">Subcommittee </w:t>
      </w:r>
      <w:r>
        <w:t xml:space="preserve">(SAMS). </w:t>
      </w:r>
    </w:p>
    <w:p w:rsidR="0097576C" w:rsidRDefault="0097576C" w:rsidP="00276A75">
      <w:pPr>
        <w:pStyle w:val="List123"/>
      </w:pPr>
      <w:r>
        <w:t xml:space="preserve">The firm-flow issue was identified when </w:t>
      </w:r>
      <w:r w:rsidR="000D3834">
        <w:t xml:space="preserve">study models differed significantly from confirmed OASIS transactions. </w:t>
      </w:r>
      <w:r w:rsidR="003B6ABA">
        <w:t xml:space="preserve">The FFTF believes that </w:t>
      </w:r>
      <w:r w:rsidR="00AA7489">
        <w:t xml:space="preserve">the recent focus has improved </w:t>
      </w:r>
      <w:r w:rsidR="003B6ABA">
        <w:t>coordination</w:t>
      </w:r>
      <w:r w:rsidR="009F67C1">
        <w:t>.</w:t>
      </w:r>
      <w:r w:rsidR="003B6ABA">
        <w:t xml:space="preserve"> </w:t>
      </w:r>
      <w:r w:rsidR="00980FA2">
        <w:t>To prevent reoccurrence, t</w:t>
      </w:r>
      <w:r w:rsidR="003B6ABA">
        <w:t xml:space="preserve">he SERC RSSC should determine how </w:t>
      </w:r>
      <w:r w:rsidR="00AA7489">
        <w:t xml:space="preserve">to maintain the </w:t>
      </w:r>
      <w:r w:rsidR="003B6ABA">
        <w:t xml:space="preserve">coordination focus, and how frequently </w:t>
      </w:r>
      <w:r w:rsidR="00AA7489">
        <w:t xml:space="preserve">to make </w:t>
      </w:r>
      <w:r w:rsidR="003B6ABA">
        <w:t>checks/reviews.</w:t>
      </w:r>
    </w:p>
    <w:p w:rsidR="008D7C9E" w:rsidRPr="008D7C9E" w:rsidRDefault="003B6ABA" w:rsidP="008D7C9E">
      <w:r>
        <w:t xml:space="preserve">The FFTF recommends that the RSSC review the above conclusions and recommendations and develop a follow-up plan. </w:t>
      </w:r>
    </w:p>
    <w:p w:rsidR="0025357F" w:rsidRDefault="0025357F" w:rsidP="00166D83">
      <w:pPr>
        <w:pStyle w:val="Heading1"/>
      </w:pPr>
      <w:bookmarkStart w:id="135" w:name="_Toc471735994"/>
      <w:bookmarkStart w:id="136" w:name="_Toc471738340"/>
      <w:bookmarkStart w:id="137" w:name="_Toc471738378"/>
      <w:bookmarkStart w:id="138" w:name="_Toc471738482"/>
      <w:bookmarkStart w:id="139" w:name="_Toc471989120"/>
      <w:bookmarkStart w:id="140" w:name="_Toc471989500"/>
      <w:bookmarkStart w:id="141" w:name="_Toc471989524"/>
      <w:bookmarkStart w:id="142" w:name="_Toc473152061"/>
      <w:bookmarkStart w:id="143" w:name="_Toc471735995"/>
      <w:bookmarkStart w:id="144" w:name="_Toc471738341"/>
      <w:bookmarkStart w:id="145" w:name="_Toc471738379"/>
      <w:bookmarkStart w:id="146" w:name="_Toc471738483"/>
      <w:bookmarkStart w:id="147" w:name="_Toc471989121"/>
      <w:bookmarkStart w:id="148" w:name="_Toc471989501"/>
      <w:bookmarkStart w:id="149" w:name="_Toc471989525"/>
      <w:bookmarkStart w:id="150" w:name="_Toc473152062"/>
      <w:bookmarkStart w:id="151" w:name="_Toc493163390"/>
      <w:bookmarkStart w:id="152" w:name="_Toc395190985"/>
      <w:bookmarkStart w:id="153" w:name="_Toc404602953"/>
      <w:bookmarkStart w:id="154" w:name="_Toc405972830"/>
      <w:bookmarkStart w:id="155" w:name="_Toc49048407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References</w:t>
      </w:r>
      <w:bookmarkEnd w:id="151"/>
    </w:p>
    <w:p w:rsidR="0025357F" w:rsidRDefault="0025357F" w:rsidP="0025357F">
      <w:pPr>
        <w:pStyle w:val="Bullet1"/>
      </w:pPr>
      <w:r>
        <w:t xml:space="preserve">MMWG Procedure Manual </w:t>
      </w:r>
    </w:p>
    <w:p w:rsidR="0025357F" w:rsidRPr="0025357F" w:rsidRDefault="0025357F" w:rsidP="0025357F">
      <w:pPr>
        <w:pStyle w:val="Bullet1"/>
      </w:pPr>
      <w:r>
        <w:rPr>
          <w:rFonts w:cs="Arial"/>
        </w:rPr>
        <w:t>FERC Order 890, Appendix B: P</w:t>
      </w:r>
      <w:r w:rsidRPr="00E53569">
        <w:rPr>
          <w:rFonts w:cs="Arial"/>
        </w:rPr>
        <w:t>ro</w:t>
      </w:r>
      <w:r>
        <w:rPr>
          <w:rFonts w:cs="Arial"/>
        </w:rPr>
        <w:t xml:space="preserve"> F</w:t>
      </w:r>
      <w:r w:rsidRPr="00E53569">
        <w:rPr>
          <w:rFonts w:cs="Arial"/>
        </w:rPr>
        <w:t xml:space="preserve">orma </w:t>
      </w:r>
      <w:r>
        <w:rPr>
          <w:rFonts w:cs="Arial"/>
        </w:rPr>
        <w:t>O</w:t>
      </w:r>
      <w:r w:rsidRPr="003B2C45">
        <w:rPr>
          <w:rFonts w:cs="Arial"/>
        </w:rPr>
        <w:t xml:space="preserve">pen </w:t>
      </w:r>
      <w:r>
        <w:rPr>
          <w:rFonts w:cs="Arial"/>
        </w:rPr>
        <w:t>A</w:t>
      </w:r>
      <w:r w:rsidRPr="003B2C45">
        <w:rPr>
          <w:rFonts w:cs="Arial"/>
        </w:rPr>
        <w:t xml:space="preserve">ccess </w:t>
      </w:r>
      <w:r>
        <w:rPr>
          <w:rFonts w:cs="Arial"/>
        </w:rPr>
        <w:t>T</w:t>
      </w:r>
      <w:r w:rsidRPr="003B2C45">
        <w:rPr>
          <w:rFonts w:cs="Arial"/>
        </w:rPr>
        <w:t xml:space="preserve">ransmission </w:t>
      </w:r>
      <w:r>
        <w:rPr>
          <w:rFonts w:cs="Arial"/>
        </w:rPr>
        <w:t>T</w:t>
      </w:r>
      <w:r w:rsidRPr="003B2C45">
        <w:rPr>
          <w:rFonts w:cs="Arial"/>
        </w:rPr>
        <w:t>ariff</w:t>
      </w:r>
      <w:r>
        <w:rPr>
          <w:rFonts w:cs="Arial"/>
        </w:rPr>
        <w:t>,</w:t>
      </w:r>
      <w:r w:rsidRPr="00E53569" w:rsidDel="0025357F">
        <w:rPr>
          <w:rFonts w:cs="Arial"/>
        </w:rPr>
        <w:t xml:space="preserve"> </w:t>
      </w:r>
      <w:r>
        <w:rPr>
          <w:rFonts w:cs="Arial"/>
        </w:rPr>
        <w:t>s</w:t>
      </w:r>
      <w:r w:rsidRPr="00E53569">
        <w:rPr>
          <w:rFonts w:cs="Arial"/>
        </w:rPr>
        <w:t xml:space="preserve">ection 29.2 (v) </w:t>
      </w:r>
    </w:p>
    <w:p w:rsidR="0025357F" w:rsidRPr="0025357F" w:rsidRDefault="0025357F" w:rsidP="0025357F">
      <w:pPr>
        <w:pStyle w:val="Bullet1"/>
      </w:pPr>
      <w:r>
        <w:rPr>
          <w:rFonts w:cs="Arial"/>
        </w:rPr>
        <w:t>NERC MOD-032.1 – Data for Power System Modeling and Analysis</w:t>
      </w:r>
    </w:p>
    <w:p w:rsidR="00413A12" w:rsidRDefault="00413A12" w:rsidP="00166D83">
      <w:pPr>
        <w:pStyle w:val="Heading1"/>
      </w:pPr>
      <w:bookmarkStart w:id="156" w:name="_Toc493163391"/>
      <w:r>
        <w:t>Revision History</w:t>
      </w:r>
      <w:bookmarkEnd w:id="152"/>
      <w:bookmarkEnd w:id="153"/>
      <w:bookmarkEnd w:id="154"/>
      <w:bookmarkEnd w:id="155"/>
      <w:bookmarkEnd w:id="156"/>
    </w:p>
    <w:p w:rsidR="001E456C" w:rsidRPr="00A67290" w:rsidRDefault="001E456C" w:rsidP="00166D83">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872"/>
        <w:gridCol w:w="1872"/>
        <w:gridCol w:w="4176"/>
      </w:tblGrid>
      <w:tr w:rsidR="00D65C73" w:rsidRPr="00621C64" w:rsidTr="004E2C1C">
        <w:tc>
          <w:tcPr>
            <w:tcW w:w="1332" w:type="dxa"/>
            <w:shd w:val="clear" w:color="auto" w:fill="002E59"/>
            <w:vAlign w:val="center"/>
          </w:tcPr>
          <w:p w:rsidR="00413A12" w:rsidRPr="00896802" w:rsidRDefault="00413A12" w:rsidP="00166D83">
            <w:pPr>
              <w:keepNext/>
              <w:rPr>
                <w:b/>
              </w:rPr>
            </w:pPr>
            <w:r w:rsidRPr="00896802">
              <w:rPr>
                <w:b/>
              </w:rPr>
              <w:t>Revision</w:t>
            </w:r>
          </w:p>
        </w:tc>
        <w:tc>
          <w:tcPr>
            <w:tcW w:w="1872" w:type="dxa"/>
            <w:shd w:val="clear" w:color="auto" w:fill="002E59"/>
            <w:vAlign w:val="center"/>
          </w:tcPr>
          <w:p w:rsidR="00413A12" w:rsidRPr="00896802" w:rsidRDefault="00413A12" w:rsidP="00166D83">
            <w:pPr>
              <w:keepNext/>
              <w:rPr>
                <w:b/>
              </w:rPr>
            </w:pPr>
            <w:r w:rsidRPr="00896802">
              <w:rPr>
                <w:b/>
              </w:rPr>
              <w:t>Date</w:t>
            </w:r>
          </w:p>
        </w:tc>
        <w:tc>
          <w:tcPr>
            <w:tcW w:w="1872" w:type="dxa"/>
            <w:shd w:val="clear" w:color="auto" w:fill="002E59"/>
            <w:vAlign w:val="center"/>
          </w:tcPr>
          <w:p w:rsidR="00413A12" w:rsidRPr="00896802" w:rsidRDefault="00413A12" w:rsidP="00166D83">
            <w:pPr>
              <w:keepNext/>
              <w:rPr>
                <w:b/>
              </w:rPr>
            </w:pPr>
            <w:r w:rsidRPr="00896802">
              <w:rPr>
                <w:b/>
              </w:rPr>
              <w:t>Originator</w:t>
            </w:r>
          </w:p>
        </w:tc>
        <w:tc>
          <w:tcPr>
            <w:tcW w:w="4176" w:type="dxa"/>
            <w:shd w:val="clear" w:color="auto" w:fill="002E59"/>
            <w:vAlign w:val="center"/>
          </w:tcPr>
          <w:p w:rsidR="00413A12" w:rsidRPr="00896802" w:rsidRDefault="00413A12" w:rsidP="00166D83">
            <w:pPr>
              <w:keepNext/>
              <w:rPr>
                <w:b/>
              </w:rPr>
            </w:pPr>
            <w:r w:rsidRPr="00896802">
              <w:rPr>
                <w:b/>
              </w:rPr>
              <w:t>Comments</w:t>
            </w:r>
          </w:p>
        </w:tc>
      </w:tr>
      <w:tr w:rsidR="00413A12" w:rsidRPr="00621C64" w:rsidTr="00FC5E7F">
        <w:tc>
          <w:tcPr>
            <w:tcW w:w="1332" w:type="dxa"/>
          </w:tcPr>
          <w:p w:rsidR="00413A12" w:rsidRPr="00621C64" w:rsidRDefault="00B02B90" w:rsidP="00E239BC">
            <w:r>
              <w:t>0</w:t>
            </w:r>
          </w:p>
        </w:tc>
        <w:tc>
          <w:tcPr>
            <w:tcW w:w="1872" w:type="dxa"/>
          </w:tcPr>
          <w:p w:rsidR="00413A12" w:rsidRPr="00621C64" w:rsidRDefault="00B02B90" w:rsidP="00E239BC">
            <w:r>
              <w:t>9/11/17</w:t>
            </w:r>
          </w:p>
        </w:tc>
        <w:tc>
          <w:tcPr>
            <w:tcW w:w="1872" w:type="dxa"/>
          </w:tcPr>
          <w:p w:rsidR="00413A12" w:rsidRPr="00621C64" w:rsidRDefault="00B02B90" w:rsidP="00E239BC">
            <w:r>
              <w:t>FFTF</w:t>
            </w:r>
          </w:p>
        </w:tc>
        <w:tc>
          <w:tcPr>
            <w:tcW w:w="4176" w:type="dxa"/>
          </w:tcPr>
          <w:p w:rsidR="00413A12" w:rsidRPr="00621C64" w:rsidRDefault="00413A12" w:rsidP="00E239BC"/>
        </w:tc>
      </w:tr>
      <w:tr w:rsidR="00413A12" w:rsidRPr="00621C64" w:rsidTr="00FC5E7F">
        <w:tc>
          <w:tcPr>
            <w:tcW w:w="1332" w:type="dxa"/>
          </w:tcPr>
          <w:p w:rsidR="00413A12" w:rsidRPr="00621C64" w:rsidRDefault="00413A12" w:rsidP="00E239BC"/>
        </w:tc>
        <w:tc>
          <w:tcPr>
            <w:tcW w:w="1872" w:type="dxa"/>
          </w:tcPr>
          <w:p w:rsidR="00413A12" w:rsidRPr="00621C64" w:rsidRDefault="00413A12" w:rsidP="00E239BC"/>
        </w:tc>
        <w:tc>
          <w:tcPr>
            <w:tcW w:w="1872" w:type="dxa"/>
          </w:tcPr>
          <w:p w:rsidR="00413A12" w:rsidRPr="00621C64" w:rsidRDefault="00413A12" w:rsidP="00E239BC"/>
        </w:tc>
        <w:tc>
          <w:tcPr>
            <w:tcW w:w="4176" w:type="dxa"/>
          </w:tcPr>
          <w:p w:rsidR="00413A12" w:rsidRPr="00621C64" w:rsidRDefault="00413A12" w:rsidP="00E239BC"/>
        </w:tc>
      </w:tr>
    </w:tbl>
    <w:p w:rsidR="000727F2" w:rsidRDefault="000727F2" w:rsidP="00C962DD"/>
    <w:sectPr w:rsidR="000727F2" w:rsidSect="00323AAD">
      <w:headerReference w:type="default" r:id="rId11"/>
      <w:footerReference w:type="default" r:id="rId12"/>
      <w:pgSz w:w="12240" w:h="15840" w:code="1"/>
      <w:pgMar w:top="2160" w:right="1440" w:bottom="36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8C" w:rsidRDefault="0020178C" w:rsidP="00E239BC">
      <w:r>
        <w:separator/>
      </w:r>
    </w:p>
  </w:endnote>
  <w:endnote w:type="continuationSeparator" w:id="0">
    <w:p w:rsidR="0020178C" w:rsidRDefault="0020178C" w:rsidP="00E239BC">
      <w:r>
        <w:continuationSeparator/>
      </w:r>
    </w:p>
  </w:endnote>
  <w:endnote w:type="continuationNotice" w:id="1">
    <w:p w:rsidR="0020178C" w:rsidRDefault="002017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EB" w:rsidRDefault="007124EB" w:rsidP="00E239BC">
    <w:pPr>
      <w:pStyle w:val="Foote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250"/>
      <w:gridCol w:w="1980"/>
      <w:gridCol w:w="1484"/>
      <w:gridCol w:w="1609"/>
    </w:tblGrid>
    <w:tr w:rsidR="007124EB" w:rsidRPr="00A0757B" w:rsidTr="003B2C45">
      <w:trPr>
        <w:cantSplit/>
        <w:trHeight w:val="374"/>
        <w:jc w:val="center"/>
      </w:trPr>
      <w:tc>
        <w:tcPr>
          <w:tcW w:w="2065" w:type="dxa"/>
        </w:tcPr>
        <w:p w:rsidR="007124EB" w:rsidRDefault="007124EB" w:rsidP="00E239BC">
          <w:pPr>
            <w:pStyle w:val="Footer"/>
          </w:pPr>
          <w:r w:rsidRPr="00A0757B">
            <w:t>Department</w:t>
          </w:r>
        </w:p>
        <w:p w:rsidR="007124EB" w:rsidRPr="00A0757B" w:rsidRDefault="007124EB" w:rsidP="00E239BC">
          <w:pPr>
            <w:pStyle w:val="Footer"/>
          </w:pPr>
          <w:r>
            <w:t>Engineering Committee</w:t>
          </w:r>
        </w:p>
      </w:tc>
      <w:tc>
        <w:tcPr>
          <w:tcW w:w="2250" w:type="dxa"/>
        </w:tcPr>
        <w:p w:rsidR="007124EB" w:rsidRDefault="007124EB" w:rsidP="00E239BC">
          <w:pPr>
            <w:pStyle w:val="Footer"/>
          </w:pPr>
          <w:r>
            <w:t>Document Type</w:t>
          </w:r>
        </w:p>
        <w:p w:rsidR="007124EB" w:rsidRPr="00A0757B" w:rsidRDefault="00081108" w:rsidP="00E239BC">
          <w:pPr>
            <w:pStyle w:val="Footer"/>
          </w:pPr>
          <w:fldSimple w:instr=" STYLEREF  &quot;Document Type&quot;  \* MERGEFORMAT ">
            <w:r w:rsidR="00022BB0">
              <w:rPr>
                <w:noProof/>
              </w:rPr>
              <w:t>Report</w:t>
            </w:r>
          </w:fldSimple>
        </w:p>
      </w:tc>
      <w:tc>
        <w:tcPr>
          <w:tcW w:w="3464" w:type="dxa"/>
          <w:gridSpan w:val="2"/>
        </w:tcPr>
        <w:p w:rsidR="007124EB" w:rsidRDefault="007124EB" w:rsidP="00E239BC">
          <w:pPr>
            <w:pStyle w:val="Footer"/>
          </w:pPr>
          <w:r>
            <w:t>Title</w:t>
          </w:r>
        </w:p>
        <w:p w:rsidR="007124EB" w:rsidRPr="00A0757B" w:rsidRDefault="007124EB" w:rsidP="003B2C45">
          <w:pPr>
            <w:pStyle w:val="Footer"/>
          </w:pPr>
          <w:fldSimple w:instr=" STYLEREF  Title  \* MERGEFORMAT ">
            <w:r w:rsidR="00022BB0">
              <w:rPr>
                <w:noProof/>
              </w:rPr>
              <w:t>Firm Flow Task Force</w:t>
            </w:r>
          </w:fldSimple>
          <w:r>
            <w:rPr>
              <w:noProof/>
            </w:rPr>
            <w:t xml:space="preserve"> </w:t>
          </w:r>
          <w:r w:rsidDel="003B2C45">
            <w:t xml:space="preserve"> </w:t>
          </w:r>
        </w:p>
      </w:tc>
      <w:tc>
        <w:tcPr>
          <w:tcW w:w="1609" w:type="dxa"/>
        </w:tcPr>
        <w:p w:rsidR="007124EB" w:rsidRPr="00A0757B" w:rsidRDefault="007124EB" w:rsidP="00E239BC">
          <w:pPr>
            <w:pStyle w:val="Footer"/>
          </w:pPr>
          <w:r w:rsidRPr="00A0757B">
            <w:t>Number</w:t>
          </w:r>
        </w:p>
        <w:p w:rsidR="007124EB" w:rsidRPr="00A0757B" w:rsidRDefault="007124EB" w:rsidP="00E239BC">
          <w:pPr>
            <w:pStyle w:val="Footer"/>
          </w:pPr>
          <w:r w:rsidRPr="00A0757B">
            <w:t>P</w:t>
          </w:r>
          <w:r>
            <w:t>roc</w:t>
          </w:r>
          <w:r w:rsidRPr="00A0757B">
            <w:t>-D</w:t>
          </w:r>
          <w:r>
            <w:t>ept-##</w:t>
          </w:r>
          <w:r w:rsidRPr="00A0757B">
            <w:t>#</w:t>
          </w:r>
        </w:p>
      </w:tc>
    </w:tr>
    <w:tr w:rsidR="007124EB" w:rsidRPr="00A0757B" w:rsidTr="003B2C45">
      <w:trPr>
        <w:cantSplit/>
        <w:trHeight w:val="398"/>
        <w:jc w:val="center"/>
      </w:trPr>
      <w:tc>
        <w:tcPr>
          <w:tcW w:w="2065" w:type="dxa"/>
        </w:tcPr>
        <w:p w:rsidR="007124EB" w:rsidRPr="00A0757B" w:rsidRDefault="007124EB" w:rsidP="00E239BC">
          <w:pPr>
            <w:pStyle w:val="Footer"/>
          </w:pPr>
          <w:r w:rsidRPr="00A0757B">
            <w:t>Owner</w:t>
          </w:r>
        </w:p>
        <w:p w:rsidR="007124EB" w:rsidRPr="00A0757B" w:rsidRDefault="007124EB" w:rsidP="00E239BC">
          <w:pPr>
            <w:pStyle w:val="Footer"/>
          </w:pPr>
          <w:r>
            <w:t>Firm Flow Task Force</w:t>
          </w:r>
        </w:p>
      </w:tc>
      <w:tc>
        <w:tcPr>
          <w:tcW w:w="2250" w:type="dxa"/>
        </w:tcPr>
        <w:p w:rsidR="007124EB" w:rsidRPr="00A0757B" w:rsidRDefault="007124EB" w:rsidP="00E239BC">
          <w:pPr>
            <w:pStyle w:val="Footer"/>
          </w:pPr>
          <w:r w:rsidRPr="00A0757B">
            <w:t xml:space="preserve">Approved by </w:t>
          </w:r>
        </w:p>
        <w:p w:rsidR="007124EB" w:rsidRPr="00A0757B" w:rsidRDefault="007124EB" w:rsidP="00E239BC">
          <w:pPr>
            <w:pStyle w:val="Footer"/>
          </w:pPr>
          <w:r w:rsidRPr="00A0757B">
            <w:fldChar w:fldCharType="begin"/>
          </w:r>
          <w:r w:rsidRPr="00A0757B">
            <w:instrText>MACROBUTTON DoFieldClick insert approver</w:instrText>
          </w:r>
          <w:r w:rsidRPr="00A0757B">
            <w:fldChar w:fldCharType="end"/>
          </w:r>
        </w:p>
      </w:tc>
      <w:tc>
        <w:tcPr>
          <w:tcW w:w="1980" w:type="dxa"/>
        </w:tcPr>
        <w:p w:rsidR="007124EB" w:rsidRPr="00A0757B" w:rsidRDefault="007124EB" w:rsidP="00E239BC">
          <w:pPr>
            <w:pStyle w:val="Footer"/>
          </w:pPr>
          <w:r w:rsidRPr="00A0757B">
            <w:t>Date</w:t>
          </w:r>
        </w:p>
        <w:p w:rsidR="007124EB" w:rsidRPr="00A0757B" w:rsidRDefault="007124EB" w:rsidP="00E239BC">
          <w:pPr>
            <w:pStyle w:val="Footer"/>
          </w:pPr>
          <w:r w:rsidRPr="00A0757B">
            <w:fldChar w:fldCharType="begin"/>
          </w:r>
          <w:r w:rsidRPr="00A0757B">
            <w:instrText>MACROBUTTON DoFieldClick Month Day, YYYY</w:instrText>
          </w:r>
          <w:r w:rsidRPr="00A0757B">
            <w:fldChar w:fldCharType="end"/>
          </w:r>
        </w:p>
      </w:tc>
      <w:tc>
        <w:tcPr>
          <w:tcW w:w="1484" w:type="dxa"/>
        </w:tcPr>
        <w:p w:rsidR="007124EB" w:rsidRPr="00A0757B" w:rsidRDefault="007124EB" w:rsidP="00E239BC">
          <w:pPr>
            <w:pStyle w:val="Footer"/>
          </w:pPr>
          <w:r w:rsidRPr="00A0757B">
            <w:t>Version</w:t>
          </w:r>
        </w:p>
        <w:p w:rsidR="007124EB" w:rsidRPr="00A0757B" w:rsidRDefault="007124EB" w:rsidP="00E239BC">
          <w:pPr>
            <w:pStyle w:val="Footer"/>
          </w:pPr>
          <w:r>
            <w:t>0</w:t>
          </w:r>
        </w:p>
      </w:tc>
      <w:tc>
        <w:tcPr>
          <w:tcW w:w="1609" w:type="dxa"/>
          <w:vAlign w:val="center"/>
        </w:tcPr>
        <w:p w:rsidR="007124EB" w:rsidRPr="00A0757B" w:rsidRDefault="007124EB" w:rsidP="00E239BC">
          <w:pPr>
            <w:pStyle w:val="Footer"/>
          </w:pPr>
          <w:r w:rsidRPr="00286C04">
            <w:t xml:space="preserve">Page </w:t>
          </w:r>
          <w:r>
            <w:fldChar w:fldCharType="begin"/>
          </w:r>
          <w:r>
            <w:instrText xml:space="preserve"> PAGE   \* MERGEFORMAT </w:instrText>
          </w:r>
          <w:r>
            <w:fldChar w:fldCharType="separate"/>
          </w:r>
          <w:r w:rsidR="00022BB0">
            <w:rPr>
              <w:noProof/>
            </w:rPr>
            <w:t>3</w:t>
          </w:r>
          <w:r>
            <w:fldChar w:fldCharType="end"/>
          </w:r>
          <w:r w:rsidRPr="00286C04">
            <w:t xml:space="preserve"> of </w:t>
          </w:r>
          <w:fldSimple w:instr=" NUMPAGES   \* MERGEFORMAT ">
            <w:r w:rsidR="00022BB0">
              <w:rPr>
                <w:noProof/>
              </w:rPr>
              <w:t>17</w:t>
            </w:r>
          </w:fldSimple>
        </w:p>
      </w:tc>
    </w:tr>
  </w:tbl>
  <w:p w:rsidR="007124EB" w:rsidRPr="00C70B50" w:rsidRDefault="007124EB" w:rsidP="00E23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8C" w:rsidRDefault="0020178C" w:rsidP="00E239BC">
      <w:r>
        <w:separator/>
      </w:r>
    </w:p>
  </w:footnote>
  <w:footnote w:type="continuationSeparator" w:id="0">
    <w:p w:rsidR="0020178C" w:rsidRDefault="0020178C" w:rsidP="00E239BC">
      <w:r>
        <w:continuationSeparator/>
      </w:r>
    </w:p>
  </w:footnote>
  <w:footnote w:type="continuationNotice" w:id="1">
    <w:p w:rsidR="0020178C" w:rsidRDefault="0020178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EB" w:rsidRPr="00987281" w:rsidRDefault="007124EB" w:rsidP="00987281">
    <w:pPr>
      <w:pStyle w:val="Header"/>
    </w:pPr>
    <w:r>
      <w:drawing>
        <wp:anchor distT="0" distB="0" distL="114300" distR="114300" simplePos="0" relativeHeight="251657728" behindDoc="0" locked="0" layoutInCell="1" allowOverlap="1" wp14:anchorId="50F9E4F5" wp14:editId="1DD1661E">
          <wp:simplePos x="0" y="0"/>
          <wp:positionH relativeFrom="page">
            <wp:posOffset>457200</wp:posOffset>
          </wp:positionH>
          <wp:positionV relativeFrom="page">
            <wp:posOffset>228600</wp:posOffset>
          </wp:positionV>
          <wp:extent cx="1594485" cy="958215"/>
          <wp:effectExtent l="0" t="0" r="5715" b="0"/>
          <wp:wrapNone/>
          <wp:docPr id="4"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958215"/>
                  </a:xfrm>
                  <a:prstGeom prst="rect">
                    <a:avLst/>
                  </a:prstGeom>
                  <a:noFill/>
                </pic:spPr>
              </pic:pic>
            </a:graphicData>
          </a:graphic>
          <wp14:sizeRelH relativeFrom="page">
            <wp14:pctWidth>0</wp14:pctWidth>
          </wp14:sizeRelH>
          <wp14:sizeRelV relativeFrom="page">
            <wp14:pctHeight>0</wp14:pctHeight>
          </wp14:sizeRelV>
        </wp:anchor>
      </w:drawing>
    </w:r>
    <w:r w:rsidRPr="007B6ECF">
      <w:tab/>
    </w:r>
    <w:r w:rsidRPr="007B6EC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A3D"/>
    <w:multiLevelType w:val="hybridMultilevel"/>
    <w:tmpl w:val="FC48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3711"/>
    <w:multiLevelType w:val="hybridMultilevel"/>
    <w:tmpl w:val="E1286266"/>
    <w:lvl w:ilvl="0" w:tplc="A35A3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B679E"/>
    <w:multiLevelType w:val="hybridMultilevel"/>
    <w:tmpl w:val="E1286266"/>
    <w:lvl w:ilvl="0" w:tplc="A35A3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44590"/>
    <w:multiLevelType w:val="hybridMultilevel"/>
    <w:tmpl w:val="1128682C"/>
    <w:lvl w:ilvl="0" w:tplc="D6CC0C64">
      <w:start w:val="1"/>
      <w:numFmt w:val="upperLetter"/>
      <w:pStyle w:val="ListABC"/>
      <w:lvlText w:val="%1."/>
      <w:lvlJc w:val="left"/>
      <w:pPr>
        <w:ind w:left="180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634122"/>
    <w:multiLevelType w:val="hybridMultilevel"/>
    <w:tmpl w:val="D0FA7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00C91"/>
    <w:multiLevelType w:val="hybridMultilevel"/>
    <w:tmpl w:val="AA0648B8"/>
    <w:lvl w:ilvl="0" w:tplc="04090001">
      <w:start w:val="1"/>
      <w:numFmt w:val="bullet"/>
      <w:lvlText w:val=""/>
      <w:lvlJc w:val="left"/>
      <w:pPr>
        <w:tabs>
          <w:tab w:val="num" w:pos="1267"/>
        </w:tabs>
        <w:ind w:left="1267" w:hanging="547"/>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00A06"/>
    <w:multiLevelType w:val="hybridMultilevel"/>
    <w:tmpl w:val="ECDEC264"/>
    <w:lvl w:ilvl="0" w:tplc="07F4A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7F20"/>
    <w:multiLevelType w:val="hybridMultilevel"/>
    <w:tmpl w:val="A6C8B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27616"/>
    <w:multiLevelType w:val="hybridMultilevel"/>
    <w:tmpl w:val="E0E2BD9C"/>
    <w:lvl w:ilvl="0" w:tplc="9392CCD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03D4A"/>
    <w:multiLevelType w:val="singleLevel"/>
    <w:tmpl w:val="E7DED220"/>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2DD57D73"/>
    <w:multiLevelType w:val="hybridMultilevel"/>
    <w:tmpl w:val="FCB07A5A"/>
    <w:lvl w:ilvl="0" w:tplc="FFE0BA3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35419F8">
      <w:start w:val="1"/>
      <w:numFmt w:val="decimal"/>
      <w:lvlText w:val="%3."/>
      <w:lvlJc w:val="left"/>
      <w:pPr>
        <w:tabs>
          <w:tab w:val="num" w:pos="2160"/>
        </w:tabs>
        <w:ind w:left="2160" w:hanging="360"/>
      </w:pPr>
    </w:lvl>
    <w:lvl w:ilvl="3" w:tplc="AEE27F30" w:tentative="1">
      <w:start w:val="1"/>
      <w:numFmt w:val="decimal"/>
      <w:lvlText w:val="%4."/>
      <w:lvlJc w:val="left"/>
      <w:pPr>
        <w:tabs>
          <w:tab w:val="num" w:pos="2880"/>
        </w:tabs>
        <w:ind w:left="2880" w:hanging="360"/>
      </w:pPr>
    </w:lvl>
    <w:lvl w:ilvl="4" w:tplc="D81E9156" w:tentative="1">
      <w:start w:val="1"/>
      <w:numFmt w:val="decimal"/>
      <w:lvlText w:val="%5."/>
      <w:lvlJc w:val="left"/>
      <w:pPr>
        <w:tabs>
          <w:tab w:val="num" w:pos="3600"/>
        </w:tabs>
        <w:ind w:left="3600" w:hanging="360"/>
      </w:pPr>
    </w:lvl>
    <w:lvl w:ilvl="5" w:tplc="0756ECB2" w:tentative="1">
      <w:start w:val="1"/>
      <w:numFmt w:val="decimal"/>
      <w:lvlText w:val="%6."/>
      <w:lvlJc w:val="left"/>
      <w:pPr>
        <w:tabs>
          <w:tab w:val="num" w:pos="4320"/>
        </w:tabs>
        <w:ind w:left="4320" w:hanging="360"/>
      </w:pPr>
    </w:lvl>
    <w:lvl w:ilvl="6" w:tplc="1FAAFE06" w:tentative="1">
      <w:start w:val="1"/>
      <w:numFmt w:val="decimal"/>
      <w:lvlText w:val="%7."/>
      <w:lvlJc w:val="left"/>
      <w:pPr>
        <w:tabs>
          <w:tab w:val="num" w:pos="5040"/>
        </w:tabs>
        <w:ind w:left="5040" w:hanging="360"/>
      </w:pPr>
    </w:lvl>
    <w:lvl w:ilvl="7" w:tplc="BBAA1DCE" w:tentative="1">
      <w:start w:val="1"/>
      <w:numFmt w:val="decimal"/>
      <w:lvlText w:val="%8."/>
      <w:lvlJc w:val="left"/>
      <w:pPr>
        <w:tabs>
          <w:tab w:val="num" w:pos="5760"/>
        </w:tabs>
        <w:ind w:left="5760" w:hanging="360"/>
      </w:pPr>
    </w:lvl>
    <w:lvl w:ilvl="8" w:tplc="D9066AEE" w:tentative="1">
      <w:start w:val="1"/>
      <w:numFmt w:val="decimal"/>
      <w:lvlText w:val="%9."/>
      <w:lvlJc w:val="left"/>
      <w:pPr>
        <w:tabs>
          <w:tab w:val="num" w:pos="6480"/>
        </w:tabs>
        <w:ind w:left="6480" w:hanging="360"/>
      </w:pPr>
    </w:lvl>
  </w:abstractNum>
  <w:abstractNum w:abstractNumId="11" w15:restartNumberingAfterBreak="0">
    <w:nsid w:val="3498657A"/>
    <w:multiLevelType w:val="hybridMultilevel"/>
    <w:tmpl w:val="6BB0D554"/>
    <w:lvl w:ilvl="0" w:tplc="ABA66FBE">
      <w:start w:val="1"/>
      <w:numFmt w:val="decimal"/>
      <w:lvlText w:val="%1."/>
      <w:lvlJc w:val="left"/>
      <w:pPr>
        <w:tabs>
          <w:tab w:val="num" w:pos="720"/>
        </w:tabs>
        <w:ind w:left="720" w:hanging="360"/>
      </w:pPr>
    </w:lvl>
    <w:lvl w:ilvl="1" w:tplc="2BDE3022">
      <w:start w:val="1"/>
      <w:numFmt w:val="decimal"/>
      <w:lvlText w:val="%2."/>
      <w:lvlJc w:val="left"/>
      <w:pPr>
        <w:tabs>
          <w:tab w:val="num" w:pos="1440"/>
        </w:tabs>
        <w:ind w:left="1440" w:hanging="360"/>
      </w:pPr>
    </w:lvl>
    <w:lvl w:ilvl="2" w:tplc="00EA6EB4" w:tentative="1">
      <w:start w:val="1"/>
      <w:numFmt w:val="decimal"/>
      <w:lvlText w:val="%3."/>
      <w:lvlJc w:val="left"/>
      <w:pPr>
        <w:tabs>
          <w:tab w:val="num" w:pos="2160"/>
        </w:tabs>
        <w:ind w:left="2160" w:hanging="360"/>
      </w:pPr>
    </w:lvl>
    <w:lvl w:ilvl="3" w:tplc="80026AF4" w:tentative="1">
      <w:start w:val="1"/>
      <w:numFmt w:val="decimal"/>
      <w:lvlText w:val="%4."/>
      <w:lvlJc w:val="left"/>
      <w:pPr>
        <w:tabs>
          <w:tab w:val="num" w:pos="2880"/>
        </w:tabs>
        <w:ind w:left="2880" w:hanging="360"/>
      </w:pPr>
    </w:lvl>
    <w:lvl w:ilvl="4" w:tplc="A3882EC6" w:tentative="1">
      <w:start w:val="1"/>
      <w:numFmt w:val="decimal"/>
      <w:lvlText w:val="%5."/>
      <w:lvlJc w:val="left"/>
      <w:pPr>
        <w:tabs>
          <w:tab w:val="num" w:pos="3600"/>
        </w:tabs>
        <w:ind w:left="3600" w:hanging="360"/>
      </w:pPr>
    </w:lvl>
    <w:lvl w:ilvl="5" w:tplc="E7183618" w:tentative="1">
      <w:start w:val="1"/>
      <w:numFmt w:val="decimal"/>
      <w:lvlText w:val="%6."/>
      <w:lvlJc w:val="left"/>
      <w:pPr>
        <w:tabs>
          <w:tab w:val="num" w:pos="4320"/>
        </w:tabs>
        <w:ind w:left="4320" w:hanging="360"/>
      </w:pPr>
    </w:lvl>
    <w:lvl w:ilvl="6" w:tplc="AF8873C2" w:tentative="1">
      <w:start w:val="1"/>
      <w:numFmt w:val="decimal"/>
      <w:lvlText w:val="%7."/>
      <w:lvlJc w:val="left"/>
      <w:pPr>
        <w:tabs>
          <w:tab w:val="num" w:pos="5040"/>
        </w:tabs>
        <w:ind w:left="5040" w:hanging="360"/>
      </w:pPr>
    </w:lvl>
    <w:lvl w:ilvl="7" w:tplc="7E20F35E" w:tentative="1">
      <w:start w:val="1"/>
      <w:numFmt w:val="decimal"/>
      <w:lvlText w:val="%8."/>
      <w:lvlJc w:val="left"/>
      <w:pPr>
        <w:tabs>
          <w:tab w:val="num" w:pos="5760"/>
        </w:tabs>
        <w:ind w:left="5760" w:hanging="360"/>
      </w:pPr>
    </w:lvl>
    <w:lvl w:ilvl="8" w:tplc="F6C69394" w:tentative="1">
      <w:start w:val="1"/>
      <w:numFmt w:val="decimal"/>
      <w:lvlText w:val="%9."/>
      <w:lvlJc w:val="left"/>
      <w:pPr>
        <w:tabs>
          <w:tab w:val="num" w:pos="6480"/>
        </w:tabs>
        <w:ind w:left="6480" w:hanging="360"/>
      </w:pPr>
    </w:lvl>
  </w:abstractNum>
  <w:abstractNum w:abstractNumId="12" w15:restartNumberingAfterBreak="0">
    <w:nsid w:val="35941C56"/>
    <w:multiLevelType w:val="hybridMultilevel"/>
    <w:tmpl w:val="EEEA4554"/>
    <w:lvl w:ilvl="0" w:tplc="39C6E0B4">
      <w:start w:val="1"/>
      <w:numFmt w:val="bullet"/>
      <w:pStyle w:val="Bullet1"/>
      <w:lvlText w:val=""/>
      <w:lvlJc w:val="left"/>
      <w:pPr>
        <w:ind w:left="1080" w:hanging="360"/>
      </w:pPr>
      <w:rPr>
        <w:rFonts w:ascii="Symbol" w:hAnsi="Symbol" w:hint="default"/>
      </w:rPr>
    </w:lvl>
    <w:lvl w:ilvl="1" w:tplc="1730025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1E0DED"/>
    <w:multiLevelType w:val="hybridMultilevel"/>
    <w:tmpl w:val="FF3C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D512D"/>
    <w:multiLevelType w:val="hybridMultilevel"/>
    <w:tmpl w:val="CCDA4340"/>
    <w:lvl w:ilvl="0" w:tplc="829AB840">
      <w:start w:val="1"/>
      <w:numFmt w:val="bullet"/>
      <w:lvlText w:val="•"/>
      <w:lvlJc w:val="left"/>
      <w:pPr>
        <w:tabs>
          <w:tab w:val="num" w:pos="720"/>
        </w:tabs>
        <w:ind w:left="720" w:hanging="360"/>
      </w:pPr>
      <w:rPr>
        <w:rFonts w:ascii="Arial" w:hAnsi="Arial" w:hint="default"/>
      </w:rPr>
    </w:lvl>
    <w:lvl w:ilvl="1" w:tplc="1136A7A6" w:tentative="1">
      <w:start w:val="1"/>
      <w:numFmt w:val="bullet"/>
      <w:lvlText w:val="•"/>
      <w:lvlJc w:val="left"/>
      <w:pPr>
        <w:tabs>
          <w:tab w:val="num" w:pos="1440"/>
        </w:tabs>
        <w:ind w:left="1440" w:hanging="360"/>
      </w:pPr>
      <w:rPr>
        <w:rFonts w:ascii="Arial" w:hAnsi="Arial" w:hint="default"/>
      </w:rPr>
    </w:lvl>
    <w:lvl w:ilvl="2" w:tplc="3EE42770">
      <w:start w:val="1"/>
      <w:numFmt w:val="bullet"/>
      <w:lvlText w:val="•"/>
      <w:lvlJc w:val="left"/>
      <w:pPr>
        <w:tabs>
          <w:tab w:val="num" w:pos="2160"/>
        </w:tabs>
        <w:ind w:left="2160" w:hanging="360"/>
      </w:pPr>
      <w:rPr>
        <w:rFonts w:ascii="Arial" w:hAnsi="Arial" w:hint="default"/>
      </w:rPr>
    </w:lvl>
    <w:lvl w:ilvl="3" w:tplc="7E2AA138">
      <w:start w:val="61"/>
      <w:numFmt w:val="bullet"/>
      <w:lvlText w:val="•"/>
      <w:lvlJc w:val="left"/>
      <w:pPr>
        <w:tabs>
          <w:tab w:val="num" w:pos="2880"/>
        </w:tabs>
        <w:ind w:left="2880" w:hanging="360"/>
      </w:pPr>
      <w:rPr>
        <w:rFonts w:ascii="Arial" w:hAnsi="Arial" w:hint="default"/>
      </w:rPr>
    </w:lvl>
    <w:lvl w:ilvl="4" w:tplc="87FA25E0" w:tentative="1">
      <w:start w:val="1"/>
      <w:numFmt w:val="bullet"/>
      <w:lvlText w:val="•"/>
      <w:lvlJc w:val="left"/>
      <w:pPr>
        <w:tabs>
          <w:tab w:val="num" w:pos="3600"/>
        </w:tabs>
        <w:ind w:left="3600" w:hanging="360"/>
      </w:pPr>
      <w:rPr>
        <w:rFonts w:ascii="Arial" w:hAnsi="Arial" w:hint="default"/>
      </w:rPr>
    </w:lvl>
    <w:lvl w:ilvl="5" w:tplc="4DCABF4C" w:tentative="1">
      <w:start w:val="1"/>
      <w:numFmt w:val="bullet"/>
      <w:lvlText w:val="•"/>
      <w:lvlJc w:val="left"/>
      <w:pPr>
        <w:tabs>
          <w:tab w:val="num" w:pos="4320"/>
        </w:tabs>
        <w:ind w:left="4320" w:hanging="360"/>
      </w:pPr>
      <w:rPr>
        <w:rFonts w:ascii="Arial" w:hAnsi="Arial" w:hint="default"/>
      </w:rPr>
    </w:lvl>
    <w:lvl w:ilvl="6" w:tplc="72D26AD6" w:tentative="1">
      <w:start w:val="1"/>
      <w:numFmt w:val="bullet"/>
      <w:lvlText w:val="•"/>
      <w:lvlJc w:val="left"/>
      <w:pPr>
        <w:tabs>
          <w:tab w:val="num" w:pos="5040"/>
        </w:tabs>
        <w:ind w:left="5040" w:hanging="360"/>
      </w:pPr>
      <w:rPr>
        <w:rFonts w:ascii="Arial" w:hAnsi="Arial" w:hint="default"/>
      </w:rPr>
    </w:lvl>
    <w:lvl w:ilvl="7" w:tplc="1952B34C" w:tentative="1">
      <w:start w:val="1"/>
      <w:numFmt w:val="bullet"/>
      <w:lvlText w:val="•"/>
      <w:lvlJc w:val="left"/>
      <w:pPr>
        <w:tabs>
          <w:tab w:val="num" w:pos="5760"/>
        </w:tabs>
        <w:ind w:left="5760" w:hanging="360"/>
      </w:pPr>
      <w:rPr>
        <w:rFonts w:ascii="Arial" w:hAnsi="Arial" w:hint="default"/>
      </w:rPr>
    </w:lvl>
    <w:lvl w:ilvl="8" w:tplc="EDB000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CD27A4"/>
    <w:multiLevelType w:val="hybridMultilevel"/>
    <w:tmpl w:val="D36E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B2F31"/>
    <w:multiLevelType w:val="hybridMultilevel"/>
    <w:tmpl w:val="730E6766"/>
    <w:lvl w:ilvl="0" w:tplc="3E12C53C">
      <w:start w:val="1"/>
      <w:numFmt w:val="bullet"/>
      <w:lvlText w:val="•"/>
      <w:lvlJc w:val="left"/>
      <w:pPr>
        <w:tabs>
          <w:tab w:val="num" w:pos="720"/>
        </w:tabs>
        <w:ind w:left="720" w:hanging="360"/>
      </w:pPr>
      <w:rPr>
        <w:rFonts w:ascii="Arial" w:hAnsi="Arial" w:hint="default"/>
      </w:rPr>
    </w:lvl>
    <w:lvl w:ilvl="1" w:tplc="118C9DBE" w:tentative="1">
      <w:start w:val="1"/>
      <w:numFmt w:val="bullet"/>
      <w:lvlText w:val="•"/>
      <w:lvlJc w:val="left"/>
      <w:pPr>
        <w:tabs>
          <w:tab w:val="num" w:pos="1440"/>
        </w:tabs>
        <w:ind w:left="1440" w:hanging="360"/>
      </w:pPr>
      <w:rPr>
        <w:rFonts w:ascii="Arial" w:hAnsi="Arial" w:hint="default"/>
      </w:rPr>
    </w:lvl>
    <w:lvl w:ilvl="2" w:tplc="267004D6">
      <w:start w:val="1"/>
      <w:numFmt w:val="bullet"/>
      <w:lvlText w:val="•"/>
      <w:lvlJc w:val="left"/>
      <w:pPr>
        <w:tabs>
          <w:tab w:val="num" w:pos="2160"/>
        </w:tabs>
        <w:ind w:left="2160" w:hanging="360"/>
      </w:pPr>
      <w:rPr>
        <w:rFonts w:ascii="Arial" w:hAnsi="Arial" w:hint="default"/>
      </w:rPr>
    </w:lvl>
    <w:lvl w:ilvl="3" w:tplc="BF88765C" w:tentative="1">
      <w:start w:val="1"/>
      <w:numFmt w:val="bullet"/>
      <w:lvlText w:val="•"/>
      <w:lvlJc w:val="left"/>
      <w:pPr>
        <w:tabs>
          <w:tab w:val="num" w:pos="2880"/>
        </w:tabs>
        <w:ind w:left="2880" w:hanging="360"/>
      </w:pPr>
      <w:rPr>
        <w:rFonts w:ascii="Arial" w:hAnsi="Arial" w:hint="default"/>
      </w:rPr>
    </w:lvl>
    <w:lvl w:ilvl="4" w:tplc="0FEC2C72" w:tentative="1">
      <w:start w:val="1"/>
      <w:numFmt w:val="bullet"/>
      <w:lvlText w:val="•"/>
      <w:lvlJc w:val="left"/>
      <w:pPr>
        <w:tabs>
          <w:tab w:val="num" w:pos="3600"/>
        </w:tabs>
        <w:ind w:left="3600" w:hanging="360"/>
      </w:pPr>
      <w:rPr>
        <w:rFonts w:ascii="Arial" w:hAnsi="Arial" w:hint="default"/>
      </w:rPr>
    </w:lvl>
    <w:lvl w:ilvl="5" w:tplc="5A62F75A" w:tentative="1">
      <w:start w:val="1"/>
      <w:numFmt w:val="bullet"/>
      <w:lvlText w:val="•"/>
      <w:lvlJc w:val="left"/>
      <w:pPr>
        <w:tabs>
          <w:tab w:val="num" w:pos="4320"/>
        </w:tabs>
        <w:ind w:left="4320" w:hanging="360"/>
      </w:pPr>
      <w:rPr>
        <w:rFonts w:ascii="Arial" w:hAnsi="Arial" w:hint="default"/>
      </w:rPr>
    </w:lvl>
    <w:lvl w:ilvl="6" w:tplc="F872F3FA" w:tentative="1">
      <w:start w:val="1"/>
      <w:numFmt w:val="bullet"/>
      <w:lvlText w:val="•"/>
      <w:lvlJc w:val="left"/>
      <w:pPr>
        <w:tabs>
          <w:tab w:val="num" w:pos="5040"/>
        </w:tabs>
        <w:ind w:left="5040" w:hanging="360"/>
      </w:pPr>
      <w:rPr>
        <w:rFonts w:ascii="Arial" w:hAnsi="Arial" w:hint="default"/>
      </w:rPr>
    </w:lvl>
    <w:lvl w:ilvl="7" w:tplc="66EE4684" w:tentative="1">
      <w:start w:val="1"/>
      <w:numFmt w:val="bullet"/>
      <w:lvlText w:val="•"/>
      <w:lvlJc w:val="left"/>
      <w:pPr>
        <w:tabs>
          <w:tab w:val="num" w:pos="5760"/>
        </w:tabs>
        <w:ind w:left="5760" w:hanging="360"/>
      </w:pPr>
      <w:rPr>
        <w:rFonts w:ascii="Arial" w:hAnsi="Arial" w:hint="default"/>
      </w:rPr>
    </w:lvl>
    <w:lvl w:ilvl="8" w:tplc="CC849B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82663A"/>
    <w:multiLevelType w:val="hybridMultilevel"/>
    <w:tmpl w:val="F2C0329C"/>
    <w:lvl w:ilvl="0" w:tplc="FFE0BA3A">
      <w:start w:val="1"/>
      <w:numFmt w:val="decimal"/>
      <w:lvlText w:val="%1."/>
      <w:lvlJc w:val="left"/>
      <w:pPr>
        <w:tabs>
          <w:tab w:val="num" w:pos="720"/>
        </w:tabs>
        <w:ind w:left="720" w:hanging="360"/>
      </w:pPr>
    </w:lvl>
    <w:lvl w:ilvl="1" w:tplc="D5943404">
      <w:start w:val="1"/>
      <w:numFmt w:val="decimal"/>
      <w:lvlText w:val="%2."/>
      <w:lvlJc w:val="left"/>
      <w:pPr>
        <w:tabs>
          <w:tab w:val="num" w:pos="1440"/>
        </w:tabs>
        <w:ind w:left="1440" w:hanging="360"/>
      </w:pPr>
    </w:lvl>
    <w:lvl w:ilvl="2" w:tplc="035419F8">
      <w:start w:val="1"/>
      <w:numFmt w:val="decimal"/>
      <w:lvlText w:val="%3."/>
      <w:lvlJc w:val="left"/>
      <w:pPr>
        <w:tabs>
          <w:tab w:val="num" w:pos="2160"/>
        </w:tabs>
        <w:ind w:left="2160" w:hanging="360"/>
      </w:pPr>
    </w:lvl>
    <w:lvl w:ilvl="3" w:tplc="AEE27F30" w:tentative="1">
      <w:start w:val="1"/>
      <w:numFmt w:val="decimal"/>
      <w:lvlText w:val="%4."/>
      <w:lvlJc w:val="left"/>
      <w:pPr>
        <w:tabs>
          <w:tab w:val="num" w:pos="2880"/>
        </w:tabs>
        <w:ind w:left="2880" w:hanging="360"/>
      </w:pPr>
    </w:lvl>
    <w:lvl w:ilvl="4" w:tplc="D81E9156" w:tentative="1">
      <w:start w:val="1"/>
      <w:numFmt w:val="decimal"/>
      <w:lvlText w:val="%5."/>
      <w:lvlJc w:val="left"/>
      <w:pPr>
        <w:tabs>
          <w:tab w:val="num" w:pos="3600"/>
        </w:tabs>
        <w:ind w:left="3600" w:hanging="360"/>
      </w:pPr>
    </w:lvl>
    <w:lvl w:ilvl="5" w:tplc="0756ECB2" w:tentative="1">
      <w:start w:val="1"/>
      <w:numFmt w:val="decimal"/>
      <w:lvlText w:val="%6."/>
      <w:lvlJc w:val="left"/>
      <w:pPr>
        <w:tabs>
          <w:tab w:val="num" w:pos="4320"/>
        </w:tabs>
        <w:ind w:left="4320" w:hanging="360"/>
      </w:pPr>
    </w:lvl>
    <w:lvl w:ilvl="6" w:tplc="1FAAFE06" w:tentative="1">
      <w:start w:val="1"/>
      <w:numFmt w:val="decimal"/>
      <w:lvlText w:val="%7."/>
      <w:lvlJc w:val="left"/>
      <w:pPr>
        <w:tabs>
          <w:tab w:val="num" w:pos="5040"/>
        </w:tabs>
        <w:ind w:left="5040" w:hanging="360"/>
      </w:pPr>
    </w:lvl>
    <w:lvl w:ilvl="7" w:tplc="BBAA1DCE" w:tentative="1">
      <w:start w:val="1"/>
      <w:numFmt w:val="decimal"/>
      <w:lvlText w:val="%8."/>
      <w:lvlJc w:val="left"/>
      <w:pPr>
        <w:tabs>
          <w:tab w:val="num" w:pos="5760"/>
        </w:tabs>
        <w:ind w:left="5760" w:hanging="360"/>
      </w:pPr>
    </w:lvl>
    <w:lvl w:ilvl="8" w:tplc="D9066AEE" w:tentative="1">
      <w:start w:val="1"/>
      <w:numFmt w:val="decimal"/>
      <w:lvlText w:val="%9."/>
      <w:lvlJc w:val="left"/>
      <w:pPr>
        <w:tabs>
          <w:tab w:val="num" w:pos="6480"/>
        </w:tabs>
        <w:ind w:left="6480" w:hanging="360"/>
      </w:pPr>
    </w:lvl>
  </w:abstractNum>
  <w:abstractNum w:abstractNumId="18" w15:restartNumberingAfterBreak="0">
    <w:nsid w:val="625B1BEC"/>
    <w:multiLevelType w:val="hybridMultilevel"/>
    <w:tmpl w:val="1A0C8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A0C26"/>
    <w:multiLevelType w:val="multilevel"/>
    <w:tmpl w:val="3A8A1698"/>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cs="Times New Roman"/>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70E4AE3"/>
    <w:multiLevelType w:val="hybridMultilevel"/>
    <w:tmpl w:val="37448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66F82"/>
    <w:multiLevelType w:val="hybridMultilevel"/>
    <w:tmpl w:val="D1DA46A6"/>
    <w:lvl w:ilvl="0" w:tplc="1DD4CE84">
      <w:start w:val="1"/>
      <w:numFmt w:val="decimal"/>
      <w:pStyle w:val="List123"/>
      <w:lvlText w:val="%1."/>
      <w:lvlJc w:val="left"/>
      <w:pPr>
        <w:tabs>
          <w:tab w:val="num" w:pos="1267"/>
        </w:tabs>
        <w:ind w:left="1267" w:hanging="547"/>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013592"/>
    <w:multiLevelType w:val="hybridMultilevel"/>
    <w:tmpl w:val="DEA4F1AA"/>
    <w:lvl w:ilvl="0" w:tplc="04090001">
      <w:start w:val="1"/>
      <w:numFmt w:val="bullet"/>
      <w:lvlText w:val=""/>
      <w:lvlJc w:val="left"/>
      <w:pPr>
        <w:tabs>
          <w:tab w:val="num" w:pos="1267"/>
        </w:tabs>
        <w:ind w:left="1267" w:hanging="547"/>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5E1544"/>
    <w:multiLevelType w:val="hybridMultilevel"/>
    <w:tmpl w:val="1752FBF4"/>
    <w:lvl w:ilvl="0" w:tplc="5904785C">
      <w:start w:val="1"/>
      <w:numFmt w:val="bullet"/>
      <w:lvlText w:val="•"/>
      <w:lvlJc w:val="left"/>
      <w:pPr>
        <w:tabs>
          <w:tab w:val="num" w:pos="720"/>
        </w:tabs>
        <w:ind w:left="720" w:hanging="360"/>
      </w:pPr>
      <w:rPr>
        <w:rFonts w:ascii="Arial" w:hAnsi="Arial" w:hint="default"/>
      </w:rPr>
    </w:lvl>
    <w:lvl w:ilvl="1" w:tplc="D1788300" w:tentative="1">
      <w:start w:val="1"/>
      <w:numFmt w:val="bullet"/>
      <w:lvlText w:val="•"/>
      <w:lvlJc w:val="left"/>
      <w:pPr>
        <w:tabs>
          <w:tab w:val="num" w:pos="1440"/>
        </w:tabs>
        <w:ind w:left="1440" w:hanging="360"/>
      </w:pPr>
      <w:rPr>
        <w:rFonts w:ascii="Arial" w:hAnsi="Arial" w:hint="default"/>
      </w:rPr>
    </w:lvl>
    <w:lvl w:ilvl="2" w:tplc="1BACE1F2" w:tentative="1">
      <w:start w:val="1"/>
      <w:numFmt w:val="bullet"/>
      <w:lvlText w:val="•"/>
      <w:lvlJc w:val="left"/>
      <w:pPr>
        <w:tabs>
          <w:tab w:val="num" w:pos="2160"/>
        </w:tabs>
        <w:ind w:left="2160" w:hanging="360"/>
      </w:pPr>
      <w:rPr>
        <w:rFonts w:ascii="Arial" w:hAnsi="Arial" w:hint="default"/>
      </w:rPr>
    </w:lvl>
    <w:lvl w:ilvl="3" w:tplc="7C0E8266" w:tentative="1">
      <w:start w:val="1"/>
      <w:numFmt w:val="bullet"/>
      <w:lvlText w:val="•"/>
      <w:lvlJc w:val="left"/>
      <w:pPr>
        <w:tabs>
          <w:tab w:val="num" w:pos="2880"/>
        </w:tabs>
        <w:ind w:left="2880" w:hanging="360"/>
      </w:pPr>
      <w:rPr>
        <w:rFonts w:ascii="Arial" w:hAnsi="Arial" w:hint="default"/>
      </w:rPr>
    </w:lvl>
    <w:lvl w:ilvl="4" w:tplc="04BCE14C" w:tentative="1">
      <w:start w:val="1"/>
      <w:numFmt w:val="bullet"/>
      <w:lvlText w:val="•"/>
      <w:lvlJc w:val="left"/>
      <w:pPr>
        <w:tabs>
          <w:tab w:val="num" w:pos="3600"/>
        </w:tabs>
        <w:ind w:left="3600" w:hanging="360"/>
      </w:pPr>
      <w:rPr>
        <w:rFonts w:ascii="Arial" w:hAnsi="Arial" w:hint="default"/>
      </w:rPr>
    </w:lvl>
    <w:lvl w:ilvl="5" w:tplc="DA30177C">
      <w:start w:val="1"/>
      <w:numFmt w:val="bullet"/>
      <w:lvlText w:val="•"/>
      <w:lvlJc w:val="left"/>
      <w:pPr>
        <w:tabs>
          <w:tab w:val="num" w:pos="4320"/>
        </w:tabs>
        <w:ind w:left="4320" w:hanging="360"/>
      </w:pPr>
      <w:rPr>
        <w:rFonts w:ascii="Arial" w:hAnsi="Arial" w:hint="default"/>
      </w:rPr>
    </w:lvl>
    <w:lvl w:ilvl="6" w:tplc="4A2CFF44">
      <w:start w:val="47"/>
      <w:numFmt w:val="bullet"/>
      <w:lvlText w:val="•"/>
      <w:lvlJc w:val="left"/>
      <w:pPr>
        <w:tabs>
          <w:tab w:val="num" w:pos="5040"/>
        </w:tabs>
        <w:ind w:left="5040" w:hanging="360"/>
      </w:pPr>
      <w:rPr>
        <w:rFonts w:ascii="Arial" w:hAnsi="Arial" w:hint="default"/>
      </w:rPr>
    </w:lvl>
    <w:lvl w:ilvl="7" w:tplc="91607DA2">
      <w:start w:val="47"/>
      <w:numFmt w:val="bullet"/>
      <w:lvlText w:val="•"/>
      <w:lvlJc w:val="left"/>
      <w:pPr>
        <w:tabs>
          <w:tab w:val="num" w:pos="5760"/>
        </w:tabs>
        <w:ind w:left="5760" w:hanging="360"/>
      </w:pPr>
      <w:rPr>
        <w:rFonts w:ascii="Arial" w:hAnsi="Arial" w:hint="default"/>
      </w:rPr>
    </w:lvl>
    <w:lvl w:ilvl="8" w:tplc="5274A9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131E74"/>
    <w:multiLevelType w:val="hybridMultilevel"/>
    <w:tmpl w:val="54BC0DDC"/>
    <w:lvl w:ilvl="0" w:tplc="F81CE7EA">
      <w:start w:val="1"/>
      <w:numFmt w:val="bullet"/>
      <w:pStyle w:val="Bullet2"/>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47E56F5"/>
    <w:multiLevelType w:val="hybridMultilevel"/>
    <w:tmpl w:val="7E3E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84741"/>
    <w:multiLevelType w:val="multilevel"/>
    <w:tmpl w:val="BA9EB0F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imes New Roman" w:hAnsi="Times New Roman" w:hint="default"/>
        <w:b/>
        <w:sz w:val="22"/>
      </w:rPr>
    </w:lvl>
    <w:lvl w:ilvl="2">
      <w:start w:val="1"/>
      <w:numFmt w:val="decimal"/>
      <w:lvlText w:val="%1.%2.%3."/>
      <w:lvlJc w:val="left"/>
      <w:pPr>
        <w:tabs>
          <w:tab w:val="num" w:pos="2160"/>
        </w:tabs>
        <w:ind w:left="2160" w:hanging="720"/>
      </w:pPr>
      <w:rPr>
        <w:rFonts w:ascii="Times New Roman" w:hAnsi="Times New Roman" w:hint="default"/>
        <w:b/>
        <w:sz w:val="22"/>
      </w:rPr>
    </w:lvl>
    <w:lvl w:ilvl="3">
      <w:start w:val="1"/>
      <w:numFmt w:val="decimal"/>
      <w:pStyle w:val="ListBullet"/>
      <w:lvlText w:val="%1.%2.%3.%4."/>
      <w:lvlJc w:val="left"/>
      <w:pPr>
        <w:tabs>
          <w:tab w:val="num" w:pos="324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7B68169D"/>
    <w:multiLevelType w:val="hybridMultilevel"/>
    <w:tmpl w:val="736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2"/>
  </w:num>
  <w:num w:numId="4">
    <w:abstractNumId w:val="21"/>
  </w:num>
  <w:num w:numId="5">
    <w:abstractNumId w:val="3"/>
  </w:num>
  <w:num w:numId="6">
    <w:abstractNumId w:val="8"/>
  </w:num>
  <w:num w:numId="7">
    <w:abstractNumId w:val="19"/>
  </w:num>
  <w:num w:numId="8">
    <w:abstractNumId w:val="24"/>
  </w:num>
  <w:num w:numId="9">
    <w:abstractNumId w:val="27"/>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3"/>
  </w:num>
  <w:num w:numId="14">
    <w:abstractNumId w:val="19"/>
  </w:num>
  <w:num w:numId="15">
    <w:abstractNumId w:val="18"/>
  </w:num>
  <w:num w:numId="16">
    <w:abstractNumId w:val="11"/>
  </w:num>
  <w:num w:numId="17">
    <w:abstractNumId w:val="19"/>
  </w:num>
  <w:num w:numId="18">
    <w:abstractNumId w:val="6"/>
  </w:num>
  <w:num w:numId="19">
    <w:abstractNumId w:val="25"/>
  </w:num>
  <w:num w:numId="20">
    <w:abstractNumId w:val="20"/>
  </w:num>
  <w:num w:numId="21">
    <w:abstractNumId w:val="0"/>
  </w:num>
  <w:num w:numId="22">
    <w:abstractNumId w:val="7"/>
  </w:num>
  <w:num w:numId="23">
    <w:abstractNumId w:val="15"/>
  </w:num>
  <w:num w:numId="24">
    <w:abstractNumId w:val="2"/>
  </w:num>
  <w:num w:numId="25">
    <w:abstractNumId w:val="13"/>
  </w:num>
  <w:num w:numId="26">
    <w:abstractNumId w:val="17"/>
  </w:num>
  <w:num w:numId="27">
    <w:abstractNumId w:val="14"/>
  </w:num>
  <w:num w:numId="28">
    <w:abstractNumId w:val="16"/>
  </w:num>
  <w:num w:numId="29">
    <w:abstractNumId w:val="4"/>
  </w:num>
  <w:num w:numId="30">
    <w:abstractNumId w:val="21"/>
  </w:num>
  <w:num w:numId="31">
    <w:abstractNumId w:val="21"/>
    <w:lvlOverride w:ilvl="0">
      <w:startOverride w:val="1"/>
    </w:lvlOverride>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
  </w:num>
  <w:num w:numId="48">
    <w:abstractNumId w:val="10"/>
  </w:num>
  <w:num w:numId="49">
    <w:abstractNumId w:val="22"/>
  </w:num>
  <w:num w:numId="50">
    <w:abstractNumId w:val="5"/>
  </w:num>
  <w:num w:numId="51">
    <w:abstractNumId w:val="21"/>
    <w:lvlOverride w:ilvl="0">
      <w:startOverride w:val="1"/>
    </w:lvlOverride>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attachedTemplate r:id="rId1"/>
  <w:stylePaneFormatFilter w:val="0208" w:allStyles="0" w:customStyles="0" w:latentStyles="0" w:stylesInUse="1" w:headingStyles="0" w:numberingStyles="0" w:tableStyles="0" w:directFormattingOnRuns="0" w:directFormattingOnParagraphs="1" w:directFormattingOnNumbering="0" w:directFormattingOnTables="0" w:clearFormatting="0" w:top3HeadingStyles="0" w:visibleStyles="0" w:alternateStyleNames="0"/>
  <w:doNotTrackFormatting/>
  <w:defaultTabStop w:val="720"/>
  <w:drawingGridHorizontalSpacing w:val="187"/>
  <w:drawingGridVerticalSpacing w:val="187"/>
  <w:noPunctuationKerning/>
  <w:characterSpacingControl w:val="doNotCompress"/>
  <w:hdrShapeDefaults>
    <o:shapedefaults v:ext="edit" spidmax="2049">
      <o:colormru v:ext="edit" colors="#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1NLU3NTIyDT1MhCSUcpOLW4ODM/D6TAqBYA7ekVSywAAAA="/>
  </w:docVars>
  <w:rsids>
    <w:rsidRoot w:val="00BE1C41"/>
    <w:rsid w:val="00000343"/>
    <w:rsid w:val="00000793"/>
    <w:rsid w:val="00000897"/>
    <w:rsid w:val="00000C11"/>
    <w:rsid w:val="00000FCF"/>
    <w:rsid w:val="00001213"/>
    <w:rsid w:val="0000306F"/>
    <w:rsid w:val="000030A7"/>
    <w:rsid w:val="0000342C"/>
    <w:rsid w:val="000035C3"/>
    <w:rsid w:val="000037DF"/>
    <w:rsid w:val="00003AC3"/>
    <w:rsid w:val="00005100"/>
    <w:rsid w:val="00005279"/>
    <w:rsid w:val="00005941"/>
    <w:rsid w:val="00005957"/>
    <w:rsid w:val="00006DEF"/>
    <w:rsid w:val="00006ED1"/>
    <w:rsid w:val="00007942"/>
    <w:rsid w:val="00010013"/>
    <w:rsid w:val="000110A3"/>
    <w:rsid w:val="000118AE"/>
    <w:rsid w:val="00011C4C"/>
    <w:rsid w:val="000131D5"/>
    <w:rsid w:val="00013AD8"/>
    <w:rsid w:val="00014494"/>
    <w:rsid w:val="000144BB"/>
    <w:rsid w:val="00014B56"/>
    <w:rsid w:val="00016421"/>
    <w:rsid w:val="00016A31"/>
    <w:rsid w:val="0002015A"/>
    <w:rsid w:val="00020C5B"/>
    <w:rsid w:val="000212B9"/>
    <w:rsid w:val="000213C7"/>
    <w:rsid w:val="000213EE"/>
    <w:rsid w:val="000226EA"/>
    <w:rsid w:val="000227A0"/>
    <w:rsid w:val="000228E5"/>
    <w:rsid w:val="00022BB0"/>
    <w:rsid w:val="000235F0"/>
    <w:rsid w:val="000235FF"/>
    <w:rsid w:val="000239C6"/>
    <w:rsid w:val="00023A17"/>
    <w:rsid w:val="00023D9C"/>
    <w:rsid w:val="000241E1"/>
    <w:rsid w:val="0002443C"/>
    <w:rsid w:val="0002463B"/>
    <w:rsid w:val="0002567F"/>
    <w:rsid w:val="000258AB"/>
    <w:rsid w:val="00026CF5"/>
    <w:rsid w:val="00026D21"/>
    <w:rsid w:val="00026FE7"/>
    <w:rsid w:val="00027DBE"/>
    <w:rsid w:val="00030019"/>
    <w:rsid w:val="00030082"/>
    <w:rsid w:val="0003056E"/>
    <w:rsid w:val="00030587"/>
    <w:rsid w:val="00030D9F"/>
    <w:rsid w:val="00030E36"/>
    <w:rsid w:val="0003291B"/>
    <w:rsid w:val="00033305"/>
    <w:rsid w:val="00034067"/>
    <w:rsid w:val="00034FA9"/>
    <w:rsid w:val="00035083"/>
    <w:rsid w:val="00035631"/>
    <w:rsid w:val="00036A0B"/>
    <w:rsid w:val="00036A2D"/>
    <w:rsid w:val="00036EEB"/>
    <w:rsid w:val="000371C5"/>
    <w:rsid w:val="0004156B"/>
    <w:rsid w:val="00041A62"/>
    <w:rsid w:val="000420D6"/>
    <w:rsid w:val="000424A6"/>
    <w:rsid w:val="00042AC7"/>
    <w:rsid w:val="00042C82"/>
    <w:rsid w:val="000438E6"/>
    <w:rsid w:val="00044467"/>
    <w:rsid w:val="00044B03"/>
    <w:rsid w:val="000450E5"/>
    <w:rsid w:val="00045640"/>
    <w:rsid w:val="0004578D"/>
    <w:rsid w:val="00045B69"/>
    <w:rsid w:val="00045B80"/>
    <w:rsid w:val="00045E83"/>
    <w:rsid w:val="000463B6"/>
    <w:rsid w:val="000464DA"/>
    <w:rsid w:val="00046707"/>
    <w:rsid w:val="00046BF8"/>
    <w:rsid w:val="00047007"/>
    <w:rsid w:val="00047613"/>
    <w:rsid w:val="0004761B"/>
    <w:rsid w:val="00050473"/>
    <w:rsid w:val="00050928"/>
    <w:rsid w:val="00051110"/>
    <w:rsid w:val="00051291"/>
    <w:rsid w:val="000515EE"/>
    <w:rsid w:val="00051904"/>
    <w:rsid w:val="00051CF3"/>
    <w:rsid w:val="00051F4B"/>
    <w:rsid w:val="00051FD8"/>
    <w:rsid w:val="00052FD4"/>
    <w:rsid w:val="0005307F"/>
    <w:rsid w:val="00053F8D"/>
    <w:rsid w:val="0005470C"/>
    <w:rsid w:val="00054777"/>
    <w:rsid w:val="00054873"/>
    <w:rsid w:val="00054939"/>
    <w:rsid w:val="00055667"/>
    <w:rsid w:val="00055915"/>
    <w:rsid w:val="00055B59"/>
    <w:rsid w:val="000562B5"/>
    <w:rsid w:val="00056E87"/>
    <w:rsid w:val="000579AD"/>
    <w:rsid w:val="00057CF8"/>
    <w:rsid w:val="00060683"/>
    <w:rsid w:val="00060E79"/>
    <w:rsid w:val="00060E83"/>
    <w:rsid w:val="00061945"/>
    <w:rsid w:val="00061CCA"/>
    <w:rsid w:val="000625CC"/>
    <w:rsid w:val="00062A8A"/>
    <w:rsid w:val="00062F19"/>
    <w:rsid w:val="000635AD"/>
    <w:rsid w:val="00063A96"/>
    <w:rsid w:val="00064774"/>
    <w:rsid w:val="00064AC0"/>
    <w:rsid w:val="00065522"/>
    <w:rsid w:val="0006564C"/>
    <w:rsid w:val="00065F7A"/>
    <w:rsid w:val="00066013"/>
    <w:rsid w:val="00066A01"/>
    <w:rsid w:val="00066A10"/>
    <w:rsid w:val="00066B07"/>
    <w:rsid w:val="000703E2"/>
    <w:rsid w:val="0007048B"/>
    <w:rsid w:val="00070C19"/>
    <w:rsid w:val="000714C8"/>
    <w:rsid w:val="000718D7"/>
    <w:rsid w:val="0007192C"/>
    <w:rsid w:val="000725E5"/>
    <w:rsid w:val="00072731"/>
    <w:rsid w:val="000727F2"/>
    <w:rsid w:val="00072800"/>
    <w:rsid w:val="00074621"/>
    <w:rsid w:val="0007483F"/>
    <w:rsid w:val="00075A1C"/>
    <w:rsid w:val="000765F4"/>
    <w:rsid w:val="00076B97"/>
    <w:rsid w:val="00076D50"/>
    <w:rsid w:val="000774BB"/>
    <w:rsid w:val="000779DE"/>
    <w:rsid w:val="00077C8C"/>
    <w:rsid w:val="00081108"/>
    <w:rsid w:val="000812FE"/>
    <w:rsid w:val="00081A5A"/>
    <w:rsid w:val="00081BB3"/>
    <w:rsid w:val="00081EF4"/>
    <w:rsid w:val="00081F98"/>
    <w:rsid w:val="000826AE"/>
    <w:rsid w:val="00082B03"/>
    <w:rsid w:val="00082EB1"/>
    <w:rsid w:val="00082ED5"/>
    <w:rsid w:val="00082F0E"/>
    <w:rsid w:val="000838CA"/>
    <w:rsid w:val="00084312"/>
    <w:rsid w:val="0008434D"/>
    <w:rsid w:val="000855AF"/>
    <w:rsid w:val="00086A26"/>
    <w:rsid w:val="00087110"/>
    <w:rsid w:val="000873D2"/>
    <w:rsid w:val="0008758D"/>
    <w:rsid w:val="00087A92"/>
    <w:rsid w:val="0009095F"/>
    <w:rsid w:val="00090EE5"/>
    <w:rsid w:val="00091191"/>
    <w:rsid w:val="000912D4"/>
    <w:rsid w:val="00092B03"/>
    <w:rsid w:val="00094F6C"/>
    <w:rsid w:val="00095F6C"/>
    <w:rsid w:val="000965DA"/>
    <w:rsid w:val="00096F5D"/>
    <w:rsid w:val="000A0043"/>
    <w:rsid w:val="000A0B03"/>
    <w:rsid w:val="000A12B5"/>
    <w:rsid w:val="000A1A6C"/>
    <w:rsid w:val="000A1ED8"/>
    <w:rsid w:val="000A205E"/>
    <w:rsid w:val="000A2947"/>
    <w:rsid w:val="000A2A8A"/>
    <w:rsid w:val="000A3361"/>
    <w:rsid w:val="000A350F"/>
    <w:rsid w:val="000A3BAB"/>
    <w:rsid w:val="000A3C4F"/>
    <w:rsid w:val="000A3E08"/>
    <w:rsid w:val="000A469E"/>
    <w:rsid w:val="000A4ADC"/>
    <w:rsid w:val="000A4C81"/>
    <w:rsid w:val="000A4CE9"/>
    <w:rsid w:val="000A5831"/>
    <w:rsid w:val="000A5E63"/>
    <w:rsid w:val="000A6A15"/>
    <w:rsid w:val="000A723E"/>
    <w:rsid w:val="000A7638"/>
    <w:rsid w:val="000A7CF7"/>
    <w:rsid w:val="000B05B9"/>
    <w:rsid w:val="000B08B2"/>
    <w:rsid w:val="000B0D55"/>
    <w:rsid w:val="000B1239"/>
    <w:rsid w:val="000B13B1"/>
    <w:rsid w:val="000B1566"/>
    <w:rsid w:val="000B1904"/>
    <w:rsid w:val="000B2EAC"/>
    <w:rsid w:val="000B2F16"/>
    <w:rsid w:val="000B3753"/>
    <w:rsid w:val="000B3F72"/>
    <w:rsid w:val="000B4951"/>
    <w:rsid w:val="000B5590"/>
    <w:rsid w:val="000B69EA"/>
    <w:rsid w:val="000B6F80"/>
    <w:rsid w:val="000B7502"/>
    <w:rsid w:val="000B7A3C"/>
    <w:rsid w:val="000C1D23"/>
    <w:rsid w:val="000C1D52"/>
    <w:rsid w:val="000C20DC"/>
    <w:rsid w:val="000C22FA"/>
    <w:rsid w:val="000C3864"/>
    <w:rsid w:val="000C3C59"/>
    <w:rsid w:val="000C423A"/>
    <w:rsid w:val="000C4288"/>
    <w:rsid w:val="000C478F"/>
    <w:rsid w:val="000C4DC8"/>
    <w:rsid w:val="000C4EC7"/>
    <w:rsid w:val="000C50CA"/>
    <w:rsid w:val="000C516C"/>
    <w:rsid w:val="000C5653"/>
    <w:rsid w:val="000C5BCF"/>
    <w:rsid w:val="000C5DA8"/>
    <w:rsid w:val="000C6175"/>
    <w:rsid w:val="000C6604"/>
    <w:rsid w:val="000C6BCB"/>
    <w:rsid w:val="000C7236"/>
    <w:rsid w:val="000C7866"/>
    <w:rsid w:val="000C7AB3"/>
    <w:rsid w:val="000D0028"/>
    <w:rsid w:val="000D0C10"/>
    <w:rsid w:val="000D0E5B"/>
    <w:rsid w:val="000D0E9C"/>
    <w:rsid w:val="000D11FF"/>
    <w:rsid w:val="000D1C56"/>
    <w:rsid w:val="000D2269"/>
    <w:rsid w:val="000D23EF"/>
    <w:rsid w:val="000D2400"/>
    <w:rsid w:val="000D29E6"/>
    <w:rsid w:val="000D2CDA"/>
    <w:rsid w:val="000D2D1C"/>
    <w:rsid w:val="000D3628"/>
    <w:rsid w:val="000D3834"/>
    <w:rsid w:val="000D3BAD"/>
    <w:rsid w:val="000D422F"/>
    <w:rsid w:val="000D47E8"/>
    <w:rsid w:val="000D49CE"/>
    <w:rsid w:val="000D4BF8"/>
    <w:rsid w:val="000D503B"/>
    <w:rsid w:val="000D55E4"/>
    <w:rsid w:val="000D5A02"/>
    <w:rsid w:val="000D7BEC"/>
    <w:rsid w:val="000E00C6"/>
    <w:rsid w:val="000E210A"/>
    <w:rsid w:val="000E2BC2"/>
    <w:rsid w:val="000E4000"/>
    <w:rsid w:val="000E4388"/>
    <w:rsid w:val="000E460C"/>
    <w:rsid w:val="000E4FA5"/>
    <w:rsid w:val="000E595F"/>
    <w:rsid w:val="000E5E6E"/>
    <w:rsid w:val="000E6140"/>
    <w:rsid w:val="000E62E6"/>
    <w:rsid w:val="000E63AA"/>
    <w:rsid w:val="000E66CA"/>
    <w:rsid w:val="000E6F04"/>
    <w:rsid w:val="000E7032"/>
    <w:rsid w:val="000E7432"/>
    <w:rsid w:val="000E77CE"/>
    <w:rsid w:val="000E7C64"/>
    <w:rsid w:val="000E7DB1"/>
    <w:rsid w:val="000E7ED2"/>
    <w:rsid w:val="000F0CDA"/>
    <w:rsid w:val="000F1406"/>
    <w:rsid w:val="000F1B49"/>
    <w:rsid w:val="000F230A"/>
    <w:rsid w:val="000F3DB5"/>
    <w:rsid w:val="000F3E16"/>
    <w:rsid w:val="000F49D1"/>
    <w:rsid w:val="000F50F3"/>
    <w:rsid w:val="000F58FD"/>
    <w:rsid w:val="000F5937"/>
    <w:rsid w:val="000F7377"/>
    <w:rsid w:val="000F7A83"/>
    <w:rsid w:val="0010076A"/>
    <w:rsid w:val="00100D13"/>
    <w:rsid w:val="00100D39"/>
    <w:rsid w:val="001026A1"/>
    <w:rsid w:val="00102B7F"/>
    <w:rsid w:val="00103A0C"/>
    <w:rsid w:val="00103FBE"/>
    <w:rsid w:val="00104571"/>
    <w:rsid w:val="00104627"/>
    <w:rsid w:val="00104BB4"/>
    <w:rsid w:val="00105246"/>
    <w:rsid w:val="0010657C"/>
    <w:rsid w:val="00106D7C"/>
    <w:rsid w:val="001078C3"/>
    <w:rsid w:val="00107B64"/>
    <w:rsid w:val="00107D0A"/>
    <w:rsid w:val="00110028"/>
    <w:rsid w:val="001115E6"/>
    <w:rsid w:val="001118DB"/>
    <w:rsid w:val="00112809"/>
    <w:rsid w:val="00113A5E"/>
    <w:rsid w:val="00113C1B"/>
    <w:rsid w:val="00113D8C"/>
    <w:rsid w:val="00113DB1"/>
    <w:rsid w:val="00114232"/>
    <w:rsid w:val="00114836"/>
    <w:rsid w:val="001151FC"/>
    <w:rsid w:val="00115750"/>
    <w:rsid w:val="00115A3E"/>
    <w:rsid w:val="0011637E"/>
    <w:rsid w:val="0011671C"/>
    <w:rsid w:val="00116AAF"/>
    <w:rsid w:val="00117F42"/>
    <w:rsid w:val="00120A56"/>
    <w:rsid w:val="00121670"/>
    <w:rsid w:val="0012183C"/>
    <w:rsid w:val="00121CDA"/>
    <w:rsid w:val="001221B6"/>
    <w:rsid w:val="00122D7D"/>
    <w:rsid w:val="00123CF4"/>
    <w:rsid w:val="001240A1"/>
    <w:rsid w:val="00124667"/>
    <w:rsid w:val="00124A6D"/>
    <w:rsid w:val="0012591D"/>
    <w:rsid w:val="00125B54"/>
    <w:rsid w:val="00125EB5"/>
    <w:rsid w:val="001261B1"/>
    <w:rsid w:val="00126548"/>
    <w:rsid w:val="00126E80"/>
    <w:rsid w:val="001275EF"/>
    <w:rsid w:val="0013019A"/>
    <w:rsid w:val="001301B6"/>
    <w:rsid w:val="00130CEE"/>
    <w:rsid w:val="001318A2"/>
    <w:rsid w:val="001318CF"/>
    <w:rsid w:val="00133476"/>
    <w:rsid w:val="0013397E"/>
    <w:rsid w:val="00134940"/>
    <w:rsid w:val="00134A5D"/>
    <w:rsid w:val="00134DA5"/>
    <w:rsid w:val="001356B2"/>
    <w:rsid w:val="00135CBA"/>
    <w:rsid w:val="00135F9F"/>
    <w:rsid w:val="001365AE"/>
    <w:rsid w:val="00136C32"/>
    <w:rsid w:val="00137077"/>
    <w:rsid w:val="001373E9"/>
    <w:rsid w:val="00137E20"/>
    <w:rsid w:val="00137F36"/>
    <w:rsid w:val="00140136"/>
    <w:rsid w:val="001405BD"/>
    <w:rsid w:val="00140BFB"/>
    <w:rsid w:val="00141C02"/>
    <w:rsid w:val="0014245B"/>
    <w:rsid w:val="00142519"/>
    <w:rsid w:val="00142B05"/>
    <w:rsid w:val="0014313E"/>
    <w:rsid w:val="00144169"/>
    <w:rsid w:val="001449F1"/>
    <w:rsid w:val="0014791F"/>
    <w:rsid w:val="00147968"/>
    <w:rsid w:val="00147B24"/>
    <w:rsid w:val="00147F66"/>
    <w:rsid w:val="00150A3F"/>
    <w:rsid w:val="00150DA3"/>
    <w:rsid w:val="00151017"/>
    <w:rsid w:val="001513DD"/>
    <w:rsid w:val="00151A4C"/>
    <w:rsid w:val="00151A70"/>
    <w:rsid w:val="00151EC0"/>
    <w:rsid w:val="001520E1"/>
    <w:rsid w:val="00152A70"/>
    <w:rsid w:val="00153504"/>
    <w:rsid w:val="0015367D"/>
    <w:rsid w:val="001538FC"/>
    <w:rsid w:val="00153E0E"/>
    <w:rsid w:val="001542D7"/>
    <w:rsid w:val="00155120"/>
    <w:rsid w:val="001554BF"/>
    <w:rsid w:val="00155591"/>
    <w:rsid w:val="001559BB"/>
    <w:rsid w:val="001559EA"/>
    <w:rsid w:val="00155A47"/>
    <w:rsid w:val="00155EB7"/>
    <w:rsid w:val="00156881"/>
    <w:rsid w:val="00157D6D"/>
    <w:rsid w:val="00160006"/>
    <w:rsid w:val="00160212"/>
    <w:rsid w:val="001609BD"/>
    <w:rsid w:val="00160C95"/>
    <w:rsid w:val="001612CA"/>
    <w:rsid w:val="00162601"/>
    <w:rsid w:val="0016282E"/>
    <w:rsid w:val="00162A09"/>
    <w:rsid w:val="00163272"/>
    <w:rsid w:val="0016346B"/>
    <w:rsid w:val="001636B4"/>
    <w:rsid w:val="00163900"/>
    <w:rsid w:val="00163FD0"/>
    <w:rsid w:val="00164994"/>
    <w:rsid w:val="00166686"/>
    <w:rsid w:val="00166767"/>
    <w:rsid w:val="00166D83"/>
    <w:rsid w:val="00166F6C"/>
    <w:rsid w:val="001672CF"/>
    <w:rsid w:val="00167638"/>
    <w:rsid w:val="00167949"/>
    <w:rsid w:val="00167A09"/>
    <w:rsid w:val="00170128"/>
    <w:rsid w:val="001703C4"/>
    <w:rsid w:val="00170A5E"/>
    <w:rsid w:val="0017101E"/>
    <w:rsid w:val="0017124B"/>
    <w:rsid w:val="001723E1"/>
    <w:rsid w:val="0017314E"/>
    <w:rsid w:val="00173B6E"/>
    <w:rsid w:val="00174306"/>
    <w:rsid w:val="0017435C"/>
    <w:rsid w:val="00174FA3"/>
    <w:rsid w:val="0017738E"/>
    <w:rsid w:val="001774C4"/>
    <w:rsid w:val="0017786E"/>
    <w:rsid w:val="00180E23"/>
    <w:rsid w:val="00180FF3"/>
    <w:rsid w:val="0018161F"/>
    <w:rsid w:val="00181929"/>
    <w:rsid w:val="00181FA6"/>
    <w:rsid w:val="00182526"/>
    <w:rsid w:val="0018252E"/>
    <w:rsid w:val="00184E9D"/>
    <w:rsid w:val="00185338"/>
    <w:rsid w:val="00186064"/>
    <w:rsid w:val="001861AF"/>
    <w:rsid w:val="0019013A"/>
    <w:rsid w:val="00190558"/>
    <w:rsid w:val="001908DE"/>
    <w:rsid w:val="00190D4C"/>
    <w:rsid w:val="00191839"/>
    <w:rsid w:val="00191985"/>
    <w:rsid w:val="001924EE"/>
    <w:rsid w:val="00192744"/>
    <w:rsid w:val="001928F5"/>
    <w:rsid w:val="00192F43"/>
    <w:rsid w:val="0019360E"/>
    <w:rsid w:val="00194081"/>
    <w:rsid w:val="0019448C"/>
    <w:rsid w:val="001945B5"/>
    <w:rsid w:val="00194702"/>
    <w:rsid w:val="001948FF"/>
    <w:rsid w:val="00194C36"/>
    <w:rsid w:val="00194E5C"/>
    <w:rsid w:val="001954E7"/>
    <w:rsid w:val="00195F26"/>
    <w:rsid w:val="001968B2"/>
    <w:rsid w:val="001976F4"/>
    <w:rsid w:val="00197A45"/>
    <w:rsid w:val="00197A9A"/>
    <w:rsid w:val="00197EAB"/>
    <w:rsid w:val="001A045D"/>
    <w:rsid w:val="001A0873"/>
    <w:rsid w:val="001A10D9"/>
    <w:rsid w:val="001A126A"/>
    <w:rsid w:val="001A14ED"/>
    <w:rsid w:val="001A1F28"/>
    <w:rsid w:val="001A294A"/>
    <w:rsid w:val="001A2C48"/>
    <w:rsid w:val="001A3191"/>
    <w:rsid w:val="001A41AE"/>
    <w:rsid w:val="001A431A"/>
    <w:rsid w:val="001A49F5"/>
    <w:rsid w:val="001A5769"/>
    <w:rsid w:val="001A59AD"/>
    <w:rsid w:val="001A5D27"/>
    <w:rsid w:val="001A6460"/>
    <w:rsid w:val="001A6867"/>
    <w:rsid w:val="001A68DA"/>
    <w:rsid w:val="001A6D48"/>
    <w:rsid w:val="001A7186"/>
    <w:rsid w:val="001A772E"/>
    <w:rsid w:val="001A778B"/>
    <w:rsid w:val="001A7C6B"/>
    <w:rsid w:val="001B0DDF"/>
    <w:rsid w:val="001B1FCF"/>
    <w:rsid w:val="001B2097"/>
    <w:rsid w:val="001B212B"/>
    <w:rsid w:val="001B2C28"/>
    <w:rsid w:val="001B2E63"/>
    <w:rsid w:val="001B3150"/>
    <w:rsid w:val="001B3451"/>
    <w:rsid w:val="001B3799"/>
    <w:rsid w:val="001B4164"/>
    <w:rsid w:val="001B552D"/>
    <w:rsid w:val="001B5792"/>
    <w:rsid w:val="001B5A10"/>
    <w:rsid w:val="001B62E9"/>
    <w:rsid w:val="001B62F2"/>
    <w:rsid w:val="001B6F2B"/>
    <w:rsid w:val="001B7CB4"/>
    <w:rsid w:val="001C032F"/>
    <w:rsid w:val="001C09E0"/>
    <w:rsid w:val="001C0E9F"/>
    <w:rsid w:val="001C0FEB"/>
    <w:rsid w:val="001C1E84"/>
    <w:rsid w:val="001C2518"/>
    <w:rsid w:val="001C29D0"/>
    <w:rsid w:val="001C2B49"/>
    <w:rsid w:val="001C2FC5"/>
    <w:rsid w:val="001C3AE2"/>
    <w:rsid w:val="001C3DD4"/>
    <w:rsid w:val="001C434F"/>
    <w:rsid w:val="001C43F9"/>
    <w:rsid w:val="001C58D0"/>
    <w:rsid w:val="001C6B9F"/>
    <w:rsid w:val="001C734B"/>
    <w:rsid w:val="001C7E39"/>
    <w:rsid w:val="001D03D0"/>
    <w:rsid w:val="001D087B"/>
    <w:rsid w:val="001D0CCB"/>
    <w:rsid w:val="001D0CE7"/>
    <w:rsid w:val="001D137F"/>
    <w:rsid w:val="001D1523"/>
    <w:rsid w:val="001D1B92"/>
    <w:rsid w:val="001D1F31"/>
    <w:rsid w:val="001D215C"/>
    <w:rsid w:val="001D21FE"/>
    <w:rsid w:val="001D34D1"/>
    <w:rsid w:val="001D396D"/>
    <w:rsid w:val="001D3AA3"/>
    <w:rsid w:val="001D3C9F"/>
    <w:rsid w:val="001D4136"/>
    <w:rsid w:val="001D58A9"/>
    <w:rsid w:val="001D5AB3"/>
    <w:rsid w:val="001D629A"/>
    <w:rsid w:val="001D630A"/>
    <w:rsid w:val="001D6666"/>
    <w:rsid w:val="001D69AE"/>
    <w:rsid w:val="001D69FE"/>
    <w:rsid w:val="001D6AAF"/>
    <w:rsid w:val="001E01EB"/>
    <w:rsid w:val="001E042C"/>
    <w:rsid w:val="001E0971"/>
    <w:rsid w:val="001E205C"/>
    <w:rsid w:val="001E2B73"/>
    <w:rsid w:val="001E3757"/>
    <w:rsid w:val="001E3C60"/>
    <w:rsid w:val="001E41D2"/>
    <w:rsid w:val="001E4331"/>
    <w:rsid w:val="001E456C"/>
    <w:rsid w:val="001E4BF0"/>
    <w:rsid w:val="001E5642"/>
    <w:rsid w:val="001E606F"/>
    <w:rsid w:val="001E6188"/>
    <w:rsid w:val="001E6440"/>
    <w:rsid w:val="001E6908"/>
    <w:rsid w:val="001E6ED7"/>
    <w:rsid w:val="001E6FE9"/>
    <w:rsid w:val="001F03A6"/>
    <w:rsid w:val="001F067E"/>
    <w:rsid w:val="001F1828"/>
    <w:rsid w:val="001F1F05"/>
    <w:rsid w:val="001F22CB"/>
    <w:rsid w:val="001F242C"/>
    <w:rsid w:val="001F2685"/>
    <w:rsid w:val="001F3233"/>
    <w:rsid w:val="001F5D54"/>
    <w:rsid w:val="001F5DA5"/>
    <w:rsid w:val="001F6708"/>
    <w:rsid w:val="001F770F"/>
    <w:rsid w:val="002003B6"/>
    <w:rsid w:val="00200B3D"/>
    <w:rsid w:val="0020178C"/>
    <w:rsid w:val="00201966"/>
    <w:rsid w:val="00201D09"/>
    <w:rsid w:val="00202196"/>
    <w:rsid w:val="00202383"/>
    <w:rsid w:val="00202A1E"/>
    <w:rsid w:val="00203E77"/>
    <w:rsid w:val="00205CEB"/>
    <w:rsid w:val="00205D5F"/>
    <w:rsid w:val="00205DD9"/>
    <w:rsid w:val="002061BB"/>
    <w:rsid w:val="00207717"/>
    <w:rsid w:val="00207773"/>
    <w:rsid w:val="002109FE"/>
    <w:rsid w:val="00210DD2"/>
    <w:rsid w:val="00210E23"/>
    <w:rsid w:val="00210EE5"/>
    <w:rsid w:val="00210F30"/>
    <w:rsid w:val="00210FCB"/>
    <w:rsid w:val="00211187"/>
    <w:rsid w:val="0021178E"/>
    <w:rsid w:val="00211ABB"/>
    <w:rsid w:val="00211C58"/>
    <w:rsid w:val="00212117"/>
    <w:rsid w:val="002121BA"/>
    <w:rsid w:val="002129DC"/>
    <w:rsid w:val="00212A2B"/>
    <w:rsid w:val="0021354A"/>
    <w:rsid w:val="00213C10"/>
    <w:rsid w:val="00213C8E"/>
    <w:rsid w:val="00213E5D"/>
    <w:rsid w:val="002142C5"/>
    <w:rsid w:val="0021532F"/>
    <w:rsid w:val="00215C18"/>
    <w:rsid w:val="00215FDB"/>
    <w:rsid w:val="00216460"/>
    <w:rsid w:val="00216C3B"/>
    <w:rsid w:val="002170C3"/>
    <w:rsid w:val="00217687"/>
    <w:rsid w:val="0021774B"/>
    <w:rsid w:val="00217D31"/>
    <w:rsid w:val="002206BB"/>
    <w:rsid w:val="00221410"/>
    <w:rsid w:val="00221C37"/>
    <w:rsid w:val="00221EAF"/>
    <w:rsid w:val="00221F00"/>
    <w:rsid w:val="00222979"/>
    <w:rsid w:val="002235E6"/>
    <w:rsid w:val="0022398C"/>
    <w:rsid w:val="00223FA6"/>
    <w:rsid w:val="0022495C"/>
    <w:rsid w:val="0022700F"/>
    <w:rsid w:val="00227B3D"/>
    <w:rsid w:val="0023053D"/>
    <w:rsid w:val="00230AF6"/>
    <w:rsid w:val="00231366"/>
    <w:rsid w:val="00231552"/>
    <w:rsid w:val="00231AA6"/>
    <w:rsid w:val="00231D3C"/>
    <w:rsid w:val="00231EDE"/>
    <w:rsid w:val="002324F7"/>
    <w:rsid w:val="002327A9"/>
    <w:rsid w:val="00232AE5"/>
    <w:rsid w:val="00232DDC"/>
    <w:rsid w:val="00233586"/>
    <w:rsid w:val="0023379D"/>
    <w:rsid w:val="00233A22"/>
    <w:rsid w:val="00234D32"/>
    <w:rsid w:val="00234E0D"/>
    <w:rsid w:val="002358EC"/>
    <w:rsid w:val="00235E18"/>
    <w:rsid w:val="00235E6F"/>
    <w:rsid w:val="0023633B"/>
    <w:rsid w:val="002368BF"/>
    <w:rsid w:val="00236CA3"/>
    <w:rsid w:val="00236EAD"/>
    <w:rsid w:val="00236FED"/>
    <w:rsid w:val="002373C7"/>
    <w:rsid w:val="00240512"/>
    <w:rsid w:val="002406B7"/>
    <w:rsid w:val="00240849"/>
    <w:rsid w:val="00240EB2"/>
    <w:rsid w:val="002410A0"/>
    <w:rsid w:val="002417C8"/>
    <w:rsid w:val="00241D29"/>
    <w:rsid w:val="00243896"/>
    <w:rsid w:val="002440A0"/>
    <w:rsid w:val="002441F7"/>
    <w:rsid w:val="00244DE9"/>
    <w:rsid w:val="00244E59"/>
    <w:rsid w:val="00244FCD"/>
    <w:rsid w:val="002461EF"/>
    <w:rsid w:val="00246341"/>
    <w:rsid w:val="002466B5"/>
    <w:rsid w:val="0024696D"/>
    <w:rsid w:val="0024744B"/>
    <w:rsid w:val="00247B39"/>
    <w:rsid w:val="00247F02"/>
    <w:rsid w:val="0025066A"/>
    <w:rsid w:val="00250A89"/>
    <w:rsid w:val="00251575"/>
    <w:rsid w:val="00251BE6"/>
    <w:rsid w:val="00251C59"/>
    <w:rsid w:val="00251DD7"/>
    <w:rsid w:val="0025279F"/>
    <w:rsid w:val="00253559"/>
    <w:rsid w:val="0025357F"/>
    <w:rsid w:val="00253688"/>
    <w:rsid w:val="0025376B"/>
    <w:rsid w:val="00253999"/>
    <w:rsid w:val="00253B8E"/>
    <w:rsid w:val="0025591F"/>
    <w:rsid w:val="00255ABD"/>
    <w:rsid w:val="002560CD"/>
    <w:rsid w:val="002564C3"/>
    <w:rsid w:val="00256F4C"/>
    <w:rsid w:val="002578DE"/>
    <w:rsid w:val="00257E3E"/>
    <w:rsid w:val="00260505"/>
    <w:rsid w:val="0026094C"/>
    <w:rsid w:val="00260B37"/>
    <w:rsid w:val="002612FE"/>
    <w:rsid w:val="002614BD"/>
    <w:rsid w:val="00261CEE"/>
    <w:rsid w:val="00262F3F"/>
    <w:rsid w:val="002630E8"/>
    <w:rsid w:val="00263752"/>
    <w:rsid w:val="00263798"/>
    <w:rsid w:val="00263C2B"/>
    <w:rsid w:val="00263C42"/>
    <w:rsid w:val="00263D4C"/>
    <w:rsid w:val="002640C5"/>
    <w:rsid w:val="00264BEA"/>
    <w:rsid w:val="00264C00"/>
    <w:rsid w:val="00264D41"/>
    <w:rsid w:val="00265419"/>
    <w:rsid w:val="00265E32"/>
    <w:rsid w:val="0026605D"/>
    <w:rsid w:val="002668A8"/>
    <w:rsid w:val="00266E43"/>
    <w:rsid w:val="00267B02"/>
    <w:rsid w:val="00270ECE"/>
    <w:rsid w:val="002722C7"/>
    <w:rsid w:val="00272D21"/>
    <w:rsid w:val="00272EAA"/>
    <w:rsid w:val="0027350D"/>
    <w:rsid w:val="00273EE8"/>
    <w:rsid w:val="00274CA1"/>
    <w:rsid w:val="002751D9"/>
    <w:rsid w:val="002755FC"/>
    <w:rsid w:val="00275CB9"/>
    <w:rsid w:val="00276223"/>
    <w:rsid w:val="002768E2"/>
    <w:rsid w:val="00276A75"/>
    <w:rsid w:val="002773A5"/>
    <w:rsid w:val="00277BEC"/>
    <w:rsid w:val="00280647"/>
    <w:rsid w:val="002806C3"/>
    <w:rsid w:val="00280BC3"/>
    <w:rsid w:val="00282496"/>
    <w:rsid w:val="002831B5"/>
    <w:rsid w:val="00283386"/>
    <w:rsid w:val="00283399"/>
    <w:rsid w:val="00284AD9"/>
    <w:rsid w:val="00284D96"/>
    <w:rsid w:val="00285C8C"/>
    <w:rsid w:val="00285E32"/>
    <w:rsid w:val="002861E7"/>
    <w:rsid w:val="00287245"/>
    <w:rsid w:val="00287993"/>
    <w:rsid w:val="00290067"/>
    <w:rsid w:val="00290153"/>
    <w:rsid w:val="00291070"/>
    <w:rsid w:val="00291205"/>
    <w:rsid w:val="0029142F"/>
    <w:rsid w:val="00291886"/>
    <w:rsid w:val="00291D36"/>
    <w:rsid w:val="0029268C"/>
    <w:rsid w:val="0029321F"/>
    <w:rsid w:val="00293705"/>
    <w:rsid w:val="00294631"/>
    <w:rsid w:val="00294736"/>
    <w:rsid w:val="00294D2E"/>
    <w:rsid w:val="00295156"/>
    <w:rsid w:val="00295865"/>
    <w:rsid w:val="00295C73"/>
    <w:rsid w:val="0029689B"/>
    <w:rsid w:val="00297A8B"/>
    <w:rsid w:val="002A0BD2"/>
    <w:rsid w:val="002A0D6E"/>
    <w:rsid w:val="002A1F2E"/>
    <w:rsid w:val="002A21EC"/>
    <w:rsid w:val="002A21EE"/>
    <w:rsid w:val="002A4DD6"/>
    <w:rsid w:val="002A551F"/>
    <w:rsid w:val="002A6616"/>
    <w:rsid w:val="002A6D4C"/>
    <w:rsid w:val="002A797A"/>
    <w:rsid w:val="002A7AFF"/>
    <w:rsid w:val="002B3877"/>
    <w:rsid w:val="002B3D54"/>
    <w:rsid w:val="002B3D84"/>
    <w:rsid w:val="002B47B6"/>
    <w:rsid w:val="002B4E3F"/>
    <w:rsid w:val="002B5DBE"/>
    <w:rsid w:val="002B5FDB"/>
    <w:rsid w:val="002B6EBF"/>
    <w:rsid w:val="002B73B9"/>
    <w:rsid w:val="002C0219"/>
    <w:rsid w:val="002C17C7"/>
    <w:rsid w:val="002C2CB2"/>
    <w:rsid w:val="002C3667"/>
    <w:rsid w:val="002C37AD"/>
    <w:rsid w:val="002C3BC4"/>
    <w:rsid w:val="002C45BA"/>
    <w:rsid w:val="002C5CC1"/>
    <w:rsid w:val="002C6479"/>
    <w:rsid w:val="002C6A40"/>
    <w:rsid w:val="002C6C23"/>
    <w:rsid w:val="002C6D26"/>
    <w:rsid w:val="002C6F70"/>
    <w:rsid w:val="002C7038"/>
    <w:rsid w:val="002C7422"/>
    <w:rsid w:val="002C7835"/>
    <w:rsid w:val="002C78F2"/>
    <w:rsid w:val="002D0E83"/>
    <w:rsid w:val="002D11C9"/>
    <w:rsid w:val="002D1B4A"/>
    <w:rsid w:val="002D20E0"/>
    <w:rsid w:val="002D2713"/>
    <w:rsid w:val="002D2D91"/>
    <w:rsid w:val="002D3100"/>
    <w:rsid w:val="002D3B89"/>
    <w:rsid w:val="002D40D9"/>
    <w:rsid w:val="002D4FA8"/>
    <w:rsid w:val="002D555A"/>
    <w:rsid w:val="002D5B05"/>
    <w:rsid w:val="002D5B69"/>
    <w:rsid w:val="002D6083"/>
    <w:rsid w:val="002D60B0"/>
    <w:rsid w:val="002D6FFE"/>
    <w:rsid w:val="002D7590"/>
    <w:rsid w:val="002E0C7E"/>
    <w:rsid w:val="002E0E8D"/>
    <w:rsid w:val="002E13C7"/>
    <w:rsid w:val="002E150C"/>
    <w:rsid w:val="002E1B6D"/>
    <w:rsid w:val="002E271E"/>
    <w:rsid w:val="002E2999"/>
    <w:rsid w:val="002E2A28"/>
    <w:rsid w:val="002E2BE9"/>
    <w:rsid w:val="002E2CDA"/>
    <w:rsid w:val="002E331F"/>
    <w:rsid w:val="002E3DC9"/>
    <w:rsid w:val="002E4579"/>
    <w:rsid w:val="002E45C9"/>
    <w:rsid w:val="002E55A3"/>
    <w:rsid w:val="002E5E05"/>
    <w:rsid w:val="002E5FCF"/>
    <w:rsid w:val="002E6520"/>
    <w:rsid w:val="002E6550"/>
    <w:rsid w:val="002E675E"/>
    <w:rsid w:val="002E6AF8"/>
    <w:rsid w:val="002E6C6F"/>
    <w:rsid w:val="002E7387"/>
    <w:rsid w:val="002E7B64"/>
    <w:rsid w:val="002F03B5"/>
    <w:rsid w:val="002F0AE9"/>
    <w:rsid w:val="002F1506"/>
    <w:rsid w:val="002F2648"/>
    <w:rsid w:val="002F3029"/>
    <w:rsid w:val="002F3936"/>
    <w:rsid w:val="002F458F"/>
    <w:rsid w:val="002F4B68"/>
    <w:rsid w:val="002F5368"/>
    <w:rsid w:val="002F5AA3"/>
    <w:rsid w:val="002F6258"/>
    <w:rsid w:val="002F69D0"/>
    <w:rsid w:val="002F717E"/>
    <w:rsid w:val="002F722B"/>
    <w:rsid w:val="002F7232"/>
    <w:rsid w:val="002F72DB"/>
    <w:rsid w:val="002F7520"/>
    <w:rsid w:val="002F75AE"/>
    <w:rsid w:val="002F7C01"/>
    <w:rsid w:val="00300278"/>
    <w:rsid w:val="00300321"/>
    <w:rsid w:val="0030037F"/>
    <w:rsid w:val="00300D1D"/>
    <w:rsid w:val="003012FA"/>
    <w:rsid w:val="0030254C"/>
    <w:rsid w:val="00302B69"/>
    <w:rsid w:val="00303400"/>
    <w:rsid w:val="003038A6"/>
    <w:rsid w:val="00303F04"/>
    <w:rsid w:val="00304D2F"/>
    <w:rsid w:val="00305152"/>
    <w:rsid w:val="0030554D"/>
    <w:rsid w:val="00305651"/>
    <w:rsid w:val="003056CE"/>
    <w:rsid w:val="00305A07"/>
    <w:rsid w:val="00306167"/>
    <w:rsid w:val="00306D84"/>
    <w:rsid w:val="0031025C"/>
    <w:rsid w:val="00310847"/>
    <w:rsid w:val="00311B01"/>
    <w:rsid w:val="00312840"/>
    <w:rsid w:val="003142F0"/>
    <w:rsid w:val="003144B4"/>
    <w:rsid w:val="00314DF1"/>
    <w:rsid w:val="003159D7"/>
    <w:rsid w:val="00316835"/>
    <w:rsid w:val="0031718E"/>
    <w:rsid w:val="0031744A"/>
    <w:rsid w:val="00320466"/>
    <w:rsid w:val="003206FF"/>
    <w:rsid w:val="00320B5E"/>
    <w:rsid w:val="00320C25"/>
    <w:rsid w:val="00321277"/>
    <w:rsid w:val="0032152B"/>
    <w:rsid w:val="0032173F"/>
    <w:rsid w:val="00321BBB"/>
    <w:rsid w:val="003228E9"/>
    <w:rsid w:val="00323AAD"/>
    <w:rsid w:val="003245F7"/>
    <w:rsid w:val="003247C8"/>
    <w:rsid w:val="003254C0"/>
    <w:rsid w:val="00326357"/>
    <w:rsid w:val="0032635C"/>
    <w:rsid w:val="00326E7A"/>
    <w:rsid w:val="003272DD"/>
    <w:rsid w:val="00327440"/>
    <w:rsid w:val="003279B4"/>
    <w:rsid w:val="003301A6"/>
    <w:rsid w:val="00330755"/>
    <w:rsid w:val="00330BF3"/>
    <w:rsid w:val="0033141F"/>
    <w:rsid w:val="0033149E"/>
    <w:rsid w:val="003314E0"/>
    <w:rsid w:val="00331F70"/>
    <w:rsid w:val="00333A31"/>
    <w:rsid w:val="00333BD2"/>
    <w:rsid w:val="00335175"/>
    <w:rsid w:val="00335640"/>
    <w:rsid w:val="00335F40"/>
    <w:rsid w:val="00336095"/>
    <w:rsid w:val="003367B6"/>
    <w:rsid w:val="003374A6"/>
    <w:rsid w:val="00337F0D"/>
    <w:rsid w:val="003402DF"/>
    <w:rsid w:val="00340873"/>
    <w:rsid w:val="003408A0"/>
    <w:rsid w:val="00340EA6"/>
    <w:rsid w:val="00341572"/>
    <w:rsid w:val="003419F5"/>
    <w:rsid w:val="00341D5F"/>
    <w:rsid w:val="003425D3"/>
    <w:rsid w:val="00342E71"/>
    <w:rsid w:val="00343088"/>
    <w:rsid w:val="0034329D"/>
    <w:rsid w:val="00344D9B"/>
    <w:rsid w:val="003460F1"/>
    <w:rsid w:val="00346491"/>
    <w:rsid w:val="00346630"/>
    <w:rsid w:val="0034672E"/>
    <w:rsid w:val="003467EA"/>
    <w:rsid w:val="00346880"/>
    <w:rsid w:val="00346B0B"/>
    <w:rsid w:val="0034731A"/>
    <w:rsid w:val="00347AB9"/>
    <w:rsid w:val="00347F63"/>
    <w:rsid w:val="003502EC"/>
    <w:rsid w:val="00350FDF"/>
    <w:rsid w:val="00351377"/>
    <w:rsid w:val="003530C4"/>
    <w:rsid w:val="003531B0"/>
    <w:rsid w:val="00353A12"/>
    <w:rsid w:val="00353BEA"/>
    <w:rsid w:val="00353C7F"/>
    <w:rsid w:val="00353D6F"/>
    <w:rsid w:val="0035562E"/>
    <w:rsid w:val="00355A09"/>
    <w:rsid w:val="003562FF"/>
    <w:rsid w:val="00360E1A"/>
    <w:rsid w:val="00361676"/>
    <w:rsid w:val="0036196A"/>
    <w:rsid w:val="00361BC2"/>
    <w:rsid w:val="00361DBC"/>
    <w:rsid w:val="0036294D"/>
    <w:rsid w:val="0036372A"/>
    <w:rsid w:val="00363A0F"/>
    <w:rsid w:val="00363B4C"/>
    <w:rsid w:val="00363D1E"/>
    <w:rsid w:val="00364565"/>
    <w:rsid w:val="00364684"/>
    <w:rsid w:val="003646B0"/>
    <w:rsid w:val="00364983"/>
    <w:rsid w:val="00364F93"/>
    <w:rsid w:val="003652BA"/>
    <w:rsid w:val="00365537"/>
    <w:rsid w:val="00365BDA"/>
    <w:rsid w:val="00366319"/>
    <w:rsid w:val="003668AB"/>
    <w:rsid w:val="003669E7"/>
    <w:rsid w:val="00366DFA"/>
    <w:rsid w:val="00367104"/>
    <w:rsid w:val="003676EF"/>
    <w:rsid w:val="00370111"/>
    <w:rsid w:val="003705B1"/>
    <w:rsid w:val="00371BD2"/>
    <w:rsid w:val="00374CB5"/>
    <w:rsid w:val="00374F34"/>
    <w:rsid w:val="0037518A"/>
    <w:rsid w:val="003754C9"/>
    <w:rsid w:val="003766AE"/>
    <w:rsid w:val="0037785E"/>
    <w:rsid w:val="00380129"/>
    <w:rsid w:val="003807CA"/>
    <w:rsid w:val="00380A4F"/>
    <w:rsid w:val="00380BC8"/>
    <w:rsid w:val="00380C01"/>
    <w:rsid w:val="00380E05"/>
    <w:rsid w:val="0038133E"/>
    <w:rsid w:val="003813FA"/>
    <w:rsid w:val="00382002"/>
    <w:rsid w:val="00382098"/>
    <w:rsid w:val="0038287B"/>
    <w:rsid w:val="00382A5C"/>
    <w:rsid w:val="003845AE"/>
    <w:rsid w:val="003847EB"/>
    <w:rsid w:val="0038501D"/>
    <w:rsid w:val="0038553F"/>
    <w:rsid w:val="00385BFE"/>
    <w:rsid w:val="003861E7"/>
    <w:rsid w:val="003865CF"/>
    <w:rsid w:val="00386D90"/>
    <w:rsid w:val="0038718B"/>
    <w:rsid w:val="003906C8"/>
    <w:rsid w:val="0039084E"/>
    <w:rsid w:val="00390DF1"/>
    <w:rsid w:val="00390DFF"/>
    <w:rsid w:val="00390EC8"/>
    <w:rsid w:val="003910C2"/>
    <w:rsid w:val="0039119C"/>
    <w:rsid w:val="00392A09"/>
    <w:rsid w:val="00392B20"/>
    <w:rsid w:val="00392C65"/>
    <w:rsid w:val="0039377C"/>
    <w:rsid w:val="003950CC"/>
    <w:rsid w:val="00395164"/>
    <w:rsid w:val="0039551A"/>
    <w:rsid w:val="00395A78"/>
    <w:rsid w:val="00396326"/>
    <w:rsid w:val="0039669C"/>
    <w:rsid w:val="00396FB3"/>
    <w:rsid w:val="00397E38"/>
    <w:rsid w:val="003A049F"/>
    <w:rsid w:val="003A0E91"/>
    <w:rsid w:val="003A11C2"/>
    <w:rsid w:val="003A1E20"/>
    <w:rsid w:val="003A1E25"/>
    <w:rsid w:val="003A29A0"/>
    <w:rsid w:val="003A2A2A"/>
    <w:rsid w:val="003A2BF3"/>
    <w:rsid w:val="003A3444"/>
    <w:rsid w:val="003A3A4D"/>
    <w:rsid w:val="003A3B12"/>
    <w:rsid w:val="003A5986"/>
    <w:rsid w:val="003A6326"/>
    <w:rsid w:val="003B1542"/>
    <w:rsid w:val="003B157A"/>
    <w:rsid w:val="003B21AB"/>
    <w:rsid w:val="003B2C45"/>
    <w:rsid w:val="003B335F"/>
    <w:rsid w:val="003B380C"/>
    <w:rsid w:val="003B3F86"/>
    <w:rsid w:val="003B4039"/>
    <w:rsid w:val="003B41AB"/>
    <w:rsid w:val="003B44D6"/>
    <w:rsid w:val="003B4EB4"/>
    <w:rsid w:val="003B553B"/>
    <w:rsid w:val="003B595E"/>
    <w:rsid w:val="003B5CEE"/>
    <w:rsid w:val="003B6245"/>
    <w:rsid w:val="003B65A5"/>
    <w:rsid w:val="003B67A6"/>
    <w:rsid w:val="003B6ABA"/>
    <w:rsid w:val="003B6CB7"/>
    <w:rsid w:val="003B75B2"/>
    <w:rsid w:val="003B7C3C"/>
    <w:rsid w:val="003C032E"/>
    <w:rsid w:val="003C0B27"/>
    <w:rsid w:val="003C2351"/>
    <w:rsid w:val="003C2BB2"/>
    <w:rsid w:val="003C30D0"/>
    <w:rsid w:val="003C434C"/>
    <w:rsid w:val="003C43B4"/>
    <w:rsid w:val="003C4832"/>
    <w:rsid w:val="003C4BC3"/>
    <w:rsid w:val="003C51DD"/>
    <w:rsid w:val="003C5444"/>
    <w:rsid w:val="003C58F5"/>
    <w:rsid w:val="003C5B22"/>
    <w:rsid w:val="003C677C"/>
    <w:rsid w:val="003C6964"/>
    <w:rsid w:val="003C729A"/>
    <w:rsid w:val="003C7920"/>
    <w:rsid w:val="003D0872"/>
    <w:rsid w:val="003D1666"/>
    <w:rsid w:val="003D28F1"/>
    <w:rsid w:val="003D3153"/>
    <w:rsid w:val="003D317D"/>
    <w:rsid w:val="003D36BA"/>
    <w:rsid w:val="003D453A"/>
    <w:rsid w:val="003D4599"/>
    <w:rsid w:val="003D4C67"/>
    <w:rsid w:val="003D4DA7"/>
    <w:rsid w:val="003D59A2"/>
    <w:rsid w:val="003D5BE1"/>
    <w:rsid w:val="003D724A"/>
    <w:rsid w:val="003D7F99"/>
    <w:rsid w:val="003E0B79"/>
    <w:rsid w:val="003E198B"/>
    <w:rsid w:val="003E20DA"/>
    <w:rsid w:val="003E3B9B"/>
    <w:rsid w:val="003E4B99"/>
    <w:rsid w:val="003E4E67"/>
    <w:rsid w:val="003E4FB1"/>
    <w:rsid w:val="003E4FB3"/>
    <w:rsid w:val="003E523A"/>
    <w:rsid w:val="003E54E9"/>
    <w:rsid w:val="003E5521"/>
    <w:rsid w:val="003E631F"/>
    <w:rsid w:val="003E6FFD"/>
    <w:rsid w:val="003E7352"/>
    <w:rsid w:val="003E7588"/>
    <w:rsid w:val="003E7B77"/>
    <w:rsid w:val="003E7DA8"/>
    <w:rsid w:val="003E7DAE"/>
    <w:rsid w:val="003E7E14"/>
    <w:rsid w:val="003F041F"/>
    <w:rsid w:val="003F08DA"/>
    <w:rsid w:val="003F0A60"/>
    <w:rsid w:val="003F0ADA"/>
    <w:rsid w:val="003F2735"/>
    <w:rsid w:val="003F27DA"/>
    <w:rsid w:val="003F2EF9"/>
    <w:rsid w:val="003F4078"/>
    <w:rsid w:val="003F44F7"/>
    <w:rsid w:val="003F46A0"/>
    <w:rsid w:val="003F4AFD"/>
    <w:rsid w:val="003F5392"/>
    <w:rsid w:val="003F5501"/>
    <w:rsid w:val="003F5F5F"/>
    <w:rsid w:val="003F6236"/>
    <w:rsid w:val="003F6B5F"/>
    <w:rsid w:val="003F72BA"/>
    <w:rsid w:val="003F7377"/>
    <w:rsid w:val="003F7721"/>
    <w:rsid w:val="00400A6D"/>
    <w:rsid w:val="00400AAC"/>
    <w:rsid w:val="00400E04"/>
    <w:rsid w:val="004012FF"/>
    <w:rsid w:val="004013FD"/>
    <w:rsid w:val="004014A7"/>
    <w:rsid w:val="004014E9"/>
    <w:rsid w:val="004015BB"/>
    <w:rsid w:val="004036C3"/>
    <w:rsid w:val="00403789"/>
    <w:rsid w:val="00403EBA"/>
    <w:rsid w:val="00403EFC"/>
    <w:rsid w:val="004041BF"/>
    <w:rsid w:val="00404AE0"/>
    <w:rsid w:val="00405035"/>
    <w:rsid w:val="004056EC"/>
    <w:rsid w:val="00405C26"/>
    <w:rsid w:val="00405E0B"/>
    <w:rsid w:val="00405F35"/>
    <w:rsid w:val="00406488"/>
    <w:rsid w:val="00406CA7"/>
    <w:rsid w:val="00407B76"/>
    <w:rsid w:val="00407E14"/>
    <w:rsid w:val="00410C48"/>
    <w:rsid w:val="004110B6"/>
    <w:rsid w:val="00411A13"/>
    <w:rsid w:val="00412C50"/>
    <w:rsid w:val="00412DE9"/>
    <w:rsid w:val="004136FD"/>
    <w:rsid w:val="00413890"/>
    <w:rsid w:val="00413A12"/>
    <w:rsid w:val="004144CF"/>
    <w:rsid w:val="00414903"/>
    <w:rsid w:val="00415B54"/>
    <w:rsid w:val="00415C28"/>
    <w:rsid w:val="00415F80"/>
    <w:rsid w:val="004161C1"/>
    <w:rsid w:val="00416A2A"/>
    <w:rsid w:val="0041714A"/>
    <w:rsid w:val="004218C0"/>
    <w:rsid w:val="00422046"/>
    <w:rsid w:val="00422A89"/>
    <w:rsid w:val="00422F72"/>
    <w:rsid w:val="00423A18"/>
    <w:rsid w:val="00423CF3"/>
    <w:rsid w:val="00424606"/>
    <w:rsid w:val="0042531E"/>
    <w:rsid w:val="004255CC"/>
    <w:rsid w:val="00425B1A"/>
    <w:rsid w:val="0042657F"/>
    <w:rsid w:val="004269F0"/>
    <w:rsid w:val="00426C19"/>
    <w:rsid w:val="00426D83"/>
    <w:rsid w:val="00426EB9"/>
    <w:rsid w:val="00427414"/>
    <w:rsid w:val="00427D62"/>
    <w:rsid w:val="0043041F"/>
    <w:rsid w:val="00430E17"/>
    <w:rsid w:val="00432921"/>
    <w:rsid w:val="004329AE"/>
    <w:rsid w:val="00432C12"/>
    <w:rsid w:val="00433250"/>
    <w:rsid w:val="004336B6"/>
    <w:rsid w:val="004337ED"/>
    <w:rsid w:val="004349E6"/>
    <w:rsid w:val="00434F8C"/>
    <w:rsid w:val="00435912"/>
    <w:rsid w:val="0043709C"/>
    <w:rsid w:val="00437456"/>
    <w:rsid w:val="004378BD"/>
    <w:rsid w:val="004411D2"/>
    <w:rsid w:val="00441A2D"/>
    <w:rsid w:val="00442AEA"/>
    <w:rsid w:val="0044322F"/>
    <w:rsid w:val="004444D5"/>
    <w:rsid w:val="004446D9"/>
    <w:rsid w:val="00445104"/>
    <w:rsid w:val="00445431"/>
    <w:rsid w:val="00445C29"/>
    <w:rsid w:val="004464DE"/>
    <w:rsid w:val="00446B7B"/>
    <w:rsid w:val="00447075"/>
    <w:rsid w:val="00447406"/>
    <w:rsid w:val="00450729"/>
    <w:rsid w:val="00451816"/>
    <w:rsid w:val="00452587"/>
    <w:rsid w:val="004528DE"/>
    <w:rsid w:val="00453B69"/>
    <w:rsid w:val="00454A3E"/>
    <w:rsid w:val="00454C48"/>
    <w:rsid w:val="00454CAB"/>
    <w:rsid w:val="00455094"/>
    <w:rsid w:val="00455BB6"/>
    <w:rsid w:val="00457017"/>
    <w:rsid w:val="00457167"/>
    <w:rsid w:val="00457E2F"/>
    <w:rsid w:val="00460424"/>
    <w:rsid w:val="004605B4"/>
    <w:rsid w:val="00461AB9"/>
    <w:rsid w:val="004621C2"/>
    <w:rsid w:val="0046231A"/>
    <w:rsid w:val="00462CF8"/>
    <w:rsid w:val="004631A9"/>
    <w:rsid w:val="00463D43"/>
    <w:rsid w:val="00463DC3"/>
    <w:rsid w:val="00464F9F"/>
    <w:rsid w:val="004657C8"/>
    <w:rsid w:val="004658FD"/>
    <w:rsid w:val="00465991"/>
    <w:rsid w:val="004659C7"/>
    <w:rsid w:val="00466BAA"/>
    <w:rsid w:val="00466BF1"/>
    <w:rsid w:val="00466E84"/>
    <w:rsid w:val="00467710"/>
    <w:rsid w:val="00467E9F"/>
    <w:rsid w:val="00467EC5"/>
    <w:rsid w:val="0047251D"/>
    <w:rsid w:val="00472987"/>
    <w:rsid w:val="004734B0"/>
    <w:rsid w:val="00473860"/>
    <w:rsid w:val="00474D8C"/>
    <w:rsid w:val="00474FFA"/>
    <w:rsid w:val="0047595A"/>
    <w:rsid w:val="004759CD"/>
    <w:rsid w:val="00475F74"/>
    <w:rsid w:val="00475FA9"/>
    <w:rsid w:val="0047658E"/>
    <w:rsid w:val="00477283"/>
    <w:rsid w:val="00477422"/>
    <w:rsid w:val="00477EDC"/>
    <w:rsid w:val="00477F21"/>
    <w:rsid w:val="00480289"/>
    <w:rsid w:val="0048129B"/>
    <w:rsid w:val="004827A5"/>
    <w:rsid w:val="00482DDF"/>
    <w:rsid w:val="00483B2F"/>
    <w:rsid w:val="00483DFF"/>
    <w:rsid w:val="0048454E"/>
    <w:rsid w:val="00484C44"/>
    <w:rsid w:val="00485744"/>
    <w:rsid w:val="00486C2E"/>
    <w:rsid w:val="00486F50"/>
    <w:rsid w:val="00486FD7"/>
    <w:rsid w:val="00487E6D"/>
    <w:rsid w:val="004919DB"/>
    <w:rsid w:val="00491F24"/>
    <w:rsid w:val="00492213"/>
    <w:rsid w:val="0049224A"/>
    <w:rsid w:val="00492497"/>
    <w:rsid w:val="00492EA3"/>
    <w:rsid w:val="00493813"/>
    <w:rsid w:val="00495415"/>
    <w:rsid w:val="004962ED"/>
    <w:rsid w:val="00496E3F"/>
    <w:rsid w:val="0049702A"/>
    <w:rsid w:val="00497093"/>
    <w:rsid w:val="0049745D"/>
    <w:rsid w:val="004A00DE"/>
    <w:rsid w:val="004A01B0"/>
    <w:rsid w:val="004A0622"/>
    <w:rsid w:val="004A0A4E"/>
    <w:rsid w:val="004A0DFD"/>
    <w:rsid w:val="004A0ECB"/>
    <w:rsid w:val="004A0FC8"/>
    <w:rsid w:val="004A0FF9"/>
    <w:rsid w:val="004A192F"/>
    <w:rsid w:val="004A1D25"/>
    <w:rsid w:val="004A34AE"/>
    <w:rsid w:val="004A3DAD"/>
    <w:rsid w:val="004A4849"/>
    <w:rsid w:val="004A58DC"/>
    <w:rsid w:val="004A5C94"/>
    <w:rsid w:val="004A616C"/>
    <w:rsid w:val="004A6174"/>
    <w:rsid w:val="004A6332"/>
    <w:rsid w:val="004A6D06"/>
    <w:rsid w:val="004A7EDC"/>
    <w:rsid w:val="004B00DF"/>
    <w:rsid w:val="004B0722"/>
    <w:rsid w:val="004B084C"/>
    <w:rsid w:val="004B0D2D"/>
    <w:rsid w:val="004B119F"/>
    <w:rsid w:val="004B18E3"/>
    <w:rsid w:val="004B1F17"/>
    <w:rsid w:val="004B1FE6"/>
    <w:rsid w:val="004B214E"/>
    <w:rsid w:val="004B2C92"/>
    <w:rsid w:val="004B3385"/>
    <w:rsid w:val="004B36F1"/>
    <w:rsid w:val="004B3C8D"/>
    <w:rsid w:val="004B4D14"/>
    <w:rsid w:val="004B5344"/>
    <w:rsid w:val="004B5B62"/>
    <w:rsid w:val="004B619D"/>
    <w:rsid w:val="004B64B8"/>
    <w:rsid w:val="004B6C73"/>
    <w:rsid w:val="004B6C7A"/>
    <w:rsid w:val="004B6CDE"/>
    <w:rsid w:val="004B6ED2"/>
    <w:rsid w:val="004B7178"/>
    <w:rsid w:val="004B7272"/>
    <w:rsid w:val="004B79B7"/>
    <w:rsid w:val="004B7E59"/>
    <w:rsid w:val="004C0990"/>
    <w:rsid w:val="004C0D7C"/>
    <w:rsid w:val="004C1392"/>
    <w:rsid w:val="004C1D49"/>
    <w:rsid w:val="004C1E66"/>
    <w:rsid w:val="004C23AD"/>
    <w:rsid w:val="004C2BBE"/>
    <w:rsid w:val="004C385F"/>
    <w:rsid w:val="004C3AED"/>
    <w:rsid w:val="004C3D2D"/>
    <w:rsid w:val="004C3F95"/>
    <w:rsid w:val="004C429A"/>
    <w:rsid w:val="004C52D6"/>
    <w:rsid w:val="004C57DF"/>
    <w:rsid w:val="004C5810"/>
    <w:rsid w:val="004C5D25"/>
    <w:rsid w:val="004C64EB"/>
    <w:rsid w:val="004C6DAD"/>
    <w:rsid w:val="004C718D"/>
    <w:rsid w:val="004C73FD"/>
    <w:rsid w:val="004C75A0"/>
    <w:rsid w:val="004C7FE5"/>
    <w:rsid w:val="004D02DF"/>
    <w:rsid w:val="004D08E1"/>
    <w:rsid w:val="004D0BDF"/>
    <w:rsid w:val="004D13B3"/>
    <w:rsid w:val="004D172D"/>
    <w:rsid w:val="004D1FD3"/>
    <w:rsid w:val="004D3126"/>
    <w:rsid w:val="004D3593"/>
    <w:rsid w:val="004D3609"/>
    <w:rsid w:val="004D3F63"/>
    <w:rsid w:val="004D42EB"/>
    <w:rsid w:val="004D4E43"/>
    <w:rsid w:val="004D50DF"/>
    <w:rsid w:val="004D5197"/>
    <w:rsid w:val="004D63BE"/>
    <w:rsid w:val="004E0B58"/>
    <w:rsid w:val="004E0EC0"/>
    <w:rsid w:val="004E0FAB"/>
    <w:rsid w:val="004E2C1C"/>
    <w:rsid w:val="004E4110"/>
    <w:rsid w:val="004E435E"/>
    <w:rsid w:val="004E4E49"/>
    <w:rsid w:val="004E6481"/>
    <w:rsid w:val="004E663C"/>
    <w:rsid w:val="004E70FA"/>
    <w:rsid w:val="004E7F69"/>
    <w:rsid w:val="004F0A1D"/>
    <w:rsid w:val="004F11D6"/>
    <w:rsid w:val="004F2768"/>
    <w:rsid w:val="004F27F3"/>
    <w:rsid w:val="004F2CE9"/>
    <w:rsid w:val="004F309B"/>
    <w:rsid w:val="004F37C9"/>
    <w:rsid w:val="004F3DB2"/>
    <w:rsid w:val="004F3F61"/>
    <w:rsid w:val="004F4161"/>
    <w:rsid w:val="004F5A22"/>
    <w:rsid w:val="004F771C"/>
    <w:rsid w:val="004F79BA"/>
    <w:rsid w:val="004F7F3A"/>
    <w:rsid w:val="00500FC9"/>
    <w:rsid w:val="00501220"/>
    <w:rsid w:val="00502414"/>
    <w:rsid w:val="00502CA5"/>
    <w:rsid w:val="00503EEA"/>
    <w:rsid w:val="0050412D"/>
    <w:rsid w:val="005042E9"/>
    <w:rsid w:val="00504771"/>
    <w:rsid w:val="00504DE9"/>
    <w:rsid w:val="00505C3B"/>
    <w:rsid w:val="00506387"/>
    <w:rsid w:val="00506412"/>
    <w:rsid w:val="00506806"/>
    <w:rsid w:val="005068D0"/>
    <w:rsid w:val="00506FE2"/>
    <w:rsid w:val="0051088B"/>
    <w:rsid w:val="00510938"/>
    <w:rsid w:val="00510F2A"/>
    <w:rsid w:val="00511B2B"/>
    <w:rsid w:val="00511EC4"/>
    <w:rsid w:val="005128F8"/>
    <w:rsid w:val="00512CD9"/>
    <w:rsid w:val="0051301A"/>
    <w:rsid w:val="00513AA3"/>
    <w:rsid w:val="00513F12"/>
    <w:rsid w:val="0051571B"/>
    <w:rsid w:val="00515850"/>
    <w:rsid w:val="00515BE6"/>
    <w:rsid w:val="00516E4A"/>
    <w:rsid w:val="005171F4"/>
    <w:rsid w:val="0052049C"/>
    <w:rsid w:val="005208A7"/>
    <w:rsid w:val="0052090D"/>
    <w:rsid w:val="00521089"/>
    <w:rsid w:val="0052149A"/>
    <w:rsid w:val="005217A0"/>
    <w:rsid w:val="00521C0E"/>
    <w:rsid w:val="0052216A"/>
    <w:rsid w:val="0052337D"/>
    <w:rsid w:val="005233F4"/>
    <w:rsid w:val="00523E04"/>
    <w:rsid w:val="00523E7A"/>
    <w:rsid w:val="0052425F"/>
    <w:rsid w:val="005243DE"/>
    <w:rsid w:val="005246D9"/>
    <w:rsid w:val="00524A6F"/>
    <w:rsid w:val="00526D2D"/>
    <w:rsid w:val="00527B9A"/>
    <w:rsid w:val="00527CEB"/>
    <w:rsid w:val="005300AA"/>
    <w:rsid w:val="0053174F"/>
    <w:rsid w:val="005318AD"/>
    <w:rsid w:val="00531CC5"/>
    <w:rsid w:val="00532BF6"/>
    <w:rsid w:val="00533926"/>
    <w:rsid w:val="00533B4B"/>
    <w:rsid w:val="005346CC"/>
    <w:rsid w:val="00534761"/>
    <w:rsid w:val="00534879"/>
    <w:rsid w:val="00534E67"/>
    <w:rsid w:val="00535642"/>
    <w:rsid w:val="00535ADA"/>
    <w:rsid w:val="00535E38"/>
    <w:rsid w:val="00535F01"/>
    <w:rsid w:val="00537445"/>
    <w:rsid w:val="0053799C"/>
    <w:rsid w:val="0054001A"/>
    <w:rsid w:val="005401B1"/>
    <w:rsid w:val="005408BD"/>
    <w:rsid w:val="00540E42"/>
    <w:rsid w:val="00541710"/>
    <w:rsid w:val="00542788"/>
    <w:rsid w:val="0054304E"/>
    <w:rsid w:val="00543740"/>
    <w:rsid w:val="00544153"/>
    <w:rsid w:val="0054426E"/>
    <w:rsid w:val="005457A7"/>
    <w:rsid w:val="00546140"/>
    <w:rsid w:val="0054615A"/>
    <w:rsid w:val="005463ED"/>
    <w:rsid w:val="00547247"/>
    <w:rsid w:val="00547887"/>
    <w:rsid w:val="00547E92"/>
    <w:rsid w:val="0055012B"/>
    <w:rsid w:val="00550A79"/>
    <w:rsid w:val="00550E3E"/>
    <w:rsid w:val="00552C0E"/>
    <w:rsid w:val="00553546"/>
    <w:rsid w:val="0055355F"/>
    <w:rsid w:val="0055477B"/>
    <w:rsid w:val="005549CD"/>
    <w:rsid w:val="00555AE2"/>
    <w:rsid w:val="00555BC9"/>
    <w:rsid w:val="00556573"/>
    <w:rsid w:val="00557076"/>
    <w:rsid w:val="00557394"/>
    <w:rsid w:val="00557BD6"/>
    <w:rsid w:val="005605FC"/>
    <w:rsid w:val="00560736"/>
    <w:rsid w:val="00561290"/>
    <w:rsid w:val="0056139F"/>
    <w:rsid w:val="0056166A"/>
    <w:rsid w:val="00562D7B"/>
    <w:rsid w:val="00562F0F"/>
    <w:rsid w:val="00563519"/>
    <w:rsid w:val="005637BD"/>
    <w:rsid w:val="00563B31"/>
    <w:rsid w:val="00563CE0"/>
    <w:rsid w:val="00564061"/>
    <w:rsid w:val="0056430D"/>
    <w:rsid w:val="005646D9"/>
    <w:rsid w:val="00564B76"/>
    <w:rsid w:val="00564DC6"/>
    <w:rsid w:val="00565259"/>
    <w:rsid w:val="005656FA"/>
    <w:rsid w:val="00565FDA"/>
    <w:rsid w:val="005664E2"/>
    <w:rsid w:val="00566D3C"/>
    <w:rsid w:val="00567F5D"/>
    <w:rsid w:val="005705D4"/>
    <w:rsid w:val="00570C91"/>
    <w:rsid w:val="00570E05"/>
    <w:rsid w:val="005719AA"/>
    <w:rsid w:val="00572298"/>
    <w:rsid w:val="0057252E"/>
    <w:rsid w:val="00572A7C"/>
    <w:rsid w:val="005733B1"/>
    <w:rsid w:val="00573B59"/>
    <w:rsid w:val="00573FB4"/>
    <w:rsid w:val="0057514E"/>
    <w:rsid w:val="0057599E"/>
    <w:rsid w:val="00575C2F"/>
    <w:rsid w:val="00575D17"/>
    <w:rsid w:val="00575F0C"/>
    <w:rsid w:val="00576674"/>
    <w:rsid w:val="005766CE"/>
    <w:rsid w:val="005768E5"/>
    <w:rsid w:val="005803A7"/>
    <w:rsid w:val="00581224"/>
    <w:rsid w:val="005817F6"/>
    <w:rsid w:val="0058277A"/>
    <w:rsid w:val="005827D1"/>
    <w:rsid w:val="00582915"/>
    <w:rsid w:val="00582EEC"/>
    <w:rsid w:val="00582F80"/>
    <w:rsid w:val="00583124"/>
    <w:rsid w:val="0058314B"/>
    <w:rsid w:val="00583B88"/>
    <w:rsid w:val="0058448D"/>
    <w:rsid w:val="00584BAA"/>
    <w:rsid w:val="00584F8B"/>
    <w:rsid w:val="00585414"/>
    <w:rsid w:val="0058558B"/>
    <w:rsid w:val="00586197"/>
    <w:rsid w:val="00586634"/>
    <w:rsid w:val="00586C4A"/>
    <w:rsid w:val="00586F3C"/>
    <w:rsid w:val="00587016"/>
    <w:rsid w:val="00591761"/>
    <w:rsid w:val="00591BEB"/>
    <w:rsid w:val="005920D5"/>
    <w:rsid w:val="005921FA"/>
    <w:rsid w:val="00592334"/>
    <w:rsid w:val="005923FF"/>
    <w:rsid w:val="005925C4"/>
    <w:rsid w:val="00592601"/>
    <w:rsid w:val="00592D42"/>
    <w:rsid w:val="00592FEB"/>
    <w:rsid w:val="00593A6C"/>
    <w:rsid w:val="00593E54"/>
    <w:rsid w:val="00594AA5"/>
    <w:rsid w:val="0059536A"/>
    <w:rsid w:val="0059545F"/>
    <w:rsid w:val="0059616C"/>
    <w:rsid w:val="00596441"/>
    <w:rsid w:val="005966B2"/>
    <w:rsid w:val="0059753D"/>
    <w:rsid w:val="005A0150"/>
    <w:rsid w:val="005A0A79"/>
    <w:rsid w:val="005A1435"/>
    <w:rsid w:val="005A1541"/>
    <w:rsid w:val="005A2D84"/>
    <w:rsid w:val="005A3015"/>
    <w:rsid w:val="005A327C"/>
    <w:rsid w:val="005A3DED"/>
    <w:rsid w:val="005A45EF"/>
    <w:rsid w:val="005A4DFD"/>
    <w:rsid w:val="005A4ECE"/>
    <w:rsid w:val="005A54E8"/>
    <w:rsid w:val="005A5666"/>
    <w:rsid w:val="005A59A1"/>
    <w:rsid w:val="005A6D93"/>
    <w:rsid w:val="005A74C5"/>
    <w:rsid w:val="005A7CBB"/>
    <w:rsid w:val="005B00FB"/>
    <w:rsid w:val="005B03E9"/>
    <w:rsid w:val="005B0C73"/>
    <w:rsid w:val="005B13DC"/>
    <w:rsid w:val="005B1DAB"/>
    <w:rsid w:val="005B1E3C"/>
    <w:rsid w:val="005B1E70"/>
    <w:rsid w:val="005B27E6"/>
    <w:rsid w:val="005B2C3F"/>
    <w:rsid w:val="005B2D28"/>
    <w:rsid w:val="005B3049"/>
    <w:rsid w:val="005B39C7"/>
    <w:rsid w:val="005B435A"/>
    <w:rsid w:val="005B4C51"/>
    <w:rsid w:val="005B5221"/>
    <w:rsid w:val="005B5721"/>
    <w:rsid w:val="005B5920"/>
    <w:rsid w:val="005B5F18"/>
    <w:rsid w:val="005B628D"/>
    <w:rsid w:val="005B6BFE"/>
    <w:rsid w:val="005C0610"/>
    <w:rsid w:val="005C0E12"/>
    <w:rsid w:val="005C137C"/>
    <w:rsid w:val="005C1D17"/>
    <w:rsid w:val="005C3C5D"/>
    <w:rsid w:val="005C47DF"/>
    <w:rsid w:val="005C4EAE"/>
    <w:rsid w:val="005C5186"/>
    <w:rsid w:val="005C51E5"/>
    <w:rsid w:val="005C58CE"/>
    <w:rsid w:val="005C682D"/>
    <w:rsid w:val="005C68BA"/>
    <w:rsid w:val="005C68D7"/>
    <w:rsid w:val="005C6B4C"/>
    <w:rsid w:val="005C6D1B"/>
    <w:rsid w:val="005C6F20"/>
    <w:rsid w:val="005C786E"/>
    <w:rsid w:val="005D00C1"/>
    <w:rsid w:val="005D0666"/>
    <w:rsid w:val="005D0D96"/>
    <w:rsid w:val="005D0ECA"/>
    <w:rsid w:val="005D1085"/>
    <w:rsid w:val="005D1690"/>
    <w:rsid w:val="005D1A9E"/>
    <w:rsid w:val="005D1AA0"/>
    <w:rsid w:val="005D220B"/>
    <w:rsid w:val="005D31CB"/>
    <w:rsid w:val="005D3583"/>
    <w:rsid w:val="005D47D1"/>
    <w:rsid w:val="005D4D5D"/>
    <w:rsid w:val="005D5311"/>
    <w:rsid w:val="005D5412"/>
    <w:rsid w:val="005D5AD2"/>
    <w:rsid w:val="005D71A1"/>
    <w:rsid w:val="005D72D5"/>
    <w:rsid w:val="005D73E3"/>
    <w:rsid w:val="005D74E0"/>
    <w:rsid w:val="005D792C"/>
    <w:rsid w:val="005D7BC4"/>
    <w:rsid w:val="005E08DF"/>
    <w:rsid w:val="005E09F4"/>
    <w:rsid w:val="005E0F9D"/>
    <w:rsid w:val="005E1110"/>
    <w:rsid w:val="005E11F8"/>
    <w:rsid w:val="005E16EE"/>
    <w:rsid w:val="005E1928"/>
    <w:rsid w:val="005E2039"/>
    <w:rsid w:val="005E35FA"/>
    <w:rsid w:val="005E4C26"/>
    <w:rsid w:val="005E6F26"/>
    <w:rsid w:val="005E6F5C"/>
    <w:rsid w:val="005E7A1C"/>
    <w:rsid w:val="005E7B4E"/>
    <w:rsid w:val="005E7B51"/>
    <w:rsid w:val="005F0D18"/>
    <w:rsid w:val="005F1F3E"/>
    <w:rsid w:val="005F2F1E"/>
    <w:rsid w:val="005F3409"/>
    <w:rsid w:val="005F358F"/>
    <w:rsid w:val="005F388E"/>
    <w:rsid w:val="005F3D70"/>
    <w:rsid w:val="005F3DD0"/>
    <w:rsid w:val="005F3FE8"/>
    <w:rsid w:val="005F4402"/>
    <w:rsid w:val="005F443F"/>
    <w:rsid w:val="005F5089"/>
    <w:rsid w:val="005F573D"/>
    <w:rsid w:val="005F705D"/>
    <w:rsid w:val="005F70C6"/>
    <w:rsid w:val="005F75C6"/>
    <w:rsid w:val="005F7B80"/>
    <w:rsid w:val="005F7DB6"/>
    <w:rsid w:val="006009FF"/>
    <w:rsid w:val="00600D05"/>
    <w:rsid w:val="00601DED"/>
    <w:rsid w:val="00601E91"/>
    <w:rsid w:val="00601EB4"/>
    <w:rsid w:val="00602A12"/>
    <w:rsid w:val="00602DFB"/>
    <w:rsid w:val="00602E44"/>
    <w:rsid w:val="006037DF"/>
    <w:rsid w:val="00603CBF"/>
    <w:rsid w:val="006041E3"/>
    <w:rsid w:val="00605619"/>
    <w:rsid w:val="00605D4E"/>
    <w:rsid w:val="006061B7"/>
    <w:rsid w:val="006064D8"/>
    <w:rsid w:val="00606947"/>
    <w:rsid w:val="00607833"/>
    <w:rsid w:val="0060785F"/>
    <w:rsid w:val="0060793C"/>
    <w:rsid w:val="0061091C"/>
    <w:rsid w:val="00610B5F"/>
    <w:rsid w:val="006112F7"/>
    <w:rsid w:val="006116E7"/>
    <w:rsid w:val="00611C8B"/>
    <w:rsid w:val="00611CA6"/>
    <w:rsid w:val="0061245C"/>
    <w:rsid w:val="00612776"/>
    <w:rsid w:val="00612A01"/>
    <w:rsid w:val="00612DF7"/>
    <w:rsid w:val="00612FF9"/>
    <w:rsid w:val="0061316B"/>
    <w:rsid w:val="00613EF4"/>
    <w:rsid w:val="00614316"/>
    <w:rsid w:val="00614650"/>
    <w:rsid w:val="00614899"/>
    <w:rsid w:val="006156DB"/>
    <w:rsid w:val="00615AB3"/>
    <w:rsid w:val="00616519"/>
    <w:rsid w:val="00616A8F"/>
    <w:rsid w:val="0061745C"/>
    <w:rsid w:val="00620002"/>
    <w:rsid w:val="00620429"/>
    <w:rsid w:val="006204A5"/>
    <w:rsid w:val="0062055D"/>
    <w:rsid w:val="006211E1"/>
    <w:rsid w:val="0062183A"/>
    <w:rsid w:val="00621B16"/>
    <w:rsid w:val="00621C64"/>
    <w:rsid w:val="006223CC"/>
    <w:rsid w:val="006225B9"/>
    <w:rsid w:val="0062327C"/>
    <w:rsid w:val="00623599"/>
    <w:rsid w:val="006239F3"/>
    <w:rsid w:val="00623E38"/>
    <w:rsid w:val="00624DE1"/>
    <w:rsid w:val="006250F9"/>
    <w:rsid w:val="00625374"/>
    <w:rsid w:val="006268A0"/>
    <w:rsid w:val="00626EAC"/>
    <w:rsid w:val="006273F1"/>
    <w:rsid w:val="00630090"/>
    <w:rsid w:val="00630545"/>
    <w:rsid w:val="0063158A"/>
    <w:rsid w:val="00631A97"/>
    <w:rsid w:val="00632BC5"/>
    <w:rsid w:val="00632D2E"/>
    <w:rsid w:val="00632F6D"/>
    <w:rsid w:val="00633340"/>
    <w:rsid w:val="00633455"/>
    <w:rsid w:val="0063390E"/>
    <w:rsid w:val="00633AF7"/>
    <w:rsid w:val="00633CB9"/>
    <w:rsid w:val="00633CC1"/>
    <w:rsid w:val="00633F6E"/>
    <w:rsid w:val="00634631"/>
    <w:rsid w:val="00634A59"/>
    <w:rsid w:val="00634ED1"/>
    <w:rsid w:val="00635F3C"/>
    <w:rsid w:val="00636916"/>
    <w:rsid w:val="0063692C"/>
    <w:rsid w:val="006378FC"/>
    <w:rsid w:val="00637FC5"/>
    <w:rsid w:val="00640519"/>
    <w:rsid w:val="00640FA0"/>
    <w:rsid w:val="00641100"/>
    <w:rsid w:val="006416EB"/>
    <w:rsid w:val="00642926"/>
    <w:rsid w:val="00642B26"/>
    <w:rsid w:val="00642F0F"/>
    <w:rsid w:val="006436BA"/>
    <w:rsid w:val="00643F51"/>
    <w:rsid w:val="0064404E"/>
    <w:rsid w:val="006442E0"/>
    <w:rsid w:val="006443C7"/>
    <w:rsid w:val="006445DD"/>
    <w:rsid w:val="0064507C"/>
    <w:rsid w:val="00646452"/>
    <w:rsid w:val="00646598"/>
    <w:rsid w:val="006469F5"/>
    <w:rsid w:val="00646D3D"/>
    <w:rsid w:val="00646D96"/>
    <w:rsid w:val="006474B5"/>
    <w:rsid w:val="00647803"/>
    <w:rsid w:val="00647BA7"/>
    <w:rsid w:val="00650F11"/>
    <w:rsid w:val="00650F41"/>
    <w:rsid w:val="00651400"/>
    <w:rsid w:val="00651D9F"/>
    <w:rsid w:val="00652150"/>
    <w:rsid w:val="006525F3"/>
    <w:rsid w:val="00652E79"/>
    <w:rsid w:val="00653121"/>
    <w:rsid w:val="00653661"/>
    <w:rsid w:val="00654ADD"/>
    <w:rsid w:val="006552F0"/>
    <w:rsid w:val="00655534"/>
    <w:rsid w:val="006557BB"/>
    <w:rsid w:val="00656316"/>
    <w:rsid w:val="00656C3D"/>
    <w:rsid w:val="00656F17"/>
    <w:rsid w:val="006572FD"/>
    <w:rsid w:val="00657ADE"/>
    <w:rsid w:val="00660689"/>
    <w:rsid w:val="00660C3B"/>
    <w:rsid w:val="00661BA3"/>
    <w:rsid w:val="00662165"/>
    <w:rsid w:val="00662E75"/>
    <w:rsid w:val="006630E2"/>
    <w:rsid w:val="0066319D"/>
    <w:rsid w:val="00664173"/>
    <w:rsid w:val="00666055"/>
    <w:rsid w:val="00667406"/>
    <w:rsid w:val="006674D6"/>
    <w:rsid w:val="00667AB5"/>
    <w:rsid w:val="00670366"/>
    <w:rsid w:val="00670383"/>
    <w:rsid w:val="00670BF2"/>
    <w:rsid w:val="00670C15"/>
    <w:rsid w:val="00670CDE"/>
    <w:rsid w:val="006711AD"/>
    <w:rsid w:val="006727BE"/>
    <w:rsid w:val="00672966"/>
    <w:rsid w:val="006730FE"/>
    <w:rsid w:val="00673148"/>
    <w:rsid w:val="0067361B"/>
    <w:rsid w:val="00675613"/>
    <w:rsid w:val="00675B80"/>
    <w:rsid w:val="00675ECC"/>
    <w:rsid w:val="00676211"/>
    <w:rsid w:val="00677187"/>
    <w:rsid w:val="00677820"/>
    <w:rsid w:val="006779E5"/>
    <w:rsid w:val="006779F9"/>
    <w:rsid w:val="00680001"/>
    <w:rsid w:val="00680580"/>
    <w:rsid w:val="00680685"/>
    <w:rsid w:val="00680A79"/>
    <w:rsid w:val="00680EA3"/>
    <w:rsid w:val="00682877"/>
    <w:rsid w:val="00683DC9"/>
    <w:rsid w:val="00684706"/>
    <w:rsid w:val="00684B94"/>
    <w:rsid w:val="00685BAC"/>
    <w:rsid w:val="00685D10"/>
    <w:rsid w:val="00687275"/>
    <w:rsid w:val="006874EC"/>
    <w:rsid w:val="0068760D"/>
    <w:rsid w:val="00687B0E"/>
    <w:rsid w:val="00687F98"/>
    <w:rsid w:val="00690502"/>
    <w:rsid w:val="006906B1"/>
    <w:rsid w:val="00690AF8"/>
    <w:rsid w:val="00693264"/>
    <w:rsid w:val="00693451"/>
    <w:rsid w:val="00693928"/>
    <w:rsid w:val="00694397"/>
    <w:rsid w:val="0069489B"/>
    <w:rsid w:val="00694FFF"/>
    <w:rsid w:val="0069512D"/>
    <w:rsid w:val="006951EA"/>
    <w:rsid w:val="0069546A"/>
    <w:rsid w:val="006962C1"/>
    <w:rsid w:val="0069663A"/>
    <w:rsid w:val="00696A59"/>
    <w:rsid w:val="0069713E"/>
    <w:rsid w:val="006973FD"/>
    <w:rsid w:val="006A0386"/>
    <w:rsid w:val="006A0570"/>
    <w:rsid w:val="006A05DE"/>
    <w:rsid w:val="006A0C5E"/>
    <w:rsid w:val="006A207C"/>
    <w:rsid w:val="006A23CF"/>
    <w:rsid w:val="006A2537"/>
    <w:rsid w:val="006A29C3"/>
    <w:rsid w:val="006A3620"/>
    <w:rsid w:val="006A37A6"/>
    <w:rsid w:val="006A47AB"/>
    <w:rsid w:val="006A47FA"/>
    <w:rsid w:val="006A4EBC"/>
    <w:rsid w:val="006A4F47"/>
    <w:rsid w:val="006A6887"/>
    <w:rsid w:val="006A6C11"/>
    <w:rsid w:val="006A73CC"/>
    <w:rsid w:val="006A765D"/>
    <w:rsid w:val="006A7DA1"/>
    <w:rsid w:val="006B00BD"/>
    <w:rsid w:val="006B060C"/>
    <w:rsid w:val="006B0CDA"/>
    <w:rsid w:val="006B0FA3"/>
    <w:rsid w:val="006B1027"/>
    <w:rsid w:val="006B124B"/>
    <w:rsid w:val="006B1710"/>
    <w:rsid w:val="006B24C5"/>
    <w:rsid w:val="006B2DA1"/>
    <w:rsid w:val="006B338E"/>
    <w:rsid w:val="006B344D"/>
    <w:rsid w:val="006B3A6D"/>
    <w:rsid w:val="006B3C87"/>
    <w:rsid w:val="006B3E11"/>
    <w:rsid w:val="006B4BD8"/>
    <w:rsid w:val="006B4C95"/>
    <w:rsid w:val="006B59CA"/>
    <w:rsid w:val="006B5C80"/>
    <w:rsid w:val="006B66D9"/>
    <w:rsid w:val="006B6910"/>
    <w:rsid w:val="006B6F1C"/>
    <w:rsid w:val="006B719C"/>
    <w:rsid w:val="006B73C4"/>
    <w:rsid w:val="006C03A3"/>
    <w:rsid w:val="006C04D8"/>
    <w:rsid w:val="006C0CC5"/>
    <w:rsid w:val="006C153A"/>
    <w:rsid w:val="006C2690"/>
    <w:rsid w:val="006C2D3F"/>
    <w:rsid w:val="006C2E93"/>
    <w:rsid w:val="006C34E5"/>
    <w:rsid w:val="006C47DE"/>
    <w:rsid w:val="006C55FB"/>
    <w:rsid w:val="006C592D"/>
    <w:rsid w:val="006C5A9A"/>
    <w:rsid w:val="006C5BF5"/>
    <w:rsid w:val="006C6591"/>
    <w:rsid w:val="006C6832"/>
    <w:rsid w:val="006C6F0E"/>
    <w:rsid w:val="006C7218"/>
    <w:rsid w:val="006C75AF"/>
    <w:rsid w:val="006C7787"/>
    <w:rsid w:val="006C7A3F"/>
    <w:rsid w:val="006D0EAE"/>
    <w:rsid w:val="006D3135"/>
    <w:rsid w:val="006D4900"/>
    <w:rsid w:val="006D500D"/>
    <w:rsid w:val="006D76D8"/>
    <w:rsid w:val="006D7ADA"/>
    <w:rsid w:val="006E0054"/>
    <w:rsid w:val="006E012F"/>
    <w:rsid w:val="006E04F1"/>
    <w:rsid w:val="006E0AB5"/>
    <w:rsid w:val="006E0D12"/>
    <w:rsid w:val="006E0DC9"/>
    <w:rsid w:val="006E10F4"/>
    <w:rsid w:val="006E399D"/>
    <w:rsid w:val="006E3EC0"/>
    <w:rsid w:val="006E3EE1"/>
    <w:rsid w:val="006E46D9"/>
    <w:rsid w:val="006E643D"/>
    <w:rsid w:val="006E66D1"/>
    <w:rsid w:val="006E66DE"/>
    <w:rsid w:val="006E6C74"/>
    <w:rsid w:val="006E6F59"/>
    <w:rsid w:val="006E7B04"/>
    <w:rsid w:val="006F20B8"/>
    <w:rsid w:val="006F27BD"/>
    <w:rsid w:val="006F3219"/>
    <w:rsid w:val="006F335F"/>
    <w:rsid w:val="006F4564"/>
    <w:rsid w:val="006F47F7"/>
    <w:rsid w:val="006F4B58"/>
    <w:rsid w:val="006F4C46"/>
    <w:rsid w:val="006F557A"/>
    <w:rsid w:val="006F57E2"/>
    <w:rsid w:val="006F592A"/>
    <w:rsid w:val="006F64F3"/>
    <w:rsid w:val="006F65DF"/>
    <w:rsid w:val="006F6C4B"/>
    <w:rsid w:val="006F7120"/>
    <w:rsid w:val="006F7287"/>
    <w:rsid w:val="006F78E2"/>
    <w:rsid w:val="0070046D"/>
    <w:rsid w:val="00700A87"/>
    <w:rsid w:val="00701696"/>
    <w:rsid w:val="0070172A"/>
    <w:rsid w:val="00701FE5"/>
    <w:rsid w:val="00702E16"/>
    <w:rsid w:val="007034BC"/>
    <w:rsid w:val="00703784"/>
    <w:rsid w:val="00704114"/>
    <w:rsid w:val="0070570B"/>
    <w:rsid w:val="007059E2"/>
    <w:rsid w:val="00705FB8"/>
    <w:rsid w:val="0070745A"/>
    <w:rsid w:val="00707EFC"/>
    <w:rsid w:val="00707FD7"/>
    <w:rsid w:val="00710C65"/>
    <w:rsid w:val="00710E86"/>
    <w:rsid w:val="00711558"/>
    <w:rsid w:val="00711A5A"/>
    <w:rsid w:val="00711C0B"/>
    <w:rsid w:val="00711D05"/>
    <w:rsid w:val="00711F52"/>
    <w:rsid w:val="007120A4"/>
    <w:rsid w:val="007124EB"/>
    <w:rsid w:val="00715520"/>
    <w:rsid w:val="007208E3"/>
    <w:rsid w:val="007219E6"/>
    <w:rsid w:val="00721A80"/>
    <w:rsid w:val="007227C7"/>
    <w:rsid w:val="00722BE3"/>
    <w:rsid w:val="00722EB9"/>
    <w:rsid w:val="007235B4"/>
    <w:rsid w:val="00723CE9"/>
    <w:rsid w:val="0072417B"/>
    <w:rsid w:val="007243F1"/>
    <w:rsid w:val="00724F2A"/>
    <w:rsid w:val="00725114"/>
    <w:rsid w:val="00725E03"/>
    <w:rsid w:val="007265AF"/>
    <w:rsid w:val="007266F9"/>
    <w:rsid w:val="00732419"/>
    <w:rsid w:val="007337A8"/>
    <w:rsid w:val="00734168"/>
    <w:rsid w:val="00737452"/>
    <w:rsid w:val="00740287"/>
    <w:rsid w:val="00740646"/>
    <w:rsid w:val="00740802"/>
    <w:rsid w:val="00741D56"/>
    <w:rsid w:val="0074356B"/>
    <w:rsid w:val="00743901"/>
    <w:rsid w:val="00743F3D"/>
    <w:rsid w:val="00744243"/>
    <w:rsid w:val="00744C9B"/>
    <w:rsid w:val="0074572A"/>
    <w:rsid w:val="00745A14"/>
    <w:rsid w:val="00745AC6"/>
    <w:rsid w:val="00746285"/>
    <w:rsid w:val="007462C1"/>
    <w:rsid w:val="00746BED"/>
    <w:rsid w:val="0074769D"/>
    <w:rsid w:val="007509F7"/>
    <w:rsid w:val="00750C45"/>
    <w:rsid w:val="00750C84"/>
    <w:rsid w:val="00750DF6"/>
    <w:rsid w:val="007513E7"/>
    <w:rsid w:val="007519BC"/>
    <w:rsid w:val="00751BD8"/>
    <w:rsid w:val="00752497"/>
    <w:rsid w:val="0075289C"/>
    <w:rsid w:val="007544B5"/>
    <w:rsid w:val="007550B8"/>
    <w:rsid w:val="007554D9"/>
    <w:rsid w:val="007563E5"/>
    <w:rsid w:val="007564C3"/>
    <w:rsid w:val="0075682B"/>
    <w:rsid w:val="00756F7E"/>
    <w:rsid w:val="00757685"/>
    <w:rsid w:val="007579B1"/>
    <w:rsid w:val="00757B06"/>
    <w:rsid w:val="00757EA2"/>
    <w:rsid w:val="007604A4"/>
    <w:rsid w:val="00760990"/>
    <w:rsid w:val="00760BD2"/>
    <w:rsid w:val="007610BA"/>
    <w:rsid w:val="007613FD"/>
    <w:rsid w:val="00762245"/>
    <w:rsid w:val="00762282"/>
    <w:rsid w:val="00762AB1"/>
    <w:rsid w:val="00762EE5"/>
    <w:rsid w:val="007637F9"/>
    <w:rsid w:val="00763B8C"/>
    <w:rsid w:val="00764290"/>
    <w:rsid w:val="00764488"/>
    <w:rsid w:val="00764611"/>
    <w:rsid w:val="00764D74"/>
    <w:rsid w:val="00765C71"/>
    <w:rsid w:val="00765DA8"/>
    <w:rsid w:val="00765F98"/>
    <w:rsid w:val="00766067"/>
    <w:rsid w:val="00766A93"/>
    <w:rsid w:val="00766BD6"/>
    <w:rsid w:val="00767F2F"/>
    <w:rsid w:val="00770C93"/>
    <w:rsid w:val="00770DC2"/>
    <w:rsid w:val="00771315"/>
    <w:rsid w:val="0077220B"/>
    <w:rsid w:val="00772BEB"/>
    <w:rsid w:val="0077493C"/>
    <w:rsid w:val="00775363"/>
    <w:rsid w:val="00775911"/>
    <w:rsid w:val="00776188"/>
    <w:rsid w:val="00776C25"/>
    <w:rsid w:val="00776C83"/>
    <w:rsid w:val="00776CEE"/>
    <w:rsid w:val="00776EAF"/>
    <w:rsid w:val="00777441"/>
    <w:rsid w:val="00780FAA"/>
    <w:rsid w:val="0078105A"/>
    <w:rsid w:val="00781408"/>
    <w:rsid w:val="00781CE5"/>
    <w:rsid w:val="007820C3"/>
    <w:rsid w:val="007822E5"/>
    <w:rsid w:val="007824BE"/>
    <w:rsid w:val="00782727"/>
    <w:rsid w:val="007830C6"/>
    <w:rsid w:val="0078316D"/>
    <w:rsid w:val="0078333A"/>
    <w:rsid w:val="0078405D"/>
    <w:rsid w:val="007840C9"/>
    <w:rsid w:val="007840D5"/>
    <w:rsid w:val="007842E7"/>
    <w:rsid w:val="00784C76"/>
    <w:rsid w:val="007851A6"/>
    <w:rsid w:val="00785F4F"/>
    <w:rsid w:val="00786E40"/>
    <w:rsid w:val="00786F8B"/>
    <w:rsid w:val="00787876"/>
    <w:rsid w:val="00787B4A"/>
    <w:rsid w:val="00787E12"/>
    <w:rsid w:val="00790182"/>
    <w:rsid w:val="0079114A"/>
    <w:rsid w:val="00791F01"/>
    <w:rsid w:val="0079200C"/>
    <w:rsid w:val="00793454"/>
    <w:rsid w:val="00793653"/>
    <w:rsid w:val="0079427F"/>
    <w:rsid w:val="00796C2F"/>
    <w:rsid w:val="00796C7E"/>
    <w:rsid w:val="007970BF"/>
    <w:rsid w:val="007971E3"/>
    <w:rsid w:val="007A094B"/>
    <w:rsid w:val="007A0DC3"/>
    <w:rsid w:val="007A1144"/>
    <w:rsid w:val="007A1453"/>
    <w:rsid w:val="007A19D7"/>
    <w:rsid w:val="007A2F78"/>
    <w:rsid w:val="007A33A1"/>
    <w:rsid w:val="007A3D70"/>
    <w:rsid w:val="007A3D83"/>
    <w:rsid w:val="007A40B2"/>
    <w:rsid w:val="007A439F"/>
    <w:rsid w:val="007A477F"/>
    <w:rsid w:val="007A4E57"/>
    <w:rsid w:val="007A6001"/>
    <w:rsid w:val="007A69E3"/>
    <w:rsid w:val="007A7632"/>
    <w:rsid w:val="007A7714"/>
    <w:rsid w:val="007B1FFD"/>
    <w:rsid w:val="007B267B"/>
    <w:rsid w:val="007B27A4"/>
    <w:rsid w:val="007B4DB2"/>
    <w:rsid w:val="007B6131"/>
    <w:rsid w:val="007B6888"/>
    <w:rsid w:val="007B6ECF"/>
    <w:rsid w:val="007C14C7"/>
    <w:rsid w:val="007C14E5"/>
    <w:rsid w:val="007C1556"/>
    <w:rsid w:val="007C1EEE"/>
    <w:rsid w:val="007C24D9"/>
    <w:rsid w:val="007C25F7"/>
    <w:rsid w:val="007C2A34"/>
    <w:rsid w:val="007C2DC9"/>
    <w:rsid w:val="007C2DD4"/>
    <w:rsid w:val="007C3ADD"/>
    <w:rsid w:val="007C45E2"/>
    <w:rsid w:val="007C49EF"/>
    <w:rsid w:val="007C5AA2"/>
    <w:rsid w:val="007C5BD3"/>
    <w:rsid w:val="007C5E33"/>
    <w:rsid w:val="007C6329"/>
    <w:rsid w:val="007C63A0"/>
    <w:rsid w:val="007C646D"/>
    <w:rsid w:val="007C6872"/>
    <w:rsid w:val="007C7658"/>
    <w:rsid w:val="007D0A94"/>
    <w:rsid w:val="007D2A46"/>
    <w:rsid w:val="007D307F"/>
    <w:rsid w:val="007D39DD"/>
    <w:rsid w:val="007D3B04"/>
    <w:rsid w:val="007D3CD4"/>
    <w:rsid w:val="007D4C37"/>
    <w:rsid w:val="007D4FFF"/>
    <w:rsid w:val="007D519D"/>
    <w:rsid w:val="007D5BE6"/>
    <w:rsid w:val="007D6219"/>
    <w:rsid w:val="007D63C8"/>
    <w:rsid w:val="007D781B"/>
    <w:rsid w:val="007E0D4A"/>
    <w:rsid w:val="007E18F3"/>
    <w:rsid w:val="007E19A3"/>
    <w:rsid w:val="007E1B15"/>
    <w:rsid w:val="007E1BBF"/>
    <w:rsid w:val="007E1BF3"/>
    <w:rsid w:val="007E1C5C"/>
    <w:rsid w:val="007E1E4D"/>
    <w:rsid w:val="007E2671"/>
    <w:rsid w:val="007E3382"/>
    <w:rsid w:val="007E3EB9"/>
    <w:rsid w:val="007E5480"/>
    <w:rsid w:val="007E5A82"/>
    <w:rsid w:val="007E5BE2"/>
    <w:rsid w:val="007E614E"/>
    <w:rsid w:val="007E70FD"/>
    <w:rsid w:val="007E73B0"/>
    <w:rsid w:val="007E7E41"/>
    <w:rsid w:val="007E7F8E"/>
    <w:rsid w:val="007F0169"/>
    <w:rsid w:val="007F0F13"/>
    <w:rsid w:val="007F126F"/>
    <w:rsid w:val="007F1787"/>
    <w:rsid w:val="007F1857"/>
    <w:rsid w:val="007F211C"/>
    <w:rsid w:val="007F221C"/>
    <w:rsid w:val="007F2463"/>
    <w:rsid w:val="007F2785"/>
    <w:rsid w:val="007F3124"/>
    <w:rsid w:val="007F3DCE"/>
    <w:rsid w:val="007F3FF8"/>
    <w:rsid w:val="007F42A8"/>
    <w:rsid w:val="007F4BFA"/>
    <w:rsid w:val="007F4F31"/>
    <w:rsid w:val="007F5163"/>
    <w:rsid w:val="007F51ED"/>
    <w:rsid w:val="007F537F"/>
    <w:rsid w:val="007F55F4"/>
    <w:rsid w:val="007F56A7"/>
    <w:rsid w:val="007F5CD3"/>
    <w:rsid w:val="007F5EBD"/>
    <w:rsid w:val="007F63B7"/>
    <w:rsid w:val="007F680F"/>
    <w:rsid w:val="007F70FA"/>
    <w:rsid w:val="007F746E"/>
    <w:rsid w:val="007F752A"/>
    <w:rsid w:val="007F75CA"/>
    <w:rsid w:val="007F75D9"/>
    <w:rsid w:val="007F771C"/>
    <w:rsid w:val="00800B2C"/>
    <w:rsid w:val="00800D2B"/>
    <w:rsid w:val="0080131B"/>
    <w:rsid w:val="008019C5"/>
    <w:rsid w:val="00801F9C"/>
    <w:rsid w:val="00802732"/>
    <w:rsid w:val="00802D13"/>
    <w:rsid w:val="00803C5D"/>
    <w:rsid w:val="00804183"/>
    <w:rsid w:val="00804675"/>
    <w:rsid w:val="008051E4"/>
    <w:rsid w:val="00807EC7"/>
    <w:rsid w:val="00810315"/>
    <w:rsid w:val="0081084A"/>
    <w:rsid w:val="00811082"/>
    <w:rsid w:val="008112A4"/>
    <w:rsid w:val="00811B96"/>
    <w:rsid w:val="00812F57"/>
    <w:rsid w:val="00813181"/>
    <w:rsid w:val="008132F9"/>
    <w:rsid w:val="00813BA9"/>
    <w:rsid w:val="00813DFB"/>
    <w:rsid w:val="0081407A"/>
    <w:rsid w:val="0081442F"/>
    <w:rsid w:val="00814D3F"/>
    <w:rsid w:val="00815639"/>
    <w:rsid w:val="00815722"/>
    <w:rsid w:val="00815782"/>
    <w:rsid w:val="008159C3"/>
    <w:rsid w:val="00816A77"/>
    <w:rsid w:val="00816FD2"/>
    <w:rsid w:val="008174FD"/>
    <w:rsid w:val="00817625"/>
    <w:rsid w:val="0082160A"/>
    <w:rsid w:val="0082172D"/>
    <w:rsid w:val="008219C6"/>
    <w:rsid w:val="00822EFC"/>
    <w:rsid w:val="00822FA9"/>
    <w:rsid w:val="008239B8"/>
    <w:rsid w:val="008247D2"/>
    <w:rsid w:val="008247D5"/>
    <w:rsid w:val="00826B7C"/>
    <w:rsid w:val="0082708C"/>
    <w:rsid w:val="00827133"/>
    <w:rsid w:val="008274BA"/>
    <w:rsid w:val="00827BC4"/>
    <w:rsid w:val="00827C48"/>
    <w:rsid w:val="008300AA"/>
    <w:rsid w:val="0083070E"/>
    <w:rsid w:val="008313A2"/>
    <w:rsid w:val="00831746"/>
    <w:rsid w:val="00831DB7"/>
    <w:rsid w:val="00832126"/>
    <w:rsid w:val="0083258B"/>
    <w:rsid w:val="008335C5"/>
    <w:rsid w:val="0083429B"/>
    <w:rsid w:val="00834D99"/>
    <w:rsid w:val="00835AB9"/>
    <w:rsid w:val="00835BA5"/>
    <w:rsid w:val="00837175"/>
    <w:rsid w:val="00837CD8"/>
    <w:rsid w:val="00840C30"/>
    <w:rsid w:val="00841657"/>
    <w:rsid w:val="00841850"/>
    <w:rsid w:val="00841B6D"/>
    <w:rsid w:val="00841F50"/>
    <w:rsid w:val="0084207A"/>
    <w:rsid w:val="00842790"/>
    <w:rsid w:val="00842839"/>
    <w:rsid w:val="0084367B"/>
    <w:rsid w:val="00843AB3"/>
    <w:rsid w:val="0084461A"/>
    <w:rsid w:val="0084467A"/>
    <w:rsid w:val="00844716"/>
    <w:rsid w:val="0084505A"/>
    <w:rsid w:val="00846270"/>
    <w:rsid w:val="00846727"/>
    <w:rsid w:val="008467F9"/>
    <w:rsid w:val="00847542"/>
    <w:rsid w:val="008479FB"/>
    <w:rsid w:val="00847CD2"/>
    <w:rsid w:val="008504D3"/>
    <w:rsid w:val="008505DD"/>
    <w:rsid w:val="008513D8"/>
    <w:rsid w:val="00851537"/>
    <w:rsid w:val="008519FA"/>
    <w:rsid w:val="00852324"/>
    <w:rsid w:val="0085273C"/>
    <w:rsid w:val="0085289B"/>
    <w:rsid w:val="0085314C"/>
    <w:rsid w:val="00853CD4"/>
    <w:rsid w:val="00854AA9"/>
    <w:rsid w:val="00855135"/>
    <w:rsid w:val="0085531D"/>
    <w:rsid w:val="0085549E"/>
    <w:rsid w:val="008556FC"/>
    <w:rsid w:val="00855A82"/>
    <w:rsid w:val="00855DDE"/>
    <w:rsid w:val="00855E2A"/>
    <w:rsid w:val="00856B15"/>
    <w:rsid w:val="0085726F"/>
    <w:rsid w:val="00857CA7"/>
    <w:rsid w:val="00857FA9"/>
    <w:rsid w:val="00861102"/>
    <w:rsid w:val="00861230"/>
    <w:rsid w:val="00861452"/>
    <w:rsid w:val="008623A3"/>
    <w:rsid w:val="00862824"/>
    <w:rsid w:val="00862829"/>
    <w:rsid w:val="00862CA7"/>
    <w:rsid w:val="0086300E"/>
    <w:rsid w:val="00863F30"/>
    <w:rsid w:val="00864F4C"/>
    <w:rsid w:val="0086523A"/>
    <w:rsid w:val="0086575B"/>
    <w:rsid w:val="0086618B"/>
    <w:rsid w:val="00866B00"/>
    <w:rsid w:val="00866BED"/>
    <w:rsid w:val="00866D61"/>
    <w:rsid w:val="00867E9D"/>
    <w:rsid w:val="008715AB"/>
    <w:rsid w:val="008725C6"/>
    <w:rsid w:val="00872B73"/>
    <w:rsid w:val="00872E22"/>
    <w:rsid w:val="00873A61"/>
    <w:rsid w:val="00874632"/>
    <w:rsid w:val="00874B0A"/>
    <w:rsid w:val="008751B5"/>
    <w:rsid w:val="008757FA"/>
    <w:rsid w:val="00875A9A"/>
    <w:rsid w:val="0087626D"/>
    <w:rsid w:val="00876708"/>
    <w:rsid w:val="00877374"/>
    <w:rsid w:val="0087775E"/>
    <w:rsid w:val="008801BF"/>
    <w:rsid w:val="008806A6"/>
    <w:rsid w:val="00880ACC"/>
    <w:rsid w:val="00880C19"/>
    <w:rsid w:val="00880CBA"/>
    <w:rsid w:val="00880D20"/>
    <w:rsid w:val="00880F8D"/>
    <w:rsid w:val="008817E2"/>
    <w:rsid w:val="00881947"/>
    <w:rsid w:val="00881A9E"/>
    <w:rsid w:val="00883E4D"/>
    <w:rsid w:val="00883F91"/>
    <w:rsid w:val="00884637"/>
    <w:rsid w:val="00884786"/>
    <w:rsid w:val="00885434"/>
    <w:rsid w:val="00885DBE"/>
    <w:rsid w:val="0088648B"/>
    <w:rsid w:val="00886913"/>
    <w:rsid w:val="00886C3B"/>
    <w:rsid w:val="0088757E"/>
    <w:rsid w:val="00887B35"/>
    <w:rsid w:val="00890C3F"/>
    <w:rsid w:val="00890D1F"/>
    <w:rsid w:val="00890F52"/>
    <w:rsid w:val="00891470"/>
    <w:rsid w:val="00891D7A"/>
    <w:rsid w:val="00891E51"/>
    <w:rsid w:val="00893677"/>
    <w:rsid w:val="008937F5"/>
    <w:rsid w:val="00894996"/>
    <w:rsid w:val="00894F5B"/>
    <w:rsid w:val="00895604"/>
    <w:rsid w:val="00895688"/>
    <w:rsid w:val="00895D4E"/>
    <w:rsid w:val="008965F0"/>
    <w:rsid w:val="00896802"/>
    <w:rsid w:val="00896973"/>
    <w:rsid w:val="00896A83"/>
    <w:rsid w:val="00896C6B"/>
    <w:rsid w:val="00897451"/>
    <w:rsid w:val="0089776E"/>
    <w:rsid w:val="008A05AF"/>
    <w:rsid w:val="008A1678"/>
    <w:rsid w:val="008A167D"/>
    <w:rsid w:val="008A1687"/>
    <w:rsid w:val="008A17AD"/>
    <w:rsid w:val="008A1A91"/>
    <w:rsid w:val="008A2BE5"/>
    <w:rsid w:val="008A3058"/>
    <w:rsid w:val="008A5417"/>
    <w:rsid w:val="008A542D"/>
    <w:rsid w:val="008A55ED"/>
    <w:rsid w:val="008A6F36"/>
    <w:rsid w:val="008B0667"/>
    <w:rsid w:val="008B0CB5"/>
    <w:rsid w:val="008B0D26"/>
    <w:rsid w:val="008B1E89"/>
    <w:rsid w:val="008B24E1"/>
    <w:rsid w:val="008B2639"/>
    <w:rsid w:val="008B2B82"/>
    <w:rsid w:val="008B380C"/>
    <w:rsid w:val="008B3C8C"/>
    <w:rsid w:val="008B4320"/>
    <w:rsid w:val="008B44A2"/>
    <w:rsid w:val="008B51AE"/>
    <w:rsid w:val="008B52C6"/>
    <w:rsid w:val="008B539E"/>
    <w:rsid w:val="008B5B1E"/>
    <w:rsid w:val="008B5BFA"/>
    <w:rsid w:val="008B60C0"/>
    <w:rsid w:val="008B6E6B"/>
    <w:rsid w:val="008B6EC5"/>
    <w:rsid w:val="008B727C"/>
    <w:rsid w:val="008B72AC"/>
    <w:rsid w:val="008B7899"/>
    <w:rsid w:val="008B7C7F"/>
    <w:rsid w:val="008C1FDA"/>
    <w:rsid w:val="008C248C"/>
    <w:rsid w:val="008C2530"/>
    <w:rsid w:val="008C338D"/>
    <w:rsid w:val="008C4D96"/>
    <w:rsid w:val="008C5660"/>
    <w:rsid w:val="008C5AB6"/>
    <w:rsid w:val="008C5AFB"/>
    <w:rsid w:val="008C5C9E"/>
    <w:rsid w:val="008C5F7D"/>
    <w:rsid w:val="008C625F"/>
    <w:rsid w:val="008C66B2"/>
    <w:rsid w:val="008C6B54"/>
    <w:rsid w:val="008C746A"/>
    <w:rsid w:val="008C74A4"/>
    <w:rsid w:val="008C74F5"/>
    <w:rsid w:val="008C7785"/>
    <w:rsid w:val="008C7AFA"/>
    <w:rsid w:val="008C7EA3"/>
    <w:rsid w:val="008D12E3"/>
    <w:rsid w:val="008D143E"/>
    <w:rsid w:val="008D1DEF"/>
    <w:rsid w:val="008D24FA"/>
    <w:rsid w:val="008D2512"/>
    <w:rsid w:val="008D28D2"/>
    <w:rsid w:val="008D2AD3"/>
    <w:rsid w:val="008D3953"/>
    <w:rsid w:val="008D39F6"/>
    <w:rsid w:val="008D3A3E"/>
    <w:rsid w:val="008D3E07"/>
    <w:rsid w:val="008D51F3"/>
    <w:rsid w:val="008D5778"/>
    <w:rsid w:val="008D5894"/>
    <w:rsid w:val="008D5CB0"/>
    <w:rsid w:val="008D636A"/>
    <w:rsid w:val="008D6C0A"/>
    <w:rsid w:val="008D6C1C"/>
    <w:rsid w:val="008D6E70"/>
    <w:rsid w:val="008D765F"/>
    <w:rsid w:val="008D7C9E"/>
    <w:rsid w:val="008E0407"/>
    <w:rsid w:val="008E05D9"/>
    <w:rsid w:val="008E0C43"/>
    <w:rsid w:val="008E114F"/>
    <w:rsid w:val="008E1D43"/>
    <w:rsid w:val="008E2832"/>
    <w:rsid w:val="008E2EA7"/>
    <w:rsid w:val="008E2EB4"/>
    <w:rsid w:val="008E31D1"/>
    <w:rsid w:val="008E38B7"/>
    <w:rsid w:val="008E4602"/>
    <w:rsid w:val="008E4696"/>
    <w:rsid w:val="008E498D"/>
    <w:rsid w:val="008E4A61"/>
    <w:rsid w:val="008E72C3"/>
    <w:rsid w:val="008E7498"/>
    <w:rsid w:val="008E7ACA"/>
    <w:rsid w:val="008F0282"/>
    <w:rsid w:val="008F0466"/>
    <w:rsid w:val="008F0771"/>
    <w:rsid w:val="008F1302"/>
    <w:rsid w:val="008F36EF"/>
    <w:rsid w:val="008F511D"/>
    <w:rsid w:val="008F5254"/>
    <w:rsid w:val="008F541F"/>
    <w:rsid w:val="008F5EB8"/>
    <w:rsid w:val="008F6764"/>
    <w:rsid w:val="008F733F"/>
    <w:rsid w:val="009003B3"/>
    <w:rsid w:val="00900F2E"/>
    <w:rsid w:val="009013E5"/>
    <w:rsid w:val="0090209C"/>
    <w:rsid w:val="00902656"/>
    <w:rsid w:val="009028BE"/>
    <w:rsid w:val="00902D72"/>
    <w:rsid w:val="00904AFE"/>
    <w:rsid w:val="00905C31"/>
    <w:rsid w:val="00906053"/>
    <w:rsid w:val="0090673D"/>
    <w:rsid w:val="00907B61"/>
    <w:rsid w:val="00907C6A"/>
    <w:rsid w:val="00910569"/>
    <w:rsid w:val="00910B09"/>
    <w:rsid w:val="00911252"/>
    <w:rsid w:val="009115C9"/>
    <w:rsid w:val="00911EE0"/>
    <w:rsid w:val="0091347C"/>
    <w:rsid w:val="00913A25"/>
    <w:rsid w:val="00914259"/>
    <w:rsid w:val="00914585"/>
    <w:rsid w:val="00914743"/>
    <w:rsid w:val="00915129"/>
    <w:rsid w:val="00915516"/>
    <w:rsid w:val="0091592A"/>
    <w:rsid w:val="00915DC3"/>
    <w:rsid w:val="009162CA"/>
    <w:rsid w:val="00917781"/>
    <w:rsid w:val="009179A7"/>
    <w:rsid w:val="00917A51"/>
    <w:rsid w:val="00917A90"/>
    <w:rsid w:val="00917A9F"/>
    <w:rsid w:val="00917EA6"/>
    <w:rsid w:val="00920524"/>
    <w:rsid w:val="009209CA"/>
    <w:rsid w:val="009210C0"/>
    <w:rsid w:val="0092179C"/>
    <w:rsid w:val="009218CE"/>
    <w:rsid w:val="00921915"/>
    <w:rsid w:val="00922957"/>
    <w:rsid w:val="0092297A"/>
    <w:rsid w:val="00922A9C"/>
    <w:rsid w:val="009238D0"/>
    <w:rsid w:val="009248E5"/>
    <w:rsid w:val="009250E6"/>
    <w:rsid w:val="009253F7"/>
    <w:rsid w:val="009257AF"/>
    <w:rsid w:val="00925E33"/>
    <w:rsid w:val="00926475"/>
    <w:rsid w:val="009264CD"/>
    <w:rsid w:val="00926D5E"/>
    <w:rsid w:val="00927388"/>
    <w:rsid w:val="0092770D"/>
    <w:rsid w:val="00927C62"/>
    <w:rsid w:val="0093076F"/>
    <w:rsid w:val="00930A50"/>
    <w:rsid w:val="009310D4"/>
    <w:rsid w:val="00931312"/>
    <w:rsid w:val="00931629"/>
    <w:rsid w:val="009316CD"/>
    <w:rsid w:val="00931BA4"/>
    <w:rsid w:val="009337C7"/>
    <w:rsid w:val="00933DA2"/>
    <w:rsid w:val="00934A4A"/>
    <w:rsid w:val="0093511E"/>
    <w:rsid w:val="00935BF3"/>
    <w:rsid w:val="009360BB"/>
    <w:rsid w:val="009368AE"/>
    <w:rsid w:val="00936B28"/>
    <w:rsid w:val="0093789C"/>
    <w:rsid w:val="00937D35"/>
    <w:rsid w:val="0094011C"/>
    <w:rsid w:val="00940681"/>
    <w:rsid w:val="00940730"/>
    <w:rsid w:val="00940C72"/>
    <w:rsid w:val="00940C9A"/>
    <w:rsid w:val="00941E1B"/>
    <w:rsid w:val="0094250E"/>
    <w:rsid w:val="00942C94"/>
    <w:rsid w:val="009431A7"/>
    <w:rsid w:val="00944723"/>
    <w:rsid w:val="00944A0F"/>
    <w:rsid w:val="00945925"/>
    <w:rsid w:val="00945977"/>
    <w:rsid w:val="00946567"/>
    <w:rsid w:val="00946D04"/>
    <w:rsid w:val="00946ECF"/>
    <w:rsid w:val="0094701D"/>
    <w:rsid w:val="00947124"/>
    <w:rsid w:val="00947562"/>
    <w:rsid w:val="009500F6"/>
    <w:rsid w:val="009501FB"/>
    <w:rsid w:val="00950B5D"/>
    <w:rsid w:val="009520B5"/>
    <w:rsid w:val="00952305"/>
    <w:rsid w:val="00952FA0"/>
    <w:rsid w:val="009534CE"/>
    <w:rsid w:val="00953749"/>
    <w:rsid w:val="009537C1"/>
    <w:rsid w:val="009549A7"/>
    <w:rsid w:val="00954D42"/>
    <w:rsid w:val="00955881"/>
    <w:rsid w:val="00955F35"/>
    <w:rsid w:val="009567A7"/>
    <w:rsid w:val="00960AF2"/>
    <w:rsid w:val="00960EFB"/>
    <w:rsid w:val="0096181F"/>
    <w:rsid w:val="00961959"/>
    <w:rsid w:val="0096200D"/>
    <w:rsid w:val="0096251A"/>
    <w:rsid w:val="009627D9"/>
    <w:rsid w:val="009627E2"/>
    <w:rsid w:val="00962873"/>
    <w:rsid w:val="0096306A"/>
    <w:rsid w:val="00963FBC"/>
    <w:rsid w:val="00965C88"/>
    <w:rsid w:val="00967850"/>
    <w:rsid w:val="00967D7C"/>
    <w:rsid w:val="00967E59"/>
    <w:rsid w:val="00970A10"/>
    <w:rsid w:val="009718B0"/>
    <w:rsid w:val="0097255B"/>
    <w:rsid w:val="009732BA"/>
    <w:rsid w:val="00973429"/>
    <w:rsid w:val="00974266"/>
    <w:rsid w:val="00974651"/>
    <w:rsid w:val="0097568E"/>
    <w:rsid w:val="0097576C"/>
    <w:rsid w:val="00975776"/>
    <w:rsid w:val="009759E7"/>
    <w:rsid w:val="00975D7D"/>
    <w:rsid w:val="00975E26"/>
    <w:rsid w:val="00975EA4"/>
    <w:rsid w:val="00977207"/>
    <w:rsid w:val="00977313"/>
    <w:rsid w:val="00977567"/>
    <w:rsid w:val="00977FE8"/>
    <w:rsid w:val="00980BC0"/>
    <w:rsid w:val="00980FA2"/>
    <w:rsid w:val="0098124C"/>
    <w:rsid w:val="009820FA"/>
    <w:rsid w:val="00983E04"/>
    <w:rsid w:val="00984138"/>
    <w:rsid w:val="009862F9"/>
    <w:rsid w:val="00986701"/>
    <w:rsid w:val="009871E3"/>
    <w:rsid w:val="00987281"/>
    <w:rsid w:val="009872F3"/>
    <w:rsid w:val="00987973"/>
    <w:rsid w:val="00990832"/>
    <w:rsid w:val="00990E02"/>
    <w:rsid w:val="0099198F"/>
    <w:rsid w:val="009936AD"/>
    <w:rsid w:val="00993732"/>
    <w:rsid w:val="00993BB8"/>
    <w:rsid w:val="00993D9B"/>
    <w:rsid w:val="00993DAC"/>
    <w:rsid w:val="00993E8F"/>
    <w:rsid w:val="00993FCC"/>
    <w:rsid w:val="009941D4"/>
    <w:rsid w:val="00994468"/>
    <w:rsid w:val="009944EC"/>
    <w:rsid w:val="009944F8"/>
    <w:rsid w:val="00994536"/>
    <w:rsid w:val="0099546A"/>
    <w:rsid w:val="009957E7"/>
    <w:rsid w:val="00996211"/>
    <w:rsid w:val="009962D0"/>
    <w:rsid w:val="00996B42"/>
    <w:rsid w:val="00996CFE"/>
    <w:rsid w:val="009975EA"/>
    <w:rsid w:val="009A02AB"/>
    <w:rsid w:val="009A0E96"/>
    <w:rsid w:val="009A12AB"/>
    <w:rsid w:val="009A1847"/>
    <w:rsid w:val="009A2370"/>
    <w:rsid w:val="009A2588"/>
    <w:rsid w:val="009A2B3C"/>
    <w:rsid w:val="009A2FE7"/>
    <w:rsid w:val="009A3390"/>
    <w:rsid w:val="009A494A"/>
    <w:rsid w:val="009A49CB"/>
    <w:rsid w:val="009A4ED5"/>
    <w:rsid w:val="009A5D70"/>
    <w:rsid w:val="009A695C"/>
    <w:rsid w:val="009A6C68"/>
    <w:rsid w:val="009A6C82"/>
    <w:rsid w:val="009A78E7"/>
    <w:rsid w:val="009B09D3"/>
    <w:rsid w:val="009B0AB6"/>
    <w:rsid w:val="009B0BD2"/>
    <w:rsid w:val="009B110C"/>
    <w:rsid w:val="009B13B5"/>
    <w:rsid w:val="009B14E5"/>
    <w:rsid w:val="009B2326"/>
    <w:rsid w:val="009B2511"/>
    <w:rsid w:val="009B264F"/>
    <w:rsid w:val="009B2E5F"/>
    <w:rsid w:val="009B37B0"/>
    <w:rsid w:val="009B43A0"/>
    <w:rsid w:val="009B4CB7"/>
    <w:rsid w:val="009B6313"/>
    <w:rsid w:val="009B6639"/>
    <w:rsid w:val="009B77A3"/>
    <w:rsid w:val="009B7A83"/>
    <w:rsid w:val="009B7F73"/>
    <w:rsid w:val="009C01B9"/>
    <w:rsid w:val="009C048F"/>
    <w:rsid w:val="009C0C85"/>
    <w:rsid w:val="009C1BF8"/>
    <w:rsid w:val="009C1C73"/>
    <w:rsid w:val="009C1D3F"/>
    <w:rsid w:val="009C1FDB"/>
    <w:rsid w:val="009C26F7"/>
    <w:rsid w:val="009C27E0"/>
    <w:rsid w:val="009C2AE8"/>
    <w:rsid w:val="009C3570"/>
    <w:rsid w:val="009C3856"/>
    <w:rsid w:val="009C3CF0"/>
    <w:rsid w:val="009C40B4"/>
    <w:rsid w:val="009C4355"/>
    <w:rsid w:val="009C459F"/>
    <w:rsid w:val="009C4618"/>
    <w:rsid w:val="009C4C83"/>
    <w:rsid w:val="009C4CA7"/>
    <w:rsid w:val="009C5DD5"/>
    <w:rsid w:val="009C6B9E"/>
    <w:rsid w:val="009D0923"/>
    <w:rsid w:val="009D0EE9"/>
    <w:rsid w:val="009D1160"/>
    <w:rsid w:val="009D2D13"/>
    <w:rsid w:val="009D2E76"/>
    <w:rsid w:val="009D36F9"/>
    <w:rsid w:val="009D3E31"/>
    <w:rsid w:val="009D3E7E"/>
    <w:rsid w:val="009D4B87"/>
    <w:rsid w:val="009D5155"/>
    <w:rsid w:val="009D5F50"/>
    <w:rsid w:val="009D5FB5"/>
    <w:rsid w:val="009D5FB7"/>
    <w:rsid w:val="009D6310"/>
    <w:rsid w:val="009D68A0"/>
    <w:rsid w:val="009D6D73"/>
    <w:rsid w:val="009D724B"/>
    <w:rsid w:val="009D7474"/>
    <w:rsid w:val="009D75BE"/>
    <w:rsid w:val="009D7ABC"/>
    <w:rsid w:val="009E1C65"/>
    <w:rsid w:val="009E29B1"/>
    <w:rsid w:val="009E2B58"/>
    <w:rsid w:val="009E3A85"/>
    <w:rsid w:val="009E4530"/>
    <w:rsid w:val="009E5C91"/>
    <w:rsid w:val="009E633A"/>
    <w:rsid w:val="009E6E53"/>
    <w:rsid w:val="009E7093"/>
    <w:rsid w:val="009E7174"/>
    <w:rsid w:val="009E7E3F"/>
    <w:rsid w:val="009F015B"/>
    <w:rsid w:val="009F0180"/>
    <w:rsid w:val="009F0E0E"/>
    <w:rsid w:val="009F0F17"/>
    <w:rsid w:val="009F16AC"/>
    <w:rsid w:val="009F19FC"/>
    <w:rsid w:val="009F3246"/>
    <w:rsid w:val="009F3C60"/>
    <w:rsid w:val="009F4447"/>
    <w:rsid w:val="009F4AB6"/>
    <w:rsid w:val="009F517A"/>
    <w:rsid w:val="009F5801"/>
    <w:rsid w:val="009F58A6"/>
    <w:rsid w:val="009F590E"/>
    <w:rsid w:val="009F5CD3"/>
    <w:rsid w:val="009F67BB"/>
    <w:rsid w:val="009F67C1"/>
    <w:rsid w:val="009F67EA"/>
    <w:rsid w:val="009F694F"/>
    <w:rsid w:val="009F6FDB"/>
    <w:rsid w:val="009F7094"/>
    <w:rsid w:val="009F7790"/>
    <w:rsid w:val="009F7E85"/>
    <w:rsid w:val="00A00C02"/>
    <w:rsid w:val="00A01A66"/>
    <w:rsid w:val="00A01D8A"/>
    <w:rsid w:val="00A02169"/>
    <w:rsid w:val="00A0225B"/>
    <w:rsid w:val="00A022D6"/>
    <w:rsid w:val="00A02825"/>
    <w:rsid w:val="00A0289A"/>
    <w:rsid w:val="00A02C61"/>
    <w:rsid w:val="00A0388C"/>
    <w:rsid w:val="00A03CA3"/>
    <w:rsid w:val="00A05C1A"/>
    <w:rsid w:val="00A05F0C"/>
    <w:rsid w:val="00A071B0"/>
    <w:rsid w:val="00A072DB"/>
    <w:rsid w:val="00A0757B"/>
    <w:rsid w:val="00A076AA"/>
    <w:rsid w:val="00A1137B"/>
    <w:rsid w:val="00A11F1D"/>
    <w:rsid w:val="00A12D9C"/>
    <w:rsid w:val="00A131F9"/>
    <w:rsid w:val="00A13D28"/>
    <w:rsid w:val="00A14173"/>
    <w:rsid w:val="00A14FA9"/>
    <w:rsid w:val="00A15686"/>
    <w:rsid w:val="00A158F0"/>
    <w:rsid w:val="00A1596A"/>
    <w:rsid w:val="00A16AB8"/>
    <w:rsid w:val="00A16D7C"/>
    <w:rsid w:val="00A16EC7"/>
    <w:rsid w:val="00A17150"/>
    <w:rsid w:val="00A173BC"/>
    <w:rsid w:val="00A1762E"/>
    <w:rsid w:val="00A17FA2"/>
    <w:rsid w:val="00A2020F"/>
    <w:rsid w:val="00A207E2"/>
    <w:rsid w:val="00A20C72"/>
    <w:rsid w:val="00A21271"/>
    <w:rsid w:val="00A21561"/>
    <w:rsid w:val="00A22F87"/>
    <w:rsid w:val="00A2394B"/>
    <w:rsid w:val="00A23A9A"/>
    <w:rsid w:val="00A24126"/>
    <w:rsid w:val="00A24DAE"/>
    <w:rsid w:val="00A25494"/>
    <w:rsid w:val="00A26146"/>
    <w:rsid w:val="00A264DF"/>
    <w:rsid w:val="00A265F5"/>
    <w:rsid w:val="00A26EEF"/>
    <w:rsid w:val="00A27538"/>
    <w:rsid w:val="00A278F3"/>
    <w:rsid w:val="00A27DF7"/>
    <w:rsid w:val="00A27E20"/>
    <w:rsid w:val="00A27ECF"/>
    <w:rsid w:val="00A301F6"/>
    <w:rsid w:val="00A3032C"/>
    <w:rsid w:val="00A303A5"/>
    <w:rsid w:val="00A30412"/>
    <w:rsid w:val="00A30574"/>
    <w:rsid w:val="00A33C64"/>
    <w:rsid w:val="00A357AE"/>
    <w:rsid w:val="00A35A2E"/>
    <w:rsid w:val="00A35EE2"/>
    <w:rsid w:val="00A3626A"/>
    <w:rsid w:val="00A363B1"/>
    <w:rsid w:val="00A36A89"/>
    <w:rsid w:val="00A36CEE"/>
    <w:rsid w:val="00A37207"/>
    <w:rsid w:val="00A375FE"/>
    <w:rsid w:val="00A37912"/>
    <w:rsid w:val="00A402DD"/>
    <w:rsid w:val="00A40BD5"/>
    <w:rsid w:val="00A40FBF"/>
    <w:rsid w:val="00A41079"/>
    <w:rsid w:val="00A421ED"/>
    <w:rsid w:val="00A42295"/>
    <w:rsid w:val="00A42A98"/>
    <w:rsid w:val="00A43132"/>
    <w:rsid w:val="00A4384E"/>
    <w:rsid w:val="00A43D98"/>
    <w:rsid w:val="00A43E22"/>
    <w:rsid w:val="00A44E82"/>
    <w:rsid w:val="00A44F05"/>
    <w:rsid w:val="00A455AD"/>
    <w:rsid w:val="00A45798"/>
    <w:rsid w:val="00A4602E"/>
    <w:rsid w:val="00A4627B"/>
    <w:rsid w:val="00A4645A"/>
    <w:rsid w:val="00A46936"/>
    <w:rsid w:val="00A469FC"/>
    <w:rsid w:val="00A46F5B"/>
    <w:rsid w:val="00A507AD"/>
    <w:rsid w:val="00A50C3B"/>
    <w:rsid w:val="00A51683"/>
    <w:rsid w:val="00A5204F"/>
    <w:rsid w:val="00A526C2"/>
    <w:rsid w:val="00A527C6"/>
    <w:rsid w:val="00A52CB9"/>
    <w:rsid w:val="00A53BA5"/>
    <w:rsid w:val="00A54267"/>
    <w:rsid w:val="00A5470E"/>
    <w:rsid w:val="00A556D6"/>
    <w:rsid w:val="00A5575C"/>
    <w:rsid w:val="00A5586A"/>
    <w:rsid w:val="00A56651"/>
    <w:rsid w:val="00A56724"/>
    <w:rsid w:val="00A57113"/>
    <w:rsid w:val="00A574A4"/>
    <w:rsid w:val="00A575AC"/>
    <w:rsid w:val="00A577CC"/>
    <w:rsid w:val="00A579B3"/>
    <w:rsid w:val="00A609F1"/>
    <w:rsid w:val="00A61D17"/>
    <w:rsid w:val="00A61DAB"/>
    <w:rsid w:val="00A62142"/>
    <w:rsid w:val="00A6238D"/>
    <w:rsid w:val="00A629CB"/>
    <w:rsid w:val="00A6349C"/>
    <w:rsid w:val="00A634B1"/>
    <w:rsid w:val="00A63C17"/>
    <w:rsid w:val="00A64098"/>
    <w:rsid w:val="00A64296"/>
    <w:rsid w:val="00A64FC6"/>
    <w:rsid w:val="00A65676"/>
    <w:rsid w:val="00A65E81"/>
    <w:rsid w:val="00A65EC8"/>
    <w:rsid w:val="00A66463"/>
    <w:rsid w:val="00A67290"/>
    <w:rsid w:val="00A71510"/>
    <w:rsid w:val="00A71EC6"/>
    <w:rsid w:val="00A72756"/>
    <w:rsid w:val="00A72A7E"/>
    <w:rsid w:val="00A7338A"/>
    <w:rsid w:val="00A742E1"/>
    <w:rsid w:val="00A7473C"/>
    <w:rsid w:val="00A7534A"/>
    <w:rsid w:val="00A768B8"/>
    <w:rsid w:val="00A77680"/>
    <w:rsid w:val="00A800F1"/>
    <w:rsid w:val="00A8012C"/>
    <w:rsid w:val="00A80A07"/>
    <w:rsid w:val="00A80EE5"/>
    <w:rsid w:val="00A81780"/>
    <w:rsid w:val="00A81D0F"/>
    <w:rsid w:val="00A82ABE"/>
    <w:rsid w:val="00A83C67"/>
    <w:rsid w:val="00A83DAB"/>
    <w:rsid w:val="00A83F2B"/>
    <w:rsid w:val="00A84772"/>
    <w:rsid w:val="00A84A01"/>
    <w:rsid w:val="00A8519C"/>
    <w:rsid w:val="00A85D96"/>
    <w:rsid w:val="00A86082"/>
    <w:rsid w:val="00A8637F"/>
    <w:rsid w:val="00A87308"/>
    <w:rsid w:val="00A8777E"/>
    <w:rsid w:val="00A879E7"/>
    <w:rsid w:val="00A90014"/>
    <w:rsid w:val="00A9013F"/>
    <w:rsid w:val="00A90258"/>
    <w:rsid w:val="00A90595"/>
    <w:rsid w:val="00A906AD"/>
    <w:rsid w:val="00A90829"/>
    <w:rsid w:val="00A909F5"/>
    <w:rsid w:val="00A91115"/>
    <w:rsid w:val="00A92A00"/>
    <w:rsid w:val="00A92A99"/>
    <w:rsid w:val="00A9334E"/>
    <w:rsid w:val="00A93674"/>
    <w:rsid w:val="00A94218"/>
    <w:rsid w:val="00A9492F"/>
    <w:rsid w:val="00A957D6"/>
    <w:rsid w:val="00A962BF"/>
    <w:rsid w:val="00A976DC"/>
    <w:rsid w:val="00AA039F"/>
    <w:rsid w:val="00AA0758"/>
    <w:rsid w:val="00AA0C73"/>
    <w:rsid w:val="00AA128D"/>
    <w:rsid w:val="00AA13F8"/>
    <w:rsid w:val="00AA1F3E"/>
    <w:rsid w:val="00AA2846"/>
    <w:rsid w:val="00AA2C4C"/>
    <w:rsid w:val="00AA57D4"/>
    <w:rsid w:val="00AA5E40"/>
    <w:rsid w:val="00AA6702"/>
    <w:rsid w:val="00AA7489"/>
    <w:rsid w:val="00AA753F"/>
    <w:rsid w:val="00AB0275"/>
    <w:rsid w:val="00AB0342"/>
    <w:rsid w:val="00AB063C"/>
    <w:rsid w:val="00AB0B4F"/>
    <w:rsid w:val="00AB1176"/>
    <w:rsid w:val="00AB11E5"/>
    <w:rsid w:val="00AB1729"/>
    <w:rsid w:val="00AB18BF"/>
    <w:rsid w:val="00AB24E5"/>
    <w:rsid w:val="00AB2EDC"/>
    <w:rsid w:val="00AB3255"/>
    <w:rsid w:val="00AB343C"/>
    <w:rsid w:val="00AB3474"/>
    <w:rsid w:val="00AB3F01"/>
    <w:rsid w:val="00AB6A64"/>
    <w:rsid w:val="00AC0593"/>
    <w:rsid w:val="00AC0664"/>
    <w:rsid w:val="00AC0E84"/>
    <w:rsid w:val="00AC1C9A"/>
    <w:rsid w:val="00AC1D9B"/>
    <w:rsid w:val="00AC295F"/>
    <w:rsid w:val="00AC3453"/>
    <w:rsid w:val="00AC356F"/>
    <w:rsid w:val="00AC3C35"/>
    <w:rsid w:val="00AC3EA5"/>
    <w:rsid w:val="00AC42D2"/>
    <w:rsid w:val="00AC445E"/>
    <w:rsid w:val="00AC50E1"/>
    <w:rsid w:val="00AC64AD"/>
    <w:rsid w:val="00AC6C97"/>
    <w:rsid w:val="00AC6DA5"/>
    <w:rsid w:val="00AC6DB1"/>
    <w:rsid w:val="00AC772A"/>
    <w:rsid w:val="00AC77F3"/>
    <w:rsid w:val="00AC7AE5"/>
    <w:rsid w:val="00AD0E94"/>
    <w:rsid w:val="00AD10DF"/>
    <w:rsid w:val="00AD20A6"/>
    <w:rsid w:val="00AD25F4"/>
    <w:rsid w:val="00AD29F8"/>
    <w:rsid w:val="00AD31AB"/>
    <w:rsid w:val="00AD37C0"/>
    <w:rsid w:val="00AD39B8"/>
    <w:rsid w:val="00AD5024"/>
    <w:rsid w:val="00AD54D5"/>
    <w:rsid w:val="00AD58CC"/>
    <w:rsid w:val="00AD64F8"/>
    <w:rsid w:val="00AD761B"/>
    <w:rsid w:val="00AD7BAF"/>
    <w:rsid w:val="00AD7EE3"/>
    <w:rsid w:val="00AE0159"/>
    <w:rsid w:val="00AE040F"/>
    <w:rsid w:val="00AE11DD"/>
    <w:rsid w:val="00AE184C"/>
    <w:rsid w:val="00AE1E92"/>
    <w:rsid w:val="00AE3437"/>
    <w:rsid w:val="00AE41A9"/>
    <w:rsid w:val="00AE4487"/>
    <w:rsid w:val="00AE49F1"/>
    <w:rsid w:val="00AE59A3"/>
    <w:rsid w:val="00AE5B80"/>
    <w:rsid w:val="00AE5C0E"/>
    <w:rsid w:val="00AE618B"/>
    <w:rsid w:val="00AE6862"/>
    <w:rsid w:val="00AE7913"/>
    <w:rsid w:val="00AF081E"/>
    <w:rsid w:val="00AF1035"/>
    <w:rsid w:val="00AF139C"/>
    <w:rsid w:val="00AF177A"/>
    <w:rsid w:val="00AF17DC"/>
    <w:rsid w:val="00AF29CA"/>
    <w:rsid w:val="00AF4F03"/>
    <w:rsid w:val="00AF4F04"/>
    <w:rsid w:val="00AF57D6"/>
    <w:rsid w:val="00AF6651"/>
    <w:rsid w:val="00AF6EC4"/>
    <w:rsid w:val="00AF7268"/>
    <w:rsid w:val="00B00B71"/>
    <w:rsid w:val="00B00E5B"/>
    <w:rsid w:val="00B00F5B"/>
    <w:rsid w:val="00B01067"/>
    <w:rsid w:val="00B010C7"/>
    <w:rsid w:val="00B015CA"/>
    <w:rsid w:val="00B01608"/>
    <w:rsid w:val="00B0193D"/>
    <w:rsid w:val="00B01C8D"/>
    <w:rsid w:val="00B02870"/>
    <w:rsid w:val="00B02B90"/>
    <w:rsid w:val="00B03033"/>
    <w:rsid w:val="00B032A0"/>
    <w:rsid w:val="00B0367C"/>
    <w:rsid w:val="00B03D50"/>
    <w:rsid w:val="00B04E0A"/>
    <w:rsid w:val="00B05014"/>
    <w:rsid w:val="00B07001"/>
    <w:rsid w:val="00B07032"/>
    <w:rsid w:val="00B07069"/>
    <w:rsid w:val="00B07B8C"/>
    <w:rsid w:val="00B07D8F"/>
    <w:rsid w:val="00B1035E"/>
    <w:rsid w:val="00B10505"/>
    <w:rsid w:val="00B10662"/>
    <w:rsid w:val="00B107C8"/>
    <w:rsid w:val="00B1089E"/>
    <w:rsid w:val="00B1193C"/>
    <w:rsid w:val="00B12E5C"/>
    <w:rsid w:val="00B12FC3"/>
    <w:rsid w:val="00B13034"/>
    <w:rsid w:val="00B13D36"/>
    <w:rsid w:val="00B1457C"/>
    <w:rsid w:val="00B14719"/>
    <w:rsid w:val="00B15EBC"/>
    <w:rsid w:val="00B16302"/>
    <w:rsid w:val="00B1791F"/>
    <w:rsid w:val="00B1796D"/>
    <w:rsid w:val="00B17982"/>
    <w:rsid w:val="00B17AE8"/>
    <w:rsid w:val="00B17F06"/>
    <w:rsid w:val="00B17FAC"/>
    <w:rsid w:val="00B216CF"/>
    <w:rsid w:val="00B218B3"/>
    <w:rsid w:val="00B21D98"/>
    <w:rsid w:val="00B2261E"/>
    <w:rsid w:val="00B2262B"/>
    <w:rsid w:val="00B231D3"/>
    <w:rsid w:val="00B233BC"/>
    <w:rsid w:val="00B24A05"/>
    <w:rsid w:val="00B25833"/>
    <w:rsid w:val="00B25D8E"/>
    <w:rsid w:val="00B263B7"/>
    <w:rsid w:val="00B26B8E"/>
    <w:rsid w:val="00B26E3E"/>
    <w:rsid w:val="00B27104"/>
    <w:rsid w:val="00B274AA"/>
    <w:rsid w:val="00B303EA"/>
    <w:rsid w:val="00B30633"/>
    <w:rsid w:val="00B310A4"/>
    <w:rsid w:val="00B31174"/>
    <w:rsid w:val="00B31BFC"/>
    <w:rsid w:val="00B31CB1"/>
    <w:rsid w:val="00B31F9A"/>
    <w:rsid w:val="00B3254C"/>
    <w:rsid w:val="00B328E7"/>
    <w:rsid w:val="00B3324E"/>
    <w:rsid w:val="00B338FE"/>
    <w:rsid w:val="00B33B7B"/>
    <w:rsid w:val="00B3423D"/>
    <w:rsid w:val="00B34BE9"/>
    <w:rsid w:val="00B350CC"/>
    <w:rsid w:val="00B35239"/>
    <w:rsid w:val="00B36338"/>
    <w:rsid w:val="00B36740"/>
    <w:rsid w:val="00B36ED1"/>
    <w:rsid w:val="00B3773F"/>
    <w:rsid w:val="00B378A4"/>
    <w:rsid w:val="00B37DA7"/>
    <w:rsid w:val="00B401A6"/>
    <w:rsid w:val="00B40D2F"/>
    <w:rsid w:val="00B411B4"/>
    <w:rsid w:val="00B4140C"/>
    <w:rsid w:val="00B422A6"/>
    <w:rsid w:val="00B425C1"/>
    <w:rsid w:val="00B431F6"/>
    <w:rsid w:val="00B43B0C"/>
    <w:rsid w:val="00B443C2"/>
    <w:rsid w:val="00B4463E"/>
    <w:rsid w:val="00B45B06"/>
    <w:rsid w:val="00B45B1F"/>
    <w:rsid w:val="00B45DD5"/>
    <w:rsid w:val="00B46B42"/>
    <w:rsid w:val="00B4726A"/>
    <w:rsid w:val="00B47603"/>
    <w:rsid w:val="00B476A4"/>
    <w:rsid w:val="00B476D1"/>
    <w:rsid w:val="00B47898"/>
    <w:rsid w:val="00B47A56"/>
    <w:rsid w:val="00B47D71"/>
    <w:rsid w:val="00B501B7"/>
    <w:rsid w:val="00B506B8"/>
    <w:rsid w:val="00B50CD8"/>
    <w:rsid w:val="00B50FAB"/>
    <w:rsid w:val="00B523A3"/>
    <w:rsid w:val="00B52FFB"/>
    <w:rsid w:val="00B53AEB"/>
    <w:rsid w:val="00B545E7"/>
    <w:rsid w:val="00B55B84"/>
    <w:rsid w:val="00B56C23"/>
    <w:rsid w:val="00B56E96"/>
    <w:rsid w:val="00B5752E"/>
    <w:rsid w:val="00B60C9F"/>
    <w:rsid w:val="00B61B21"/>
    <w:rsid w:val="00B61DCC"/>
    <w:rsid w:val="00B61E2E"/>
    <w:rsid w:val="00B62C4F"/>
    <w:rsid w:val="00B63524"/>
    <w:rsid w:val="00B63912"/>
    <w:rsid w:val="00B63E31"/>
    <w:rsid w:val="00B64505"/>
    <w:rsid w:val="00B64B15"/>
    <w:rsid w:val="00B6532A"/>
    <w:rsid w:val="00B65B06"/>
    <w:rsid w:val="00B6629D"/>
    <w:rsid w:val="00B67873"/>
    <w:rsid w:val="00B6791B"/>
    <w:rsid w:val="00B704B4"/>
    <w:rsid w:val="00B704CF"/>
    <w:rsid w:val="00B70AFD"/>
    <w:rsid w:val="00B7174E"/>
    <w:rsid w:val="00B718FF"/>
    <w:rsid w:val="00B71A06"/>
    <w:rsid w:val="00B71BB3"/>
    <w:rsid w:val="00B71DA2"/>
    <w:rsid w:val="00B71E23"/>
    <w:rsid w:val="00B720C3"/>
    <w:rsid w:val="00B73A45"/>
    <w:rsid w:val="00B73E56"/>
    <w:rsid w:val="00B742A6"/>
    <w:rsid w:val="00B745BE"/>
    <w:rsid w:val="00B74B4C"/>
    <w:rsid w:val="00B74D46"/>
    <w:rsid w:val="00B7532C"/>
    <w:rsid w:val="00B762F4"/>
    <w:rsid w:val="00B76AEA"/>
    <w:rsid w:val="00B7764A"/>
    <w:rsid w:val="00B808A2"/>
    <w:rsid w:val="00B812CE"/>
    <w:rsid w:val="00B81E1D"/>
    <w:rsid w:val="00B829E6"/>
    <w:rsid w:val="00B858D0"/>
    <w:rsid w:val="00B8660F"/>
    <w:rsid w:val="00B86ADF"/>
    <w:rsid w:val="00B87452"/>
    <w:rsid w:val="00B8767C"/>
    <w:rsid w:val="00B8772D"/>
    <w:rsid w:val="00B87B3D"/>
    <w:rsid w:val="00B87BC0"/>
    <w:rsid w:val="00B90044"/>
    <w:rsid w:val="00B903C8"/>
    <w:rsid w:val="00B905B5"/>
    <w:rsid w:val="00B90E8A"/>
    <w:rsid w:val="00B91488"/>
    <w:rsid w:val="00B919F3"/>
    <w:rsid w:val="00B92159"/>
    <w:rsid w:val="00B9233F"/>
    <w:rsid w:val="00B92D86"/>
    <w:rsid w:val="00B930D4"/>
    <w:rsid w:val="00B937FE"/>
    <w:rsid w:val="00B93DA1"/>
    <w:rsid w:val="00B94EEA"/>
    <w:rsid w:val="00B95095"/>
    <w:rsid w:val="00B95ABB"/>
    <w:rsid w:val="00B95D22"/>
    <w:rsid w:val="00B964CF"/>
    <w:rsid w:val="00B97CEA"/>
    <w:rsid w:val="00B97D0F"/>
    <w:rsid w:val="00BA0105"/>
    <w:rsid w:val="00BA0258"/>
    <w:rsid w:val="00BA0D53"/>
    <w:rsid w:val="00BA1C23"/>
    <w:rsid w:val="00BA1E6C"/>
    <w:rsid w:val="00BA1F1C"/>
    <w:rsid w:val="00BA3735"/>
    <w:rsid w:val="00BA458E"/>
    <w:rsid w:val="00BA48DC"/>
    <w:rsid w:val="00BA49CF"/>
    <w:rsid w:val="00BA5648"/>
    <w:rsid w:val="00BA5976"/>
    <w:rsid w:val="00BA62D9"/>
    <w:rsid w:val="00BA71B5"/>
    <w:rsid w:val="00BA79AE"/>
    <w:rsid w:val="00BB009E"/>
    <w:rsid w:val="00BB0776"/>
    <w:rsid w:val="00BB1997"/>
    <w:rsid w:val="00BB2EB9"/>
    <w:rsid w:val="00BB2FF2"/>
    <w:rsid w:val="00BB3002"/>
    <w:rsid w:val="00BB3E4E"/>
    <w:rsid w:val="00BB46A9"/>
    <w:rsid w:val="00BB500A"/>
    <w:rsid w:val="00BB7E2D"/>
    <w:rsid w:val="00BC06C2"/>
    <w:rsid w:val="00BC0AB1"/>
    <w:rsid w:val="00BC0BD1"/>
    <w:rsid w:val="00BC0D07"/>
    <w:rsid w:val="00BC0D5A"/>
    <w:rsid w:val="00BC0EDF"/>
    <w:rsid w:val="00BC1439"/>
    <w:rsid w:val="00BC1854"/>
    <w:rsid w:val="00BC268D"/>
    <w:rsid w:val="00BC2E13"/>
    <w:rsid w:val="00BC483B"/>
    <w:rsid w:val="00BC4AD3"/>
    <w:rsid w:val="00BC4BC0"/>
    <w:rsid w:val="00BC513C"/>
    <w:rsid w:val="00BC543A"/>
    <w:rsid w:val="00BC54CF"/>
    <w:rsid w:val="00BC55A4"/>
    <w:rsid w:val="00BC56B7"/>
    <w:rsid w:val="00BC584D"/>
    <w:rsid w:val="00BC590C"/>
    <w:rsid w:val="00BC5D14"/>
    <w:rsid w:val="00BC5E02"/>
    <w:rsid w:val="00BC67AD"/>
    <w:rsid w:val="00BC6911"/>
    <w:rsid w:val="00BC6F8F"/>
    <w:rsid w:val="00BD0E34"/>
    <w:rsid w:val="00BD1F33"/>
    <w:rsid w:val="00BD1FEF"/>
    <w:rsid w:val="00BD2076"/>
    <w:rsid w:val="00BD26E9"/>
    <w:rsid w:val="00BD38FF"/>
    <w:rsid w:val="00BD49A1"/>
    <w:rsid w:val="00BD5152"/>
    <w:rsid w:val="00BD545A"/>
    <w:rsid w:val="00BD612C"/>
    <w:rsid w:val="00BD68B7"/>
    <w:rsid w:val="00BD6F0F"/>
    <w:rsid w:val="00BD7A96"/>
    <w:rsid w:val="00BD7BB5"/>
    <w:rsid w:val="00BE0890"/>
    <w:rsid w:val="00BE0E29"/>
    <w:rsid w:val="00BE1323"/>
    <w:rsid w:val="00BE14FE"/>
    <w:rsid w:val="00BE1638"/>
    <w:rsid w:val="00BE1B0E"/>
    <w:rsid w:val="00BE1C41"/>
    <w:rsid w:val="00BE23E0"/>
    <w:rsid w:val="00BE2409"/>
    <w:rsid w:val="00BE2452"/>
    <w:rsid w:val="00BE2EC0"/>
    <w:rsid w:val="00BE4864"/>
    <w:rsid w:val="00BE5FC7"/>
    <w:rsid w:val="00BE6098"/>
    <w:rsid w:val="00BE60B4"/>
    <w:rsid w:val="00BE6CAE"/>
    <w:rsid w:val="00BE721E"/>
    <w:rsid w:val="00BE72DF"/>
    <w:rsid w:val="00BE7E5D"/>
    <w:rsid w:val="00BF000C"/>
    <w:rsid w:val="00BF0792"/>
    <w:rsid w:val="00BF0E8A"/>
    <w:rsid w:val="00BF1367"/>
    <w:rsid w:val="00BF2026"/>
    <w:rsid w:val="00BF23B7"/>
    <w:rsid w:val="00BF2F80"/>
    <w:rsid w:val="00BF35FB"/>
    <w:rsid w:val="00BF3890"/>
    <w:rsid w:val="00BF3DAC"/>
    <w:rsid w:val="00BF49FA"/>
    <w:rsid w:val="00BF5324"/>
    <w:rsid w:val="00BF602C"/>
    <w:rsid w:val="00BF698A"/>
    <w:rsid w:val="00BF7440"/>
    <w:rsid w:val="00BF79BC"/>
    <w:rsid w:val="00C00181"/>
    <w:rsid w:val="00C00EDC"/>
    <w:rsid w:val="00C01308"/>
    <w:rsid w:val="00C014F7"/>
    <w:rsid w:val="00C016FA"/>
    <w:rsid w:val="00C01770"/>
    <w:rsid w:val="00C01DFF"/>
    <w:rsid w:val="00C0278A"/>
    <w:rsid w:val="00C0297E"/>
    <w:rsid w:val="00C02B07"/>
    <w:rsid w:val="00C02B91"/>
    <w:rsid w:val="00C02BC7"/>
    <w:rsid w:val="00C0306D"/>
    <w:rsid w:val="00C031A9"/>
    <w:rsid w:val="00C03BCD"/>
    <w:rsid w:val="00C03C45"/>
    <w:rsid w:val="00C04F0A"/>
    <w:rsid w:val="00C06425"/>
    <w:rsid w:val="00C074A6"/>
    <w:rsid w:val="00C077BC"/>
    <w:rsid w:val="00C10526"/>
    <w:rsid w:val="00C10D51"/>
    <w:rsid w:val="00C118E1"/>
    <w:rsid w:val="00C11E15"/>
    <w:rsid w:val="00C12150"/>
    <w:rsid w:val="00C12471"/>
    <w:rsid w:val="00C12945"/>
    <w:rsid w:val="00C138C3"/>
    <w:rsid w:val="00C1406F"/>
    <w:rsid w:val="00C14272"/>
    <w:rsid w:val="00C14A20"/>
    <w:rsid w:val="00C14A3A"/>
    <w:rsid w:val="00C14BD1"/>
    <w:rsid w:val="00C14D4E"/>
    <w:rsid w:val="00C151FB"/>
    <w:rsid w:val="00C15705"/>
    <w:rsid w:val="00C157A3"/>
    <w:rsid w:val="00C15ED0"/>
    <w:rsid w:val="00C16405"/>
    <w:rsid w:val="00C16CE1"/>
    <w:rsid w:val="00C20194"/>
    <w:rsid w:val="00C2020D"/>
    <w:rsid w:val="00C20ADA"/>
    <w:rsid w:val="00C20C72"/>
    <w:rsid w:val="00C21832"/>
    <w:rsid w:val="00C219B7"/>
    <w:rsid w:val="00C21BC6"/>
    <w:rsid w:val="00C23B36"/>
    <w:rsid w:val="00C240FC"/>
    <w:rsid w:val="00C24177"/>
    <w:rsid w:val="00C242E0"/>
    <w:rsid w:val="00C24941"/>
    <w:rsid w:val="00C25C71"/>
    <w:rsid w:val="00C25EAF"/>
    <w:rsid w:val="00C279FB"/>
    <w:rsid w:val="00C27C06"/>
    <w:rsid w:val="00C30E6F"/>
    <w:rsid w:val="00C312E7"/>
    <w:rsid w:val="00C319D0"/>
    <w:rsid w:val="00C31C73"/>
    <w:rsid w:val="00C3224D"/>
    <w:rsid w:val="00C32F8B"/>
    <w:rsid w:val="00C33D6A"/>
    <w:rsid w:val="00C350AC"/>
    <w:rsid w:val="00C3511B"/>
    <w:rsid w:val="00C3556E"/>
    <w:rsid w:val="00C3656F"/>
    <w:rsid w:val="00C370E3"/>
    <w:rsid w:val="00C37724"/>
    <w:rsid w:val="00C37834"/>
    <w:rsid w:val="00C37F43"/>
    <w:rsid w:val="00C41395"/>
    <w:rsid w:val="00C41EF5"/>
    <w:rsid w:val="00C42276"/>
    <w:rsid w:val="00C42908"/>
    <w:rsid w:val="00C42BDE"/>
    <w:rsid w:val="00C434CC"/>
    <w:rsid w:val="00C43872"/>
    <w:rsid w:val="00C43D77"/>
    <w:rsid w:val="00C44123"/>
    <w:rsid w:val="00C44552"/>
    <w:rsid w:val="00C4479B"/>
    <w:rsid w:val="00C449E4"/>
    <w:rsid w:val="00C44F01"/>
    <w:rsid w:val="00C45326"/>
    <w:rsid w:val="00C45390"/>
    <w:rsid w:val="00C45536"/>
    <w:rsid w:val="00C46430"/>
    <w:rsid w:val="00C47319"/>
    <w:rsid w:val="00C47EEC"/>
    <w:rsid w:val="00C5048C"/>
    <w:rsid w:val="00C506A8"/>
    <w:rsid w:val="00C515E2"/>
    <w:rsid w:val="00C5186F"/>
    <w:rsid w:val="00C53098"/>
    <w:rsid w:val="00C5408D"/>
    <w:rsid w:val="00C5416A"/>
    <w:rsid w:val="00C54518"/>
    <w:rsid w:val="00C54B83"/>
    <w:rsid w:val="00C54D85"/>
    <w:rsid w:val="00C54EA1"/>
    <w:rsid w:val="00C553DD"/>
    <w:rsid w:val="00C55554"/>
    <w:rsid w:val="00C55787"/>
    <w:rsid w:val="00C55C0D"/>
    <w:rsid w:val="00C567DD"/>
    <w:rsid w:val="00C56AE7"/>
    <w:rsid w:val="00C56B39"/>
    <w:rsid w:val="00C56B66"/>
    <w:rsid w:val="00C56E19"/>
    <w:rsid w:val="00C6067B"/>
    <w:rsid w:val="00C61A8F"/>
    <w:rsid w:val="00C61FF7"/>
    <w:rsid w:val="00C62888"/>
    <w:rsid w:val="00C62D5A"/>
    <w:rsid w:val="00C642E6"/>
    <w:rsid w:val="00C64EA1"/>
    <w:rsid w:val="00C65677"/>
    <w:rsid w:val="00C660BC"/>
    <w:rsid w:val="00C66545"/>
    <w:rsid w:val="00C66982"/>
    <w:rsid w:val="00C66F46"/>
    <w:rsid w:val="00C671F7"/>
    <w:rsid w:val="00C6758A"/>
    <w:rsid w:val="00C67591"/>
    <w:rsid w:val="00C6760E"/>
    <w:rsid w:val="00C6774F"/>
    <w:rsid w:val="00C67BE4"/>
    <w:rsid w:val="00C70340"/>
    <w:rsid w:val="00C708F0"/>
    <w:rsid w:val="00C70B50"/>
    <w:rsid w:val="00C70C02"/>
    <w:rsid w:val="00C70D71"/>
    <w:rsid w:val="00C70FC7"/>
    <w:rsid w:val="00C71B42"/>
    <w:rsid w:val="00C728B2"/>
    <w:rsid w:val="00C74003"/>
    <w:rsid w:val="00C74FCE"/>
    <w:rsid w:val="00C75284"/>
    <w:rsid w:val="00C75D19"/>
    <w:rsid w:val="00C763CE"/>
    <w:rsid w:val="00C76B58"/>
    <w:rsid w:val="00C77278"/>
    <w:rsid w:val="00C77D44"/>
    <w:rsid w:val="00C77F0C"/>
    <w:rsid w:val="00C805A1"/>
    <w:rsid w:val="00C809A3"/>
    <w:rsid w:val="00C81754"/>
    <w:rsid w:val="00C8246A"/>
    <w:rsid w:val="00C82E00"/>
    <w:rsid w:val="00C840B4"/>
    <w:rsid w:val="00C84DF3"/>
    <w:rsid w:val="00C865D3"/>
    <w:rsid w:val="00C86C94"/>
    <w:rsid w:val="00C86D8A"/>
    <w:rsid w:val="00C8738D"/>
    <w:rsid w:val="00C9066C"/>
    <w:rsid w:val="00C90D95"/>
    <w:rsid w:val="00C91517"/>
    <w:rsid w:val="00C91C83"/>
    <w:rsid w:val="00C92DE2"/>
    <w:rsid w:val="00C92E77"/>
    <w:rsid w:val="00C92E8B"/>
    <w:rsid w:val="00C930BA"/>
    <w:rsid w:val="00C93160"/>
    <w:rsid w:val="00C93521"/>
    <w:rsid w:val="00C93F6D"/>
    <w:rsid w:val="00C93FD2"/>
    <w:rsid w:val="00C944CD"/>
    <w:rsid w:val="00C95193"/>
    <w:rsid w:val="00C952EE"/>
    <w:rsid w:val="00C954C8"/>
    <w:rsid w:val="00C956C4"/>
    <w:rsid w:val="00C95767"/>
    <w:rsid w:val="00C95779"/>
    <w:rsid w:val="00C962DD"/>
    <w:rsid w:val="00C965FE"/>
    <w:rsid w:val="00C96A22"/>
    <w:rsid w:val="00C97998"/>
    <w:rsid w:val="00CA0565"/>
    <w:rsid w:val="00CA0594"/>
    <w:rsid w:val="00CA0E21"/>
    <w:rsid w:val="00CA13AA"/>
    <w:rsid w:val="00CA2479"/>
    <w:rsid w:val="00CA2592"/>
    <w:rsid w:val="00CA337B"/>
    <w:rsid w:val="00CA40EA"/>
    <w:rsid w:val="00CA41E6"/>
    <w:rsid w:val="00CA4740"/>
    <w:rsid w:val="00CA5272"/>
    <w:rsid w:val="00CA52DC"/>
    <w:rsid w:val="00CA5B4A"/>
    <w:rsid w:val="00CA5D55"/>
    <w:rsid w:val="00CA632B"/>
    <w:rsid w:val="00CA6A01"/>
    <w:rsid w:val="00CA79B3"/>
    <w:rsid w:val="00CB0429"/>
    <w:rsid w:val="00CB0641"/>
    <w:rsid w:val="00CB1CA5"/>
    <w:rsid w:val="00CB1F53"/>
    <w:rsid w:val="00CB2084"/>
    <w:rsid w:val="00CB2758"/>
    <w:rsid w:val="00CB30B0"/>
    <w:rsid w:val="00CB325F"/>
    <w:rsid w:val="00CB3AB6"/>
    <w:rsid w:val="00CB418A"/>
    <w:rsid w:val="00CB42FD"/>
    <w:rsid w:val="00CB4419"/>
    <w:rsid w:val="00CB4C50"/>
    <w:rsid w:val="00CB4FC6"/>
    <w:rsid w:val="00CB51DD"/>
    <w:rsid w:val="00CB5C9D"/>
    <w:rsid w:val="00CB600D"/>
    <w:rsid w:val="00CB6CA9"/>
    <w:rsid w:val="00CB7204"/>
    <w:rsid w:val="00CC03B2"/>
    <w:rsid w:val="00CC0AE4"/>
    <w:rsid w:val="00CC14AD"/>
    <w:rsid w:val="00CC1F67"/>
    <w:rsid w:val="00CC2922"/>
    <w:rsid w:val="00CC2D65"/>
    <w:rsid w:val="00CC322B"/>
    <w:rsid w:val="00CC39FD"/>
    <w:rsid w:val="00CC490C"/>
    <w:rsid w:val="00CC4AC3"/>
    <w:rsid w:val="00CC4DD4"/>
    <w:rsid w:val="00CC4E99"/>
    <w:rsid w:val="00CC55FC"/>
    <w:rsid w:val="00CC5A8E"/>
    <w:rsid w:val="00CC5B4C"/>
    <w:rsid w:val="00CC6078"/>
    <w:rsid w:val="00CC60F1"/>
    <w:rsid w:val="00CC64FF"/>
    <w:rsid w:val="00CC67A5"/>
    <w:rsid w:val="00CC6D00"/>
    <w:rsid w:val="00CC703E"/>
    <w:rsid w:val="00CC7403"/>
    <w:rsid w:val="00CC79C1"/>
    <w:rsid w:val="00CD014D"/>
    <w:rsid w:val="00CD098D"/>
    <w:rsid w:val="00CD0A61"/>
    <w:rsid w:val="00CD0ECA"/>
    <w:rsid w:val="00CD19AA"/>
    <w:rsid w:val="00CD208D"/>
    <w:rsid w:val="00CD2A97"/>
    <w:rsid w:val="00CD428E"/>
    <w:rsid w:val="00CD5262"/>
    <w:rsid w:val="00CD54AE"/>
    <w:rsid w:val="00CD5554"/>
    <w:rsid w:val="00CD56BA"/>
    <w:rsid w:val="00CD56E3"/>
    <w:rsid w:val="00CD61B5"/>
    <w:rsid w:val="00CD693D"/>
    <w:rsid w:val="00CD7289"/>
    <w:rsid w:val="00CD79D1"/>
    <w:rsid w:val="00CD79D4"/>
    <w:rsid w:val="00CE0138"/>
    <w:rsid w:val="00CE034F"/>
    <w:rsid w:val="00CE07A8"/>
    <w:rsid w:val="00CE1001"/>
    <w:rsid w:val="00CE1A9A"/>
    <w:rsid w:val="00CE20E1"/>
    <w:rsid w:val="00CE2331"/>
    <w:rsid w:val="00CE247E"/>
    <w:rsid w:val="00CE2655"/>
    <w:rsid w:val="00CE2EFE"/>
    <w:rsid w:val="00CE3B2E"/>
    <w:rsid w:val="00CE42DF"/>
    <w:rsid w:val="00CE43D9"/>
    <w:rsid w:val="00CE47D4"/>
    <w:rsid w:val="00CE5028"/>
    <w:rsid w:val="00CE5393"/>
    <w:rsid w:val="00CE57EB"/>
    <w:rsid w:val="00CE583A"/>
    <w:rsid w:val="00CE5BA4"/>
    <w:rsid w:val="00CE61D0"/>
    <w:rsid w:val="00CE6222"/>
    <w:rsid w:val="00CE6CE9"/>
    <w:rsid w:val="00CE7658"/>
    <w:rsid w:val="00CE7732"/>
    <w:rsid w:val="00CE7A9D"/>
    <w:rsid w:val="00CE7C66"/>
    <w:rsid w:val="00CF00E6"/>
    <w:rsid w:val="00CF030E"/>
    <w:rsid w:val="00CF03E7"/>
    <w:rsid w:val="00CF089A"/>
    <w:rsid w:val="00CF16CB"/>
    <w:rsid w:val="00CF1D80"/>
    <w:rsid w:val="00CF261F"/>
    <w:rsid w:val="00CF2BBC"/>
    <w:rsid w:val="00CF2C04"/>
    <w:rsid w:val="00CF2F8F"/>
    <w:rsid w:val="00CF3397"/>
    <w:rsid w:val="00CF4FBF"/>
    <w:rsid w:val="00CF6BBE"/>
    <w:rsid w:val="00CF7055"/>
    <w:rsid w:val="00D0113E"/>
    <w:rsid w:val="00D017D1"/>
    <w:rsid w:val="00D0294A"/>
    <w:rsid w:val="00D02B54"/>
    <w:rsid w:val="00D038EA"/>
    <w:rsid w:val="00D040D2"/>
    <w:rsid w:val="00D0508D"/>
    <w:rsid w:val="00D055E5"/>
    <w:rsid w:val="00D05788"/>
    <w:rsid w:val="00D05A3A"/>
    <w:rsid w:val="00D06A29"/>
    <w:rsid w:val="00D06CF7"/>
    <w:rsid w:val="00D0704D"/>
    <w:rsid w:val="00D07DC7"/>
    <w:rsid w:val="00D10529"/>
    <w:rsid w:val="00D108E2"/>
    <w:rsid w:val="00D10EF0"/>
    <w:rsid w:val="00D11811"/>
    <w:rsid w:val="00D11965"/>
    <w:rsid w:val="00D11C37"/>
    <w:rsid w:val="00D11CA6"/>
    <w:rsid w:val="00D11CE2"/>
    <w:rsid w:val="00D12DDD"/>
    <w:rsid w:val="00D13255"/>
    <w:rsid w:val="00D13262"/>
    <w:rsid w:val="00D13726"/>
    <w:rsid w:val="00D13ACB"/>
    <w:rsid w:val="00D13B17"/>
    <w:rsid w:val="00D13E7C"/>
    <w:rsid w:val="00D142CF"/>
    <w:rsid w:val="00D143FF"/>
    <w:rsid w:val="00D14582"/>
    <w:rsid w:val="00D14DD1"/>
    <w:rsid w:val="00D16B05"/>
    <w:rsid w:val="00D1707B"/>
    <w:rsid w:val="00D17147"/>
    <w:rsid w:val="00D1729D"/>
    <w:rsid w:val="00D17736"/>
    <w:rsid w:val="00D17BE2"/>
    <w:rsid w:val="00D2084A"/>
    <w:rsid w:val="00D20AA2"/>
    <w:rsid w:val="00D20C35"/>
    <w:rsid w:val="00D20D5A"/>
    <w:rsid w:val="00D217AE"/>
    <w:rsid w:val="00D21874"/>
    <w:rsid w:val="00D2201C"/>
    <w:rsid w:val="00D2250D"/>
    <w:rsid w:val="00D23E45"/>
    <w:rsid w:val="00D24D0D"/>
    <w:rsid w:val="00D2605F"/>
    <w:rsid w:val="00D26172"/>
    <w:rsid w:val="00D279FA"/>
    <w:rsid w:val="00D27CFC"/>
    <w:rsid w:val="00D30A0C"/>
    <w:rsid w:val="00D312F4"/>
    <w:rsid w:val="00D31407"/>
    <w:rsid w:val="00D314E7"/>
    <w:rsid w:val="00D3296A"/>
    <w:rsid w:val="00D32E0E"/>
    <w:rsid w:val="00D331D9"/>
    <w:rsid w:val="00D33214"/>
    <w:rsid w:val="00D33228"/>
    <w:rsid w:val="00D3406E"/>
    <w:rsid w:val="00D340D8"/>
    <w:rsid w:val="00D3426A"/>
    <w:rsid w:val="00D34B96"/>
    <w:rsid w:val="00D34D65"/>
    <w:rsid w:val="00D34EA9"/>
    <w:rsid w:val="00D35100"/>
    <w:rsid w:val="00D3598D"/>
    <w:rsid w:val="00D35F7C"/>
    <w:rsid w:val="00D36A2E"/>
    <w:rsid w:val="00D36AF4"/>
    <w:rsid w:val="00D400C3"/>
    <w:rsid w:val="00D401C7"/>
    <w:rsid w:val="00D424FC"/>
    <w:rsid w:val="00D43C45"/>
    <w:rsid w:val="00D44029"/>
    <w:rsid w:val="00D44AD9"/>
    <w:rsid w:val="00D452F8"/>
    <w:rsid w:val="00D45831"/>
    <w:rsid w:val="00D51281"/>
    <w:rsid w:val="00D518EA"/>
    <w:rsid w:val="00D5218E"/>
    <w:rsid w:val="00D52471"/>
    <w:rsid w:val="00D52AFC"/>
    <w:rsid w:val="00D53E1E"/>
    <w:rsid w:val="00D5423C"/>
    <w:rsid w:val="00D5425D"/>
    <w:rsid w:val="00D56272"/>
    <w:rsid w:val="00D564FD"/>
    <w:rsid w:val="00D566CD"/>
    <w:rsid w:val="00D56A79"/>
    <w:rsid w:val="00D5722F"/>
    <w:rsid w:val="00D6035E"/>
    <w:rsid w:val="00D6137F"/>
    <w:rsid w:val="00D6147B"/>
    <w:rsid w:val="00D61794"/>
    <w:rsid w:val="00D62105"/>
    <w:rsid w:val="00D636C5"/>
    <w:rsid w:val="00D64015"/>
    <w:rsid w:val="00D64926"/>
    <w:rsid w:val="00D64DF7"/>
    <w:rsid w:val="00D650BE"/>
    <w:rsid w:val="00D653C7"/>
    <w:rsid w:val="00D65577"/>
    <w:rsid w:val="00D65A5F"/>
    <w:rsid w:val="00D65C73"/>
    <w:rsid w:val="00D66EEF"/>
    <w:rsid w:val="00D679AF"/>
    <w:rsid w:val="00D70037"/>
    <w:rsid w:val="00D70916"/>
    <w:rsid w:val="00D70A68"/>
    <w:rsid w:val="00D70EF5"/>
    <w:rsid w:val="00D70F00"/>
    <w:rsid w:val="00D71F7D"/>
    <w:rsid w:val="00D73137"/>
    <w:rsid w:val="00D73615"/>
    <w:rsid w:val="00D736EA"/>
    <w:rsid w:val="00D75518"/>
    <w:rsid w:val="00D76493"/>
    <w:rsid w:val="00D764A6"/>
    <w:rsid w:val="00D768FB"/>
    <w:rsid w:val="00D76AD5"/>
    <w:rsid w:val="00D77271"/>
    <w:rsid w:val="00D7769E"/>
    <w:rsid w:val="00D80177"/>
    <w:rsid w:val="00D806E6"/>
    <w:rsid w:val="00D80A31"/>
    <w:rsid w:val="00D80A55"/>
    <w:rsid w:val="00D80AEA"/>
    <w:rsid w:val="00D81052"/>
    <w:rsid w:val="00D813FA"/>
    <w:rsid w:val="00D81551"/>
    <w:rsid w:val="00D81618"/>
    <w:rsid w:val="00D8174F"/>
    <w:rsid w:val="00D81F84"/>
    <w:rsid w:val="00D82577"/>
    <w:rsid w:val="00D8257B"/>
    <w:rsid w:val="00D82754"/>
    <w:rsid w:val="00D82941"/>
    <w:rsid w:val="00D82CA8"/>
    <w:rsid w:val="00D8352A"/>
    <w:rsid w:val="00D83B31"/>
    <w:rsid w:val="00D83F2A"/>
    <w:rsid w:val="00D840AF"/>
    <w:rsid w:val="00D8420C"/>
    <w:rsid w:val="00D84689"/>
    <w:rsid w:val="00D84AC6"/>
    <w:rsid w:val="00D8553E"/>
    <w:rsid w:val="00D85ADF"/>
    <w:rsid w:val="00D85FF6"/>
    <w:rsid w:val="00D87669"/>
    <w:rsid w:val="00D8784B"/>
    <w:rsid w:val="00D87AF9"/>
    <w:rsid w:val="00D90032"/>
    <w:rsid w:val="00D90649"/>
    <w:rsid w:val="00D90DF5"/>
    <w:rsid w:val="00D915D5"/>
    <w:rsid w:val="00D92292"/>
    <w:rsid w:val="00D924E9"/>
    <w:rsid w:val="00D92BC9"/>
    <w:rsid w:val="00D92C65"/>
    <w:rsid w:val="00D92CF2"/>
    <w:rsid w:val="00D93850"/>
    <w:rsid w:val="00D946E7"/>
    <w:rsid w:val="00D94838"/>
    <w:rsid w:val="00D95966"/>
    <w:rsid w:val="00D9643C"/>
    <w:rsid w:val="00D96500"/>
    <w:rsid w:val="00DA0D7D"/>
    <w:rsid w:val="00DA0DE1"/>
    <w:rsid w:val="00DA136B"/>
    <w:rsid w:val="00DA17D5"/>
    <w:rsid w:val="00DA24AC"/>
    <w:rsid w:val="00DA28DF"/>
    <w:rsid w:val="00DA372D"/>
    <w:rsid w:val="00DA4B22"/>
    <w:rsid w:val="00DA4B68"/>
    <w:rsid w:val="00DA56B9"/>
    <w:rsid w:val="00DA707E"/>
    <w:rsid w:val="00DA7FD6"/>
    <w:rsid w:val="00DB13F2"/>
    <w:rsid w:val="00DB1EDB"/>
    <w:rsid w:val="00DB388B"/>
    <w:rsid w:val="00DB4746"/>
    <w:rsid w:val="00DB4C56"/>
    <w:rsid w:val="00DB4D3C"/>
    <w:rsid w:val="00DB5097"/>
    <w:rsid w:val="00DB56AC"/>
    <w:rsid w:val="00DB65A3"/>
    <w:rsid w:val="00DB6B15"/>
    <w:rsid w:val="00DB6E42"/>
    <w:rsid w:val="00DB6FC8"/>
    <w:rsid w:val="00DB729F"/>
    <w:rsid w:val="00DB73DD"/>
    <w:rsid w:val="00DB762B"/>
    <w:rsid w:val="00DB78DE"/>
    <w:rsid w:val="00DC021B"/>
    <w:rsid w:val="00DC0553"/>
    <w:rsid w:val="00DC1E99"/>
    <w:rsid w:val="00DC2084"/>
    <w:rsid w:val="00DC2183"/>
    <w:rsid w:val="00DC37BE"/>
    <w:rsid w:val="00DC3B5C"/>
    <w:rsid w:val="00DC4DF2"/>
    <w:rsid w:val="00DC4E6A"/>
    <w:rsid w:val="00DC514A"/>
    <w:rsid w:val="00DC5CE3"/>
    <w:rsid w:val="00DC6195"/>
    <w:rsid w:val="00DC650A"/>
    <w:rsid w:val="00DC7B62"/>
    <w:rsid w:val="00DC7BEB"/>
    <w:rsid w:val="00DC7CA7"/>
    <w:rsid w:val="00DD06D1"/>
    <w:rsid w:val="00DD0C5E"/>
    <w:rsid w:val="00DD12DF"/>
    <w:rsid w:val="00DD1763"/>
    <w:rsid w:val="00DD2AA1"/>
    <w:rsid w:val="00DD2FEA"/>
    <w:rsid w:val="00DD479E"/>
    <w:rsid w:val="00DD4D23"/>
    <w:rsid w:val="00DD5DE1"/>
    <w:rsid w:val="00DD5E1C"/>
    <w:rsid w:val="00DD6863"/>
    <w:rsid w:val="00DD757F"/>
    <w:rsid w:val="00DD7961"/>
    <w:rsid w:val="00DE03C1"/>
    <w:rsid w:val="00DE04F2"/>
    <w:rsid w:val="00DE052D"/>
    <w:rsid w:val="00DE0A7E"/>
    <w:rsid w:val="00DE1182"/>
    <w:rsid w:val="00DE13F1"/>
    <w:rsid w:val="00DE1F7A"/>
    <w:rsid w:val="00DE3735"/>
    <w:rsid w:val="00DE3F44"/>
    <w:rsid w:val="00DE4C11"/>
    <w:rsid w:val="00DE542E"/>
    <w:rsid w:val="00DE5662"/>
    <w:rsid w:val="00DE585D"/>
    <w:rsid w:val="00DE5899"/>
    <w:rsid w:val="00DE5C08"/>
    <w:rsid w:val="00DE5C23"/>
    <w:rsid w:val="00DE5C2C"/>
    <w:rsid w:val="00DE64A0"/>
    <w:rsid w:val="00DE64C2"/>
    <w:rsid w:val="00DE6B92"/>
    <w:rsid w:val="00DE6D75"/>
    <w:rsid w:val="00DE6E96"/>
    <w:rsid w:val="00DE7400"/>
    <w:rsid w:val="00DF0650"/>
    <w:rsid w:val="00DF19C8"/>
    <w:rsid w:val="00DF216C"/>
    <w:rsid w:val="00DF24A7"/>
    <w:rsid w:val="00DF24FC"/>
    <w:rsid w:val="00DF2CF6"/>
    <w:rsid w:val="00DF3552"/>
    <w:rsid w:val="00DF363D"/>
    <w:rsid w:val="00DF3B7C"/>
    <w:rsid w:val="00DF424B"/>
    <w:rsid w:val="00DF4AFE"/>
    <w:rsid w:val="00DF5487"/>
    <w:rsid w:val="00DF619C"/>
    <w:rsid w:val="00E00385"/>
    <w:rsid w:val="00E0061A"/>
    <w:rsid w:val="00E012C5"/>
    <w:rsid w:val="00E01D3C"/>
    <w:rsid w:val="00E02720"/>
    <w:rsid w:val="00E0299B"/>
    <w:rsid w:val="00E02BCC"/>
    <w:rsid w:val="00E02DA2"/>
    <w:rsid w:val="00E03067"/>
    <w:rsid w:val="00E03A81"/>
    <w:rsid w:val="00E041AA"/>
    <w:rsid w:val="00E0427C"/>
    <w:rsid w:val="00E04A63"/>
    <w:rsid w:val="00E05C32"/>
    <w:rsid w:val="00E05D92"/>
    <w:rsid w:val="00E06790"/>
    <w:rsid w:val="00E1029D"/>
    <w:rsid w:val="00E10867"/>
    <w:rsid w:val="00E10AE6"/>
    <w:rsid w:val="00E11499"/>
    <w:rsid w:val="00E11669"/>
    <w:rsid w:val="00E11863"/>
    <w:rsid w:val="00E11BF7"/>
    <w:rsid w:val="00E11D0B"/>
    <w:rsid w:val="00E120E6"/>
    <w:rsid w:val="00E127A2"/>
    <w:rsid w:val="00E12BF1"/>
    <w:rsid w:val="00E14945"/>
    <w:rsid w:val="00E15308"/>
    <w:rsid w:val="00E15326"/>
    <w:rsid w:val="00E15511"/>
    <w:rsid w:val="00E1552E"/>
    <w:rsid w:val="00E15696"/>
    <w:rsid w:val="00E15A87"/>
    <w:rsid w:val="00E172EF"/>
    <w:rsid w:val="00E1742A"/>
    <w:rsid w:val="00E17819"/>
    <w:rsid w:val="00E17A70"/>
    <w:rsid w:val="00E17E71"/>
    <w:rsid w:val="00E20300"/>
    <w:rsid w:val="00E20F6C"/>
    <w:rsid w:val="00E20FDA"/>
    <w:rsid w:val="00E22000"/>
    <w:rsid w:val="00E22CC1"/>
    <w:rsid w:val="00E22DA4"/>
    <w:rsid w:val="00E22F9D"/>
    <w:rsid w:val="00E239BC"/>
    <w:rsid w:val="00E23A32"/>
    <w:rsid w:val="00E247EF"/>
    <w:rsid w:val="00E254DF"/>
    <w:rsid w:val="00E25AE6"/>
    <w:rsid w:val="00E25FC6"/>
    <w:rsid w:val="00E302C9"/>
    <w:rsid w:val="00E30491"/>
    <w:rsid w:val="00E31B88"/>
    <w:rsid w:val="00E31F58"/>
    <w:rsid w:val="00E31FD3"/>
    <w:rsid w:val="00E325B7"/>
    <w:rsid w:val="00E3341F"/>
    <w:rsid w:val="00E33B57"/>
    <w:rsid w:val="00E3490F"/>
    <w:rsid w:val="00E34E8E"/>
    <w:rsid w:val="00E35012"/>
    <w:rsid w:val="00E3525A"/>
    <w:rsid w:val="00E352A3"/>
    <w:rsid w:val="00E35682"/>
    <w:rsid w:val="00E35BF5"/>
    <w:rsid w:val="00E35F08"/>
    <w:rsid w:val="00E3648D"/>
    <w:rsid w:val="00E36669"/>
    <w:rsid w:val="00E4017A"/>
    <w:rsid w:val="00E40AC6"/>
    <w:rsid w:val="00E40CBB"/>
    <w:rsid w:val="00E41BDC"/>
    <w:rsid w:val="00E41F04"/>
    <w:rsid w:val="00E4211B"/>
    <w:rsid w:val="00E42B1E"/>
    <w:rsid w:val="00E430D2"/>
    <w:rsid w:val="00E43465"/>
    <w:rsid w:val="00E43BB9"/>
    <w:rsid w:val="00E44202"/>
    <w:rsid w:val="00E444B9"/>
    <w:rsid w:val="00E44652"/>
    <w:rsid w:val="00E44AEF"/>
    <w:rsid w:val="00E44C26"/>
    <w:rsid w:val="00E4627C"/>
    <w:rsid w:val="00E46654"/>
    <w:rsid w:val="00E46776"/>
    <w:rsid w:val="00E474D0"/>
    <w:rsid w:val="00E47C5D"/>
    <w:rsid w:val="00E47E65"/>
    <w:rsid w:val="00E50938"/>
    <w:rsid w:val="00E50E66"/>
    <w:rsid w:val="00E51453"/>
    <w:rsid w:val="00E51A3A"/>
    <w:rsid w:val="00E52A43"/>
    <w:rsid w:val="00E53569"/>
    <w:rsid w:val="00E53B15"/>
    <w:rsid w:val="00E53CF5"/>
    <w:rsid w:val="00E53E6D"/>
    <w:rsid w:val="00E54068"/>
    <w:rsid w:val="00E54507"/>
    <w:rsid w:val="00E547AC"/>
    <w:rsid w:val="00E54DCC"/>
    <w:rsid w:val="00E5551A"/>
    <w:rsid w:val="00E5682A"/>
    <w:rsid w:val="00E575C2"/>
    <w:rsid w:val="00E57A16"/>
    <w:rsid w:val="00E57FD9"/>
    <w:rsid w:val="00E60873"/>
    <w:rsid w:val="00E60F62"/>
    <w:rsid w:val="00E61673"/>
    <w:rsid w:val="00E618F1"/>
    <w:rsid w:val="00E61E4D"/>
    <w:rsid w:val="00E6281C"/>
    <w:rsid w:val="00E63621"/>
    <w:rsid w:val="00E63B9C"/>
    <w:rsid w:val="00E63D0C"/>
    <w:rsid w:val="00E6416A"/>
    <w:rsid w:val="00E6495B"/>
    <w:rsid w:val="00E65481"/>
    <w:rsid w:val="00E65EE8"/>
    <w:rsid w:val="00E65EF3"/>
    <w:rsid w:val="00E6636C"/>
    <w:rsid w:val="00E70473"/>
    <w:rsid w:val="00E70C89"/>
    <w:rsid w:val="00E7112C"/>
    <w:rsid w:val="00E7143E"/>
    <w:rsid w:val="00E715E6"/>
    <w:rsid w:val="00E720E2"/>
    <w:rsid w:val="00E72C76"/>
    <w:rsid w:val="00E72F43"/>
    <w:rsid w:val="00E7312D"/>
    <w:rsid w:val="00E73ABF"/>
    <w:rsid w:val="00E74006"/>
    <w:rsid w:val="00E76100"/>
    <w:rsid w:val="00E7685F"/>
    <w:rsid w:val="00E76B55"/>
    <w:rsid w:val="00E76E64"/>
    <w:rsid w:val="00E76F28"/>
    <w:rsid w:val="00E774C0"/>
    <w:rsid w:val="00E77A40"/>
    <w:rsid w:val="00E8007A"/>
    <w:rsid w:val="00E80802"/>
    <w:rsid w:val="00E80A09"/>
    <w:rsid w:val="00E8180A"/>
    <w:rsid w:val="00E82AA9"/>
    <w:rsid w:val="00E833EB"/>
    <w:rsid w:val="00E83CA5"/>
    <w:rsid w:val="00E83E8C"/>
    <w:rsid w:val="00E843F1"/>
    <w:rsid w:val="00E84729"/>
    <w:rsid w:val="00E850BF"/>
    <w:rsid w:val="00E858E5"/>
    <w:rsid w:val="00E85CA0"/>
    <w:rsid w:val="00E85DA0"/>
    <w:rsid w:val="00E86658"/>
    <w:rsid w:val="00E86E8E"/>
    <w:rsid w:val="00E874BE"/>
    <w:rsid w:val="00E875F7"/>
    <w:rsid w:val="00E87717"/>
    <w:rsid w:val="00E87B12"/>
    <w:rsid w:val="00E87C30"/>
    <w:rsid w:val="00E9031F"/>
    <w:rsid w:val="00E90FC0"/>
    <w:rsid w:val="00E91502"/>
    <w:rsid w:val="00E91650"/>
    <w:rsid w:val="00E9217B"/>
    <w:rsid w:val="00E92219"/>
    <w:rsid w:val="00E9271A"/>
    <w:rsid w:val="00E93471"/>
    <w:rsid w:val="00E937E2"/>
    <w:rsid w:val="00E9413F"/>
    <w:rsid w:val="00E97658"/>
    <w:rsid w:val="00E976E3"/>
    <w:rsid w:val="00E97AA3"/>
    <w:rsid w:val="00E97B00"/>
    <w:rsid w:val="00EA0467"/>
    <w:rsid w:val="00EA0481"/>
    <w:rsid w:val="00EA0BC6"/>
    <w:rsid w:val="00EA1CAA"/>
    <w:rsid w:val="00EA2BE5"/>
    <w:rsid w:val="00EA2EC2"/>
    <w:rsid w:val="00EA588C"/>
    <w:rsid w:val="00EA5976"/>
    <w:rsid w:val="00EA5EF8"/>
    <w:rsid w:val="00EA6225"/>
    <w:rsid w:val="00EA6AB1"/>
    <w:rsid w:val="00EA70DA"/>
    <w:rsid w:val="00EA759A"/>
    <w:rsid w:val="00EB013C"/>
    <w:rsid w:val="00EB044F"/>
    <w:rsid w:val="00EB0812"/>
    <w:rsid w:val="00EB0AFF"/>
    <w:rsid w:val="00EB0C20"/>
    <w:rsid w:val="00EB1E9D"/>
    <w:rsid w:val="00EB21D4"/>
    <w:rsid w:val="00EB2255"/>
    <w:rsid w:val="00EB22BC"/>
    <w:rsid w:val="00EB2801"/>
    <w:rsid w:val="00EB2958"/>
    <w:rsid w:val="00EB2AB6"/>
    <w:rsid w:val="00EB2F03"/>
    <w:rsid w:val="00EB31E1"/>
    <w:rsid w:val="00EB350E"/>
    <w:rsid w:val="00EB369E"/>
    <w:rsid w:val="00EB38D9"/>
    <w:rsid w:val="00EB40FC"/>
    <w:rsid w:val="00EB4CE5"/>
    <w:rsid w:val="00EB5239"/>
    <w:rsid w:val="00EB5590"/>
    <w:rsid w:val="00EB61D0"/>
    <w:rsid w:val="00EB645A"/>
    <w:rsid w:val="00EC0446"/>
    <w:rsid w:val="00EC17A5"/>
    <w:rsid w:val="00EC2166"/>
    <w:rsid w:val="00EC22F1"/>
    <w:rsid w:val="00EC3517"/>
    <w:rsid w:val="00EC36F9"/>
    <w:rsid w:val="00EC3B2A"/>
    <w:rsid w:val="00EC5F89"/>
    <w:rsid w:val="00EC5FE6"/>
    <w:rsid w:val="00EC6185"/>
    <w:rsid w:val="00EC6620"/>
    <w:rsid w:val="00EC7B2A"/>
    <w:rsid w:val="00ED0E3C"/>
    <w:rsid w:val="00ED19BF"/>
    <w:rsid w:val="00ED1EF4"/>
    <w:rsid w:val="00ED2D7F"/>
    <w:rsid w:val="00ED386C"/>
    <w:rsid w:val="00ED43DF"/>
    <w:rsid w:val="00ED4F96"/>
    <w:rsid w:val="00ED58B2"/>
    <w:rsid w:val="00ED5955"/>
    <w:rsid w:val="00ED5DB1"/>
    <w:rsid w:val="00ED5E66"/>
    <w:rsid w:val="00ED602A"/>
    <w:rsid w:val="00ED665D"/>
    <w:rsid w:val="00ED6788"/>
    <w:rsid w:val="00ED6982"/>
    <w:rsid w:val="00EE1D26"/>
    <w:rsid w:val="00EE211C"/>
    <w:rsid w:val="00EE2906"/>
    <w:rsid w:val="00EE2908"/>
    <w:rsid w:val="00EE3559"/>
    <w:rsid w:val="00EE3AC7"/>
    <w:rsid w:val="00EE5DFF"/>
    <w:rsid w:val="00EE663E"/>
    <w:rsid w:val="00EE6BDD"/>
    <w:rsid w:val="00EE7B8A"/>
    <w:rsid w:val="00EF0464"/>
    <w:rsid w:val="00EF1290"/>
    <w:rsid w:val="00EF2E6F"/>
    <w:rsid w:val="00EF322A"/>
    <w:rsid w:val="00EF34AB"/>
    <w:rsid w:val="00EF4424"/>
    <w:rsid w:val="00EF5391"/>
    <w:rsid w:val="00EF53F6"/>
    <w:rsid w:val="00EF58D5"/>
    <w:rsid w:val="00EF6225"/>
    <w:rsid w:val="00EF68BB"/>
    <w:rsid w:val="00EF7128"/>
    <w:rsid w:val="00EF7289"/>
    <w:rsid w:val="00EF743B"/>
    <w:rsid w:val="00EF7561"/>
    <w:rsid w:val="00EF7DEB"/>
    <w:rsid w:val="00F0087F"/>
    <w:rsid w:val="00F01031"/>
    <w:rsid w:val="00F017F9"/>
    <w:rsid w:val="00F018A3"/>
    <w:rsid w:val="00F01965"/>
    <w:rsid w:val="00F02057"/>
    <w:rsid w:val="00F0216E"/>
    <w:rsid w:val="00F02B2F"/>
    <w:rsid w:val="00F03000"/>
    <w:rsid w:val="00F0307A"/>
    <w:rsid w:val="00F0344F"/>
    <w:rsid w:val="00F03534"/>
    <w:rsid w:val="00F035C5"/>
    <w:rsid w:val="00F03C40"/>
    <w:rsid w:val="00F03C5A"/>
    <w:rsid w:val="00F04807"/>
    <w:rsid w:val="00F04EFE"/>
    <w:rsid w:val="00F050F5"/>
    <w:rsid w:val="00F05221"/>
    <w:rsid w:val="00F05CF2"/>
    <w:rsid w:val="00F06868"/>
    <w:rsid w:val="00F069A5"/>
    <w:rsid w:val="00F069CD"/>
    <w:rsid w:val="00F06EF2"/>
    <w:rsid w:val="00F0745A"/>
    <w:rsid w:val="00F07547"/>
    <w:rsid w:val="00F07679"/>
    <w:rsid w:val="00F07DB4"/>
    <w:rsid w:val="00F1048C"/>
    <w:rsid w:val="00F1191A"/>
    <w:rsid w:val="00F11B36"/>
    <w:rsid w:val="00F12A20"/>
    <w:rsid w:val="00F12C7B"/>
    <w:rsid w:val="00F12D0B"/>
    <w:rsid w:val="00F12D33"/>
    <w:rsid w:val="00F12F5C"/>
    <w:rsid w:val="00F1390A"/>
    <w:rsid w:val="00F13EF7"/>
    <w:rsid w:val="00F145CF"/>
    <w:rsid w:val="00F1483B"/>
    <w:rsid w:val="00F1524B"/>
    <w:rsid w:val="00F15343"/>
    <w:rsid w:val="00F154B4"/>
    <w:rsid w:val="00F1556B"/>
    <w:rsid w:val="00F163E6"/>
    <w:rsid w:val="00F203C6"/>
    <w:rsid w:val="00F203F9"/>
    <w:rsid w:val="00F2060B"/>
    <w:rsid w:val="00F20C70"/>
    <w:rsid w:val="00F21364"/>
    <w:rsid w:val="00F21B08"/>
    <w:rsid w:val="00F226E3"/>
    <w:rsid w:val="00F22753"/>
    <w:rsid w:val="00F23BCB"/>
    <w:rsid w:val="00F23F42"/>
    <w:rsid w:val="00F247DE"/>
    <w:rsid w:val="00F2483F"/>
    <w:rsid w:val="00F25416"/>
    <w:rsid w:val="00F256CF"/>
    <w:rsid w:val="00F25938"/>
    <w:rsid w:val="00F26376"/>
    <w:rsid w:val="00F266DF"/>
    <w:rsid w:val="00F26909"/>
    <w:rsid w:val="00F2731C"/>
    <w:rsid w:val="00F275C4"/>
    <w:rsid w:val="00F27A05"/>
    <w:rsid w:val="00F30193"/>
    <w:rsid w:val="00F301C8"/>
    <w:rsid w:val="00F3035F"/>
    <w:rsid w:val="00F305D0"/>
    <w:rsid w:val="00F3061E"/>
    <w:rsid w:val="00F30752"/>
    <w:rsid w:val="00F3077C"/>
    <w:rsid w:val="00F313F3"/>
    <w:rsid w:val="00F31953"/>
    <w:rsid w:val="00F31D13"/>
    <w:rsid w:val="00F32F43"/>
    <w:rsid w:val="00F339B7"/>
    <w:rsid w:val="00F33F78"/>
    <w:rsid w:val="00F3418C"/>
    <w:rsid w:val="00F34D9B"/>
    <w:rsid w:val="00F35742"/>
    <w:rsid w:val="00F35AD3"/>
    <w:rsid w:val="00F35F5C"/>
    <w:rsid w:val="00F377AE"/>
    <w:rsid w:val="00F37A90"/>
    <w:rsid w:val="00F37DE6"/>
    <w:rsid w:val="00F4056B"/>
    <w:rsid w:val="00F40AE3"/>
    <w:rsid w:val="00F40FEA"/>
    <w:rsid w:val="00F41B34"/>
    <w:rsid w:val="00F425D6"/>
    <w:rsid w:val="00F42A5A"/>
    <w:rsid w:val="00F44445"/>
    <w:rsid w:val="00F458A8"/>
    <w:rsid w:val="00F460F5"/>
    <w:rsid w:val="00F471A8"/>
    <w:rsid w:val="00F472C2"/>
    <w:rsid w:val="00F47918"/>
    <w:rsid w:val="00F47BE5"/>
    <w:rsid w:val="00F503C6"/>
    <w:rsid w:val="00F512F0"/>
    <w:rsid w:val="00F51531"/>
    <w:rsid w:val="00F529B8"/>
    <w:rsid w:val="00F53E1D"/>
    <w:rsid w:val="00F54A00"/>
    <w:rsid w:val="00F54AC3"/>
    <w:rsid w:val="00F54CC5"/>
    <w:rsid w:val="00F54F40"/>
    <w:rsid w:val="00F55772"/>
    <w:rsid w:val="00F55D4A"/>
    <w:rsid w:val="00F5634D"/>
    <w:rsid w:val="00F568F7"/>
    <w:rsid w:val="00F6000A"/>
    <w:rsid w:val="00F60702"/>
    <w:rsid w:val="00F60A5F"/>
    <w:rsid w:val="00F60B59"/>
    <w:rsid w:val="00F620FD"/>
    <w:rsid w:val="00F632E6"/>
    <w:rsid w:val="00F6375F"/>
    <w:rsid w:val="00F63880"/>
    <w:rsid w:val="00F63C01"/>
    <w:rsid w:val="00F64039"/>
    <w:rsid w:val="00F64679"/>
    <w:rsid w:val="00F6496B"/>
    <w:rsid w:val="00F6549A"/>
    <w:rsid w:val="00F65CCD"/>
    <w:rsid w:val="00F65E60"/>
    <w:rsid w:val="00F66426"/>
    <w:rsid w:val="00F6643B"/>
    <w:rsid w:val="00F666CF"/>
    <w:rsid w:val="00F66BBF"/>
    <w:rsid w:val="00F7022A"/>
    <w:rsid w:val="00F70B2E"/>
    <w:rsid w:val="00F70D4D"/>
    <w:rsid w:val="00F70FB5"/>
    <w:rsid w:val="00F71110"/>
    <w:rsid w:val="00F71392"/>
    <w:rsid w:val="00F719B2"/>
    <w:rsid w:val="00F71FEA"/>
    <w:rsid w:val="00F7231D"/>
    <w:rsid w:val="00F725F0"/>
    <w:rsid w:val="00F72F08"/>
    <w:rsid w:val="00F73E63"/>
    <w:rsid w:val="00F7505F"/>
    <w:rsid w:val="00F752F6"/>
    <w:rsid w:val="00F75E3E"/>
    <w:rsid w:val="00F760CF"/>
    <w:rsid w:val="00F76C09"/>
    <w:rsid w:val="00F77088"/>
    <w:rsid w:val="00F808F0"/>
    <w:rsid w:val="00F81714"/>
    <w:rsid w:val="00F81973"/>
    <w:rsid w:val="00F81CC2"/>
    <w:rsid w:val="00F81D03"/>
    <w:rsid w:val="00F83D97"/>
    <w:rsid w:val="00F83E3E"/>
    <w:rsid w:val="00F84C9B"/>
    <w:rsid w:val="00F84F5D"/>
    <w:rsid w:val="00F859CF"/>
    <w:rsid w:val="00F86432"/>
    <w:rsid w:val="00F86F45"/>
    <w:rsid w:val="00F87075"/>
    <w:rsid w:val="00F8713C"/>
    <w:rsid w:val="00F873A5"/>
    <w:rsid w:val="00F879E5"/>
    <w:rsid w:val="00F900BB"/>
    <w:rsid w:val="00F91D3F"/>
    <w:rsid w:val="00F931FA"/>
    <w:rsid w:val="00F94322"/>
    <w:rsid w:val="00F94D05"/>
    <w:rsid w:val="00F96621"/>
    <w:rsid w:val="00F96BD2"/>
    <w:rsid w:val="00F97DF6"/>
    <w:rsid w:val="00FA0F27"/>
    <w:rsid w:val="00FA1AC9"/>
    <w:rsid w:val="00FA36D2"/>
    <w:rsid w:val="00FA41DA"/>
    <w:rsid w:val="00FA43CF"/>
    <w:rsid w:val="00FA455F"/>
    <w:rsid w:val="00FA684D"/>
    <w:rsid w:val="00FA6A53"/>
    <w:rsid w:val="00FA6C49"/>
    <w:rsid w:val="00FA79E9"/>
    <w:rsid w:val="00FA7B5E"/>
    <w:rsid w:val="00FB08D6"/>
    <w:rsid w:val="00FB0BA3"/>
    <w:rsid w:val="00FB212D"/>
    <w:rsid w:val="00FB3080"/>
    <w:rsid w:val="00FB3220"/>
    <w:rsid w:val="00FB32E1"/>
    <w:rsid w:val="00FB3908"/>
    <w:rsid w:val="00FB3C12"/>
    <w:rsid w:val="00FB49B6"/>
    <w:rsid w:val="00FB5E7A"/>
    <w:rsid w:val="00FB6567"/>
    <w:rsid w:val="00FB6A2E"/>
    <w:rsid w:val="00FB734F"/>
    <w:rsid w:val="00FB750A"/>
    <w:rsid w:val="00FC070C"/>
    <w:rsid w:val="00FC08CD"/>
    <w:rsid w:val="00FC0E8E"/>
    <w:rsid w:val="00FC1074"/>
    <w:rsid w:val="00FC15A8"/>
    <w:rsid w:val="00FC1AD0"/>
    <w:rsid w:val="00FC2479"/>
    <w:rsid w:val="00FC32BF"/>
    <w:rsid w:val="00FC4197"/>
    <w:rsid w:val="00FC4B5A"/>
    <w:rsid w:val="00FC5095"/>
    <w:rsid w:val="00FC5C76"/>
    <w:rsid w:val="00FC5E7F"/>
    <w:rsid w:val="00FC60DB"/>
    <w:rsid w:val="00FC6A47"/>
    <w:rsid w:val="00FC7212"/>
    <w:rsid w:val="00FC7984"/>
    <w:rsid w:val="00FD0A92"/>
    <w:rsid w:val="00FD13E7"/>
    <w:rsid w:val="00FD1538"/>
    <w:rsid w:val="00FD26B8"/>
    <w:rsid w:val="00FD2EB9"/>
    <w:rsid w:val="00FD3814"/>
    <w:rsid w:val="00FD3B6C"/>
    <w:rsid w:val="00FD4A3B"/>
    <w:rsid w:val="00FD4AC0"/>
    <w:rsid w:val="00FD6D12"/>
    <w:rsid w:val="00FD7293"/>
    <w:rsid w:val="00FD77DC"/>
    <w:rsid w:val="00FD79C0"/>
    <w:rsid w:val="00FD7BA6"/>
    <w:rsid w:val="00FE0A04"/>
    <w:rsid w:val="00FE0AF3"/>
    <w:rsid w:val="00FE0CBE"/>
    <w:rsid w:val="00FE1D05"/>
    <w:rsid w:val="00FE1F96"/>
    <w:rsid w:val="00FE23A9"/>
    <w:rsid w:val="00FE251F"/>
    <w:rsid w:val="00FE2B52"/>
    <w:rsid w:val="00FE3C20"/>
    <w:rsid w:val="00FE3F8E"/>
    <w:rsid w:val="00FE4771"/>
    <w:rsid w:val="00FE47AD"/>
    <w:rsid w:val="00FE4A45"/>
    <w:rsid w:val="00FE4A83"/>
    <w:rsid w:val="00FE5003"/>
    <w:rsid w:val="00FE52D7"/>
    <w:rsid w:val="00FE54AE"/>
    <w:rsid w:val="00FE59C2"/>
    <w:rsid w:val="00FE5AC0"/>
    <w:rsid w:val="00FE5DAA"/>
    <w:rsid w:val="00FE674D"/>
    <w:rsid w:val="00FE7317"/>
    <w:rsid w:val="00FE73CE"/>
    <w:rsid w:val="00FE76A3"/>
    <w:rsid w:val="00FE7FF5"/>
    <w:rsid w:val="00FF011D"/>
    <w:rsid w:val="00FF0769"/>
    <w:rsid w:val="00FF2EBA"/>
    <w:rsid w:val="00FF3096"/>
    <w:rsid w:val="00FF3FD4"/>
    <w:rsid w:val="00FF5F9E"/>
    <w:rsid w:val="00FF6CAC"/>
    <w:rsid w:val="00FF7D59"/>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
    </o:shapedefaults>
    <o:shapelayout v:ext="edit">
      <o:idmap v:ext="edit" data="1"/>
    </o:shapelayout>
  </w:shapeDefaults>
  <w:decimalSymbol w:val="."/>
  <w:listSeparator w:val=","/>
  <w15:docId w15:val="{19E607BC-1F07-43E2-9358-4C0D8B7A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45"/>
    <w:pPr>
      <w:spacing w:after="120"/>
    </w:pPr>
    <w:rPr>
      <w:rFonts w:ascii="Arial" w:hAnsi="Arial"/>
      <w:sz w:val="22"/>
      <w:szCs w:val="22"/>
    </w:rPr>
  </w:style>
  <w:style w:type="paragraph" w:styleId="Heading1">
    <w:name w:val="heading 1"/>
    <w:aliases w:val="Procedure - Heading 1"/>
    <w:basedOn w:val="Normal"/>
    <w:next w:val="Normal"/>
    <w:link w:val="Heading1Char"/>
    <w:qFormat/>
    <w:rsid w:val="00E239BC"/>
    <w:pPr>
      <w:keepNext/>
      <w:numPr>
        <w:numId w:val="7"/>
      </w:numPr>
      <w:tabs>
        <w:tab w:val="left" w:pos="720"/>
      </w:tabs>
      <w:spacing w:before="240" w:after="240"/>
      <w:outlineLvl w:val="0"/>
    </w:pPr>
    <w:rPr>
      <w:b/>
      <w:bCs/>
      <w:kern w:val="32"/>
      <w:sz w:val="24"/>
      <w:szCs w:val="24"/>
    </w:rPr>
  </w:style>
  <w:style w:type="paragraph" w:styleId="Heading2">
    <w:name w:val="heading 2"/>
    <w:basedOn w:val="Normal"/>
    <w:next w:val="Normal"/>
    <w:link w:val="Heading2Char"/>
    <w:qFormat/>
    <w:rsid w:val="00E239BC"/>
    <w:pPr>
      <w:keepNext/>
      <w:numPr>
        <w:ilvl w:val="1"/>
        <w:numId w:val="7"/>
      </w:numPr>
      <w:tabs>
        <w:tab w:val="left" w:pos="720"/>
      </w:tabs>
      <w:spacing w:before="240" w:after="240"/>
      <w:outlineLvl w:val="1"/>
    </w:pPr>
    <w:rPr>
      <w:b/>
      <w:bCs/>
      <w:iCs/>
      <w:sz w:val="24"/>
    </w:rPr>
  </w:style>
  <w:style w:type="paragraph" w:styleId="Heading3">
    <w:name w:val="heading 3"/>
    <w:basedOn w:val="Normal"/>
    <w:next w:val="Normal"/>
    <w:link w:val="Heading3Char"/>
    <w:qFormat/>
    <w:rsid w:val="00E239BC"/>
    <w:pPr>
      <w:keepNext/>
      <w:numPr>
        <w:ilvl w:val="2"/>
        <w:numId w:val="7"/>
      </w:numPr>
      <w:tabs>
        <w:tab w:val="left" w:pos="900"/>
      </w:tabs>
      <w:spacing w:before="240" w:after="240"/>
      <w:outlineLvl w:val="2"/>
    </w:pPr>
    <w:rPr>
      <w:rFonts w:ascii="Arial Bold" w:hAnsi="Arial Bold"/>
      <w:b/>
      <w:bCs/>
      <w:sz w:val="24"/>
    </w:rPr>
  </w:style>
  <w:style w:type="paragraph" w:styleId="Heading4">
    <w:name w:val="heading 4"/>
    <w:basedOn w:val="Normal"/>
    <w:next w:val="Normal"/>
    <w:link w:val="Heading4Char"/>
    <w:autoRedefine/>
    <w:qFormat/>
    <w:rsid w:val="00A16D7C"/>
    <w:pPr>
      <w:keepNext/>
      <w:numPr>
        <w:ilvl w:val="3"/>
        <w:numId w:val="7"/>
      </w:numPr>
      <w:tabs>
        <w:tab w:val="left" w:pos="1080"/>
      </w:tabs>
      <w:spacing w:before="240" w:after="240"/>
      <w:outlineLvl w:val="3"/>
    </w:pPr>
    <w:rPr>
      <w:b/>
      <w:noProof/>
      <w:color w:val="000000"/>
      <w:sz w:val="24"/>
      <w:szCs w:val="24"/>
    </w:rPr>
  </w:style>
  <w:style w:type="paragraph" w:styleId="Heading5">
    <w:name w:val="heading 5"/>
    <w:basedOn w:val="Normal"/>
    <w:next w:val="Normal"/>
    <w:link w:val="Heading5Char"/>
    <w:autoRedefine/>
    <w:qFormat/>
    <w:rsid w:val="00A16D7C"/>
    <w:pPr>
      <w:keepNext/>
      <w:numPr>
        <w:ilvl w:val="4"/>
        <w:numId w:val="7"/>
      </w:numPr>
      <w:spacing w:before="120" w:after="100" w:afterAutospacing="1"/>
      <w:outlineLvl w:val="4"/>
    </w:pPr>
    <w:rPr>
      <w:b/>
      <w:bCs/>
      <w:sz w:val="28"/>
    </w:rPr>
  </w:style>
  <w:style w:type="paragraph" w:styleId="Heading6">
    <w:name w:val="heading 6"/>
    <w:basedOn w:val="Normal"/>
    <w:next w:val="Normal"/>
    <w:link w:val="Heading6Char"/>
    <w:qFormat/>
    <w:rsid w:val="006D7ADA"/>
    <w:pPr>
      <w:keepNext/>
      <w:numPr>
        <w:ilvl w:val="5"/>
        <w:numId w:val="7"/>
      </w:numPr>
      <w:jc w:val="center"/>
      <w:outlineLvl w:val="5"/>
    </w:pPr>
    <w:rPr>
      <w:sz w:val="32"/>
    </w:rPr>
  </w:style>
  <w:style w:type="paragraph" w:styleId="Heading7">
    <w:name w:val="heading 7"/>
    <w:basedOn w:val="Normal"/>
    <w:next w:val="Normal"/>
    <w:link w:val="Heading7Char"/>
    <w:qFormat/>
    <w:rsid w:val="006D7ADA"/>
    <w:pPr>
      <w:numPr>
        <w:ilvl w:val="6"/>
        <w:numId w:val="7"/>
      </w:numPr>
      <w:spacing w:before="240" w:after="60"/>
      <w:outlineLvl w:val="6"/>
    </w:pPr>
    <w:rPr>
      <w:noProof/>
    </w:rPr>
  </w:style>
  <w:style w:type="paragraph" w:styleId="Heading8">
    <w:name w:val="heading 8"/>
    <w:basedOn w:val="Normal"/>
    <w:next w:val="Normal"/>
    <w:link w:val="Heading8Char"/>
    <w:qFormat/>
    <w:rsid w:val="006D7ADA"/>
    <w:pPr>
      <w:keepNext/>
      <w:numPr>
        <w:ilvl w:val="7"/>
        <w:numId w:val="7"/>
      </w:numPr>
      <w:outlineLvl w:val="7"/>
    </w:pPr>
    <w:rPr>
      <w:b/>
      <w:bCs/>
      <w:sz w:val="32"/>
    </w:rPr>
  </w:style>
  <w:style w:type="paragraph" w:styleId="Heading9">
    <w:name w:val="heading 9"/>
    <w:basedOn w:val="Normal"/>
    <w:next w:val="Normal"/>
    <w:link w:val="Heading9Char"/>
    <w:qFormat/>
    <w:rsid w:val="006D7ADA"/>
    <w:pPr>
      <w:keepNext/>
      <w:numPr>
        <w:ilvl w:val="8"/>
        <w:numId w:val="7"/>
      </w:numPr>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link w:val="TOC1Char"/>
    <w:uiPriority w:val="39"/>
    <w:rsid w:val="00EB5239"/>
    <w:pPr>
      <w:tabs>
        <w:tab w:val="left" w:pos="1354"/>
        <w:tab w:val="right" w:leader="dot" w:pos="9350"/>
      </w:tabs>
      <w:spacing w:before="240" w:after="100" w:afterAutospacing="1"/>
      <w:ind w:left="720" w:hanging="720"/>
    </w:pPr>
    <w:rPr>
      <w:rFonts w:ascii="Arial" w:hAnsi="Arial" w:cs="Arial"/>
      <w:b/>
      <w:noProof/>
      <w:sz w:val="22"/>
      <w:szCs w:val="22"/>
    </w:rPr>
  </w:style>
  <w:style w:type="paragraph" w:styleId="TOC2">
    <w:name w:val="toc 2"/>
    <w:next w:val="Normal"/>
    <w:uiPriority w:val="39"/>
    <w:rsid w:val="002E4579"/>
    <w:pPr>
      <w:tabs>
        <w:tab w:val="right" w:leader="dot" w:pos="9350"/>
      </w:tabs>
      <w:ind w:left="1440" w:hanging="720"/>
    </w:pPr>
    <w:rPr>
      <w:rFonts w:ascii="Arial Bold" w:hAnsi="Arial Bold"/>
      <w:b/>
      <w:noProof/>
      <w:sz w:val="22"/>
      <w:szCs w:val="28"/>
    </w:rPr>
  </w:style>
  <w:style w:type="paragraph" w:styleId="TOC3">
    <w:name w:val="toc 3"/>
    <w:next w:val="Normal"/>
    <w:uiPriority w:val="39"/>
    <w:rsid w:val="002E4579"/>
    <w:pPr>
      <w:tabs>
        <w:tab w:val="right" w:leader="dot" w:pos="9350"/>
      </w:tabs>
      <w:ind w:left="1440" w:hanging="720"/>
    </w:pPr>
    <w:rPr>
      <w:rFonts w:ascii="Arial Bold" w:hAnsi="Arial Bold"/>
      <w:b/>
      <w:noProof/>
      <w:sz w:val="22"/>
      <w:szCs w:val="22"/>
    </w:rPr>
  </w:style>
  <w:style w:type="paragraph" w:styleId="TOC4">
    <w:name w:val="toc 4"/>
    <w:basedOn w:val="Normal"/>
    <w:next w:val="Normal"/>
    <w:autoRedefine/>
    <w:semiHidden/>
    <w:rsid w:val="00210FCB"/>
    <w:pPr>
      <w:tabs>
        <w:tab w:val="left" w:pos="720"/>
        <w:tab w:val="left" w:pos="2189"/>
        <w:tab w:val="right" w:leader="dot" w:pos="9350"/>
      </w:tabs>
      <w:spacing w:before="100" w:beforeAutospacing="1" w:line="360" w:lineRule="auto"/>
    </w:pPr>
    <w:rPr>
      <w:b/>
      <w:noProof/>
    </w:rPr>
  </w:style>
  <w:style w:type="paragraph" w:styleId="Header">
    <w:name w:val="header"/>
    <w:basedOn w:val="Normal"/>
    <w:link w:val="HeaderChar"/>
    <w:rsid w:val="00987281"/>
    <w:pPr>
      <w:tabs>
        <w:tab w:val="center" w:pos="4680"/>
        <w:tab w:val="right" w:pos="9360"/>
      </w:tabs>
      <w:spacing w:after="0"/>
    </w:pPr>
    <w:rPr>
      <w:rFonts w:ascii="Arial Bold" w:hAnsi="Arial Bold"/>
      <w:b/>
      <w:noProof/>
      <w:sz w:val="24"/>
      <w:szCs w:val="20"/>
    </w:rPr>
  </w:style>
  <w:style w:type="paragraph" w:styleId="Title">
    <w:name w:val="Title"/>
    <w:basedOn w:val="Normal"/>
    <w:qFormat/>
    <w:rsid w:val="00E239BC"/>
    <w:pPr>
      <w:jc w:val="center"/>
    </w:pPr>
    <w:rPr>
      <w:b/>
      <w:noProof/>
      <w:sz w:val="44"/>
    </w:rPr>
  </w:style>
  <w:style w:type="paragraph" w:styleId="Subtitle">
    <w:name w:val="Subtitle"/>
    <w:basedOn w:val="Normal"/>
    <w:link w:val="SubtitleChar"/>
    <w:qFormat/>
    <w:rsid w:val="006D7ADA"/>
    <w:rPr>
      <w:noProof/>
    </w:rPr>
  </w:style>
  <w:style w:type="character" w:styleId="Hyperlink">
    <w:name w:val="Hyperlink"/>
    <w:uiPriority w:val="99"/>
    <w:rsid w:val="00194C36"/>
    <w:rPr>
      <w:rFonts w:ascii="Arial" w:hAnsi="Arial" w:cs="Arial"/>
    </w:rPr>
  </w:style>
  <w:style w:type="paragraph" w:customStyle="1" w:styleId="Spacer">
    <w:name w:val="Spacer"/>
    <w:basedOn w:val="Normal"/>
    <w:link w:val="SpacerChar"/>
    <w:qFormat/>
    <w:rsid w:val="007E1BF3"/>
    <w:pPr>
      <w:jc w:val="center"/>
    </w:pPr>
    <w:rPr>
      <w:sz w:val="44"/>
      <w:szCs w:val="44"/>
    </w:rPr>
  </w:style>
  <w:style w:type="paragraph" w:styleId="Footer">
    <w:name w:val="footer"/>
    <w:basedOn w:val="TableText"/>
    <w:link w:val="FooterChar"/>
    <w:uiPriority w:val="99"/>
    <w:rsid w:val="00E239BC"/>
  </w:style>
  <w:style w:type="paragraph" w:styleId="BodyTextFirstIndent">
    <w:name w:val="Body Text First Indent"/>
    <w:basedOn w:val="Normal"/>
    <w:link w:val="BodyTextFirstIndentChar"/>
    <w:rsid w:val="00E239BC"/>
    <w:pPr>
      <w:autoSpaceDE w:val="0"/>
      <w:autoSpaceDN w:val="0"/>
      <w:adjustRightInd w:val="0"/>
      <w:ind w:firstLine="210"/>
    </w:pPr>
    <w:rPr>
      <w:b/>
      <w:bCs/>
      <w:sz w:val="44"/>
      <w:szCs w:val="24"/>
    </w:rPr>
  </w:style>
  <w:style w:type="paragraph" w:customStyle="1" w:styleId="BodyTextHeader4">
    <w:name w:val="Body Text Header 4"/>
    <w:basedOn w:val="BodyTextFirstIndent"/>
    <w:autoRedefine/>
    <w:rsid w:val="006D7ADA"/>
    <w:pPr>
      <w:ind w:left="2160" w:firstLine="0"/>
    </w:pPr>
    <w:rPr>
      <w:sz w:val="24"/>
    </w:rPr>
  </w:style>
  <w:style w:type="character" w:styleId="PageNumber">
    <w:name w:val="page number"/>
    <w:rsid w:val="006D7ADA"/>
  </w:style>
  <w:style w:type="paragraph" w:styleId="BodyText2">
    <w:name w:val="Body Text 2"/>
    <w:basedOn w:val="Normal"/>
    <w:link w:val="BodyText2Char"/>
    <w:rsid w:val="006D7ADA"/>
    <w:rPr>
      <w:sz w:val="18"/>
    </w:rPr>
  </w:style>
  <w:style w:type="paragraph" w:styleId="BodyText3">
    <w:name w:val="Body Text 3"/>
    <w:basedOn w:val="Normal"/>
    <w:link w:val="BodyText3Char"/>
    <w:rsid w:val="006D7ADA"/>
    <w:pPr>
      <w:jc w:val="center"/>
    </w:pPr>
    <w:rPr>
      <w:sz w:val="18"/>
    </w:rPr>
  </w:style>
  <w:style w:type="paragraph" w:styleId="BodyTextIndent">
    <w:name w:val="Body Text Indent"/>
    <w:basedOn w:val="Normal"/>
    <w:link w:val="BodyTextIndentChar"/>
    <w:rsid w:val="006D7ADA"/>
    <w:pPr>
      <w:ind w:left="360"/>
    </w:pPr>
    <w:rPr>
      <w:sz w:val="21"/>
      <w:szCs w:val="21"/>
    </w:rPr>
  </w:style>
  <w:style w:type="paragraph" w:styleId="BodyTextIndent2">
    <w:name w:val="Body Text Indent 2"/>
    <w:basedOn w:val="Normal"/>
    <w:link w:val="BodyTextIndent2Char"/>
    <w:rsid w:val="006D7ADA"/>
    <w:pPr>
      <w:ind w:left="360"/>
    </w:pPr>
    <w:rPr>
      <w:szCs w:val="21"/>
    </w:rPr>
  </w:style>
  <w:style w:type="paragraph" w:styleId="BodyTextIndent3">
    <w:name w:val="Body Text Indent 3"/>
    <w:basedOn w:val="Normal"/>
    <w:link w:val="BodyTextIndent3Char"/>
    <w:rsid w:val="006D7ADA"/>
    <w:pPr>
      <w:ind w:left="1440"/>
    </w:pPr>
  </w:style>
  <w:style w:type="paragraph" w:customStyle="1" w:styleId="Quicka">
    <w:name w:val="Quick a."/>
    <w:rsid w:val="006D7ADA"/>
    <w:pPr>
      <w:autoSpaceDE w:val="0"/>
      <w:autoSpaceDN w:val="0"/>
      <w:adjustRightInd w:val="0"/>
      <w:spacing w:after="120"/>
      <w:ind w:left="-1440"/>
    </w:pPr>
    <w:rPr>
      <w:rFonts w:ascii="Courier" w:hAnsi="Courier"/>
      <w:sz w:val="22"/>
      <w:szCs w:val="24"/>
    </w:rPr>
  </w:style>
  <w:style w:type="paragraph" w:customStyle="1" w:styleId="Quick1">
    <w:name w:val="Quick 1."/>
    <w:rsid w:val="006D7ADA"/>
    <w:pPr>
      <w:autoSpaceDE w:val="0"/>
      <w:autoSpaceDN w:val="0"/>
      <w:adjustRightInd w:val="0"/>
      <w:spacing w:after="120"/>
      <w:ind w:left="-1440"/>
    </w:pPr>
    <w:rPr>
      <w:rFonts w:ascii="Courier" w:hAnsi="Courier"/>
      <w:sz w:val="22"/>
      <w:szCs w:val="24"/>
    </w:rPr>
  </w:style>
  <w:style w:type="paragraph" w:customStyle="1" w:styleId="QuickA0">
    <w:name w:val="Quick A)"/>
    <w:rsid w:val="006D7ADA"/>
    <w:pPr>
      <w:autoSpaceDE w:val="0"/>
      <w:autoSpaceDN w:val="0"/>
      <w:adjustRightInd w:val="0"/>
      <w:spacing w:after="120"/>
      <w:ind w:left="-1440"/>
    </w:pPr>
    <w:rPr>
      <w:rFonts w:ascii="Arial" w:hAnsi="Arial"/>
      <w:sz w:val="22"/>
      <w:szCs w:val="24"/>
    </w:rPr>
  </w:style>
  <w:style w:type="paragraph" w:styleId="BalloonText">
    <w:name w:val="Balloon Text"/>
    <w:basedOn w:val="Normal"/>
    <w:link w:val="BalloonTextChar"/>
    <w:semiHidden/>
    <w:rsid w:val="006D7ADA"/>
    <w:rPr>
      <w:rFonts w:ascii="Tahoma" w:hAnsi="Tahoma" w:cs="Tahoma"/>
      <w:sz w:val="16"/>
      <w:szCs w:val="16"/>
    </w:rPr>
  </w:style>
  <w:style w:type="paragraph" w:styleId="CommentSubject">
    <w:name w:val="annotation subject"/>
    <w:basedOn w:val="CommentText"/>
    <w:next w:val="CommentText"/>
    <w:link w:val="CommentSubjectChar"/>
    <w:semiHidden/>
    <w:rsid w:val="006D7ADA"/>
    <w:rPr>
      <w:b/>
      <w:bCs/>
    </w:rPr>
  </w:style>
  <w:style w:type="paragraph" w:styleId="CommentText">
    <w:name w:val="annotation text"/>
    <w:basedOn w:val="Normal"/>
    <w:link w:val="CommentTextChar"/>
    <w:uiPriority w:val="99"/>
    <w:rsid w:val="006D7ADA"/>
    <w:rPr>
      <w:sz w:val="20"/>
      <w:szCs w:val="20"/>
    </w:rPr>
  </w:style>
  <w:style w:type="paragraph" w:styleId="ListBullet">
    <w:name w:val="List Bullet"/>
    <w:basedOn w:val="Normal"/>
    <w:autoRedefine/>
    <w:rsid w:val="006D7ADA"/>
    <w:pPr>
      <w:numPr>
        <w:ilvl w:val="3"/>
        <w:numId w:val="1"/>
      </w:numPr>
    </w:pPr>
    <w:rPr>
      <w:szCs w:val="20"/>
    </w:rPr>
  </w:style>
  <w:style w:type="paragraph" w:customStyle="1" w:styleId="Bullet">
    <w:name w:val="Bullet"/>
    <w:basedOn w:val="Normal"/>
    <w:rsid w:val="006D7ADA"/>
    <w:pPr>
      <w:numPr>
        <w:numId w:val="2"/>
      </w:numPr>
    </w:pPr>
    <w:rPr>
      <w:sz w:val="20"/>
      <w:szCs w:val="20"/>
    </w:rPr>
  </w:style>
  <w:style w:type="character" w:styleId="FootnoteReference">
    <w:name w:val="footnote reference"/>
    <w:semiHidden/>
    <w:rsid w:val="006D7ADA"/>
    <w:rPr>
      <w:vertAlign w:val="superscript"/>
    </w:rPr>
  </w:style>
  <w:style w:type="character" w:styleId="CommentReference">
    <w:name w:val="annotation reference"/>
    <w:uiPriority w:val="99"/>
    <w:rsid w:val="006D7ADA"/>
    <w:rPr>
      <w:sz w:val="16"/>
      <w:szCs w:val="16"/>
    </w:rPr>
  </w:style>
  <w:style w:type="paragraph" w:customStyle="1" w:styleId="Subheading">
    <w:name w:val="Subheading"/>
    <w:basedOn w:val="Normal"/>
    <w:next w:val="Normal"/>
    <w:rsid w:val="006D7ADA"/>
    <w:rPr>
      <w:szCs w:val="20"/>
    </w:rPr>
  </w:style>
  <w:style w:type="paragraph" w:customStyle="1" w:styleId="Outline">
    <w:name w:val="Outline"/>
    <w:basedOn w:val="Normal"/>
    <w:rsid w:val="006D7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Cs w:val="20"/>
    </w:rPr>
  </w:style>
  <w:style w:type="paragraph" w:customStyle="1" w:styleId="PolicyHeading">
    <w:name w:val="Policy Heading"/>
    <w:basedOn w:val="Normal"/>
    <w:next w:val="Normal"/>
    <w:rsid w:val="006D7ADA"/>
    <w:rPr>
      <w:b/>
      <w:sz w:val="32"/>
      <w:szCs w:val="20"/>
    </w:rPr>
  </w:style>
  <w:style w:type="character" w:customStyle="1" w:styleId="Hypertext">
    <w:name w:val="Hypertext"/>
    <w:rsid w:val="006D7ADA"/>
    <w:rPr>
      <w:b/>
      <w:color w:val="000080"/>
    </w:rPr>
  </w:style>
  <w:style w:type="paragraph" w:customStyle="1" w:styleId="NormalNERC">
    <w:name w:val="Normal NERC"/>
    <w:basedOn w:val="Normal"/>
    <w:rsid w:val="006D7ADA"/>
    <w:pPr>
      <w:spacing w:after="240"/>
    </w:pPr>
    <w:rPr>
      <w:szCs w:val="20"/>
    </w:rPr>
  </w:style>
  <w:style w:type="paragraph" w:styleId="FootnoteText">
    <w:name w:val="footnote text"/>
    <w:basedOn w:val="Normal"/>
    <w:link w:val="FootnoteTextChar"/>
    <w:semiHidden/>
    <w:rsid w:val="006D7ADA"/>
    <w:rPr>
      <w:sz w:val="20"/>
      <w:szCs w:val="20"/>
    </w:rPr>
  </w:style>
  <w:style w:type="paragraph" w:customStyle="1" w:styleId="TableText">
    <w:name w:val="Table Text"/>
    <w:basedOn w:val="NormalNERC"/>
    <w:next w:val="NormalNERC"/>
    <w:rsid w:val="00A0757B"/>
    <w:pPr>
      <w:spacing w:before="60" w:after="60"/>
    </w:pPr>
    <w:rPr>
      <w:sz w:val="16"/>
      <w:szCs w:val="16"/>
    </w:rPr>
  </w:style>
  <w:style w:type="character" w:customStyle="1" w:styleId="PersonalComposeStyle">
    <w:name w:val="Personal Compose Style"/>
    <w:rsid w:val="006D7ADA"/>
    <w:rPr>
      <w:rFonts w:ascii="Arial" w:hAnsi="Arial" w:cs="Arial"/>
      <w:color w:val="auto"/>
      <w:sz w:val="20"/>
    </w:rPr>
  </w:style>
  <w:style w:type="paragraph" w:customStyle="1" w:styleId="DefinitionTerm">
    <w:name w:val="Definition Term"/>
    <w:basedOn w:val="Normal"/>
    <w:next w:val="Normal"/>
    <w:rsid w:val="006D7ADA"/>
    <w:rPr>
      <w:snapToGrid w:val="0"/>
      <w:szCs w:val="20"/>
    </w:rPr>
  </w:style>
  <w:style w:type="paragraph" w:customStyle="1" w:styleId="Quick">
    <w:name w:val="Quick _"/>
    <w:rsid w:val="006D7ADA"/>
    <w:pPr>
      <w:widowControl w:val="0"/>
      <w:autoSpaceDE w:val="0"/>
      <w:autoSpaceDN w:val="0"/>
      <w:adjustRightInd w:val="0"/>
      <w:spacing w:after="120"/>
      <w:ind w:left="-1440"/>
      <w:jc w:val="both"/>
    </w:pPr>
    <w:rPr>
      <w:rFonts w:ascii="Arial" w:hAnsi="Arial"/>
      <w:sz w:val="24"/>
      <w:szCs w:val="24"/>
    </w:rPr>
  </w:style>
  <w:style w:type="paragraph" w:customStyle="1" w:styleId="a">
    <w:name w:val="_"/>
    <w:rsid w:val="006D7ADA"/>
    <w:pPr>
      <w:widowControl w:val="0"/>
      <w:autoSpaceDE w:val="0"/>
      <w:autoSpaceDN w:val="0"/>
      <w:adjustRightInd w:val="0"/>
      <w:spacing w:after="120"/>
      <w:ind w:left="720"/>
      <w:jc w:val="both"/>
    </w:pPr>
    <w:rPr>
      <w:rFonts w:ascii="Arial" w:hAnsi="Arial"/>
      <w:sz w:val="24"/>
      <w:szCs w:val="24"/>
    </w:rPr>
  </w:style>
  <w:style w:type="paragraph" w:customStyle="1" w:styleId="Level1">
    <w:name w:val="Level 1"/>
    <w:basedOn w:val="Normal"/>
    <w:rsid w:val="006D7ADA"/>
    <w:rPr>
      <w:szCs w:val="20"/>
    </w:rPr>
  </w:style>
  <w:style w:type="paragraph" w:customStyle="1" w:styleId="a0">
    <w:name w:val="Ђ"/>
    <w:basedOn w:val="Normal"/>
    <w:rsid w:val="00210FCB"/>
    <w:rPr>
      <w:szCs w:val="20"/>
    </w:rPr>
  </w:style>
  <w:style w:type="character" w:styleId="FollowedHyperlink">
    <w:name w:val="FollowedHyperlink"/>
    <w:rsid w:val="006D7ADA"/>
    <w:rPr>
      <w:color w:val="800080"/>
      <w:u w:val="single"/>
    </w:rPr>
  </w:style>
  <w:style w:type="paragraph" w:styleId="TOC5">
    <w:name w:val="toc 5"/>
    <w:basedOn w:val="Normal"/>
    <w:next w:val="Normal"/>
    <w:autoRedefine/>
    <w:semiHidden/>
    <w:rsid w:val="00210FCB"/>
    <w:pPr>
      <w:ind w:left="960"/>
    </w:pPr>
  </w:style>
  <w:style w:type="paragraph" w:styleId="TOC6">
    <w:name w:val="toc 6"/>
    <w:basedOn w:val="Normal"/>
    <w:next w:val="Normal"/>
    <w:autoRedefine/>
    <w:semiHidden/>
    <w:rsid w:val="00210FCB"/>
    <w:pPr>
      <w:ind w:left="1200"/>
    </w:pPr>
  </w:style>
  <w:style w:type="paragraph" w:styleId="TOC7">
    <w:name w:val="toc 7"/>
    <w:basedOn w:val="Normal"/>
    <w:next w:val="Normal"/>
    <w:autoRedefine/>
    <w:semiHidden/>
    <w:rsid w:val="00210FCB"/>
    <w:pPr>
      <w:ind w:left="1440"/>
    </w:pPr>
  </w:style>
  <w:style w:type="paragraph" w:styleId="TOC8">
    <w:name w:val="toc 8"/>
    <w:basedOn w:val="Normal"/>
    <w:next w:val="Normal"/>
    <w:autoRedefine/>
    <w:semiHidden/>
    <w:rsid w:val="00210FCB"/>
    <w:pPr>
      <w:ind w:left="1680"/>
    </w:pPr>
  </w:style>
  <w:style w:type="paragraph" w:styleId="TOC9">
    <w:name w:val="toc 9"/>
    <w:basedOn w:val="Normal"/>
    <w:next w:val="Normal"/>
    <w:autoRedefine/>
    <w:semiHidden/>
    <w:rsid w:val="00210FCB"/>
    <w:pPr>
      <w:ind w:left="1920"/>
    </w:pPr>
  </w:style>
  <w:style w:type="character" w:customStyle="1" w:styleId="Heading1Char">
    <w:name w:val="Heading 1 Char"/>
    <w:aliases w:val="Procedure - Heading 1 Char"/>
    <w:link w:val="Heading1"/>
    <w:rsid w:val="00E239BC"/>
    <w:rPr>
      <w:rFonts w:ascii="Arial" w:hAnsi="Arial"/>
      <w:b/>
      <w:bCs/>
      <w:kern w:val="32"/>
      <w:sz w:val="24"/>
      <w:szCs w:val="24"/>
    </w:rPr>
  </w:style>
  <w:style w:type="table" w:styleId="TableGrid">
    <w:name w:val="Table Grid"/>
    <w:basedOn w:val="TableNormal"/>
    <w:rsid w:val="00210FC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qFormat/>
    <w:rsid w:val="00E239BC"/>
    <w:pPr>
      <w:pageBreakBefore/>
      <w:numPr>
        <w:numId w:val="6"/>
      </w:numPr>
      <w:tabs>
        <w:tab w:val="clear" w:pos="720"/>
        <w:tab w:val="left" w:pos="1728"/>
      </w:tabs>
      <w:ind w:left="1728" w:hanging="1728"/>
    </w:pPr>
    <w:rPr>
      <w:rFonts w:ascii="Arial Bold" w:hAnsi="Arial Bold"/>
    </w:rPr>
  </w:style>
  <w:style w:type="paragraph" w:customStyle="1" w:styleId="Appendices">
    <w:name w:val="Appendices"/>
    <w:autoRedefine/>
    <w:rsid w:val="006D7ADA"/>
    <w:pPr>
      <w:spacing w:after="120"/>
      <w:jc w:val="center"/>
    </w:pPr>
    <w:rPr>
      <w:rFonts w:ascii="Arial" w:hAnsi="Arial"/>
      <w:b/>
      <w:bCs/>
      <w:kern w:val="32"/>
      <w:sz w:val="24"/>
      <w:szCs w:val="24"/>
    </w:rPr>
  </w:style>
  <w:style w:type="character" w:customStyle="1" w:styleId="Heading4Char">
    <w:name w:val="Heading 4 Char"/>
    <w:link w:val="Heading4"/>
    <w:rsid w:val="00A16D7C"/>
    <w:rPr>
      <w:rFonts w:ascii="Arial" w:hAnsi="Arial"/>
      <w:b/>
      <w:noProof/>
      <w:color w:val="000000"/>
      <w:sz w:val="24"/>
      <w:szCs w:val="24"/>
    </w:rPr>
  </w:style>
  <w:style w:type="character" w:customStyle="1" w:styleId="vi2">
    <w:name w:val="vi2"/>
    <w:rsid w:val="00210FCB"/>
    <w:rPr>
      <w:rFonts w:ascii="Times New Roman" w:hAnsi="Times New Roman" w:cs="Times New Roman" w:hint="default"/>
    </w:rPr>
  </w:style>
  <w:style w:type="paragraph" w:styleId="Caption">
    <w:name w:val="caption"/>
    <w:basedOn w:val="Normal"/>
    <w:next w:val="Normal"/>
    <w:qFormat/>
    <w:rsid w:val="006D7ADA"/>
    <w:rPr>
      <w:b/>
      <w:bCs/>
      <w:sz w:val="20"/>
      <w:szCs w:val="20"/>
    </w:rPr>
  </w:style>
  <w:style w:type="character" w:customStyle="1" w:styleId="FooterChar">
    <w:name w:val="Footer Char"/>
    <w:link w:val="Footer"/>
    <w:uiPriority w:val="99"/>
    <w:rsid w:val="00E239BC"/>
    <w:rPr>
      <w:rFonts w:ascii="Arial" w:hAnsi="Arial"/>
      <w:sz w:val="16"/>
      <w:szCs w:val="16"/>
    </w:rPr>
  </w:style>
  <w:style w:type="character" w:customStyle="1" w:styleId="HeaderChar">
    <w:name w:val="Header Char"/>
    <w:link w:val="Header"/>
    <w:rsid w:val="00987281"/>
    <w:rPr>
      <w:rFonts w:ascii="Arial Bold" w:hAnsi="Arial Bold"/>
      <w:b/>
      <w:noProof/>
      <w:sz w:val="24"/>
    </w:rPr>
  </w:style>
  <w:style w:type="character" w:customStyle="1" w:styleId="CommentTextChar">
    <w:name w:val="Comment Text Char"/>
    <w:link w:val="CommentText"/>
    <w:uiPriority w:val="99"/>
    <w:rsid w:val="006D7ADA"/>
    <w:rPr>
      <w:rFonts w:ascii="Arial" w:hAnsi="Arial"/>
    </w:rPr>
  </w:style>
  <w:style w:type="character" w:customStyle="1" w:styleId="BodyTextIndentChar">
    <w:name w:val="Body Text Indent Char"/>
    <w:link w:val="BodyTextIndent"/>
    <w:rsid w:val="006D7ADA"/>
    <w:rPr>
      <w:rFonts w:ascii="Arial" w:hAnsi="Arial"/>
      <w:sz w:val="21"/>
      <w:szCs w:val="21"/>
    </w:rPr>
  </w:style>
  <w:style w:type="paragraph" w:styleId="ListParagraph">
    <w:name w:val="List Paragraph"/>
    <w:basedOn w:val="Normal"/>
    <w:link w:val="ListParagraphChar"/>
    <w:uiPriority w:val="34"/>
    <w:qFormat/>
    <w:rsid w:val="006D7ADA"/>
    <w:pPr>
      <w:ind w:left="720"/>
    </w:pPr>
    <w:rPr>
      <w:sz w:val="24"/>
    </w:rPr>
  </w:style>
  <w:style w:type="paragraph" w:styleId="Revision">
    <w:name w:val="Revision"/>
    <w:hidden/>
    <w:uiPriority w:val="99"/>
    <w:semiHidden/>
    <w:rsid w:val="00210FCB"/>
    <w:pPr>
      <w:spacing w:after="120"/>
    </w:pPr>
    <w:rPr>
      <w:rFonts w:ascii="Arial" w:hAnsi="Arial" w:cs="Arial"/>
      <w:sz w:val="22"/>
      <w:szCs w:val="22"/>
    </w:rPr>
  </w:style>
  <w:style w:type="paragraph" w:customStyle="1" w:styleId="Centered">
    <w:name w:val="Centered"/>
    <w:basedOn w:val="Normal"/>
    <w:link w:val="CenteredChar"/>
    <w:qFormat/>
    <w:rsid w:val="006D7ADA"/>
    <w:pPr>
      <w:jc w:val="center"/>
    </w:pPr>
  </w:style>
  <w:style w:type="paragraph" w:customStyle="1" w:styleId="ListABC">
    <w:name w:val="List ABC"/>
    <w:basedOn w:val="Normal"/>
    <w:link w:val="ListABCChar"/>
    <w:qFormat/>
    <w:rsid w:val="00E239BC"/>
    <w:pPr>
      <w:numPr>
        <w:numId w:val="5"/>
      </w:numPr>
      <w:tabs>
        <w:tab w:val="left" w:pos="1800"/>
      </w:tabs>
      <w:ind w:hanging="540"/>
    </w:pPr>
  </w:style>
  <w:style w:type="character" w:customStyle="1" w:styleId="CenteredChar">
    <w:name w:val="Centered Char"/>
    <w:link w:val="Centered"/>
    <w:rsid w:val="006D7ADA"/>
    <w:rPr>
      <w:rFonts w:ascii="Arial" w:hAnsi="Arial"/>
      <w:sz w:val="22"/>
      <w:szCs w:val="22"/>
    </w:rPr>
  </w:style>
  <w:style w:type="paragraph" w:customStyle="1" w:styleId="List123">
    <w:name w:val="List 123"/>
    <w:basedOn w:val="ListParagraph"/>
    <w:link w:val="List123Char"/>
    <w:qFormat/>
    <w:rsid w:val="00E239BC"/>
    <w:pPr>
      <w:numPr>
        <w:numId w:val="4"/>
      </w:numPr>
    </w:pPr>
    <w:rPr>
      <w:sz w:val="22"/>
    </w:rPr>
  </w:style>
  <w:style w:type="character" w:customStyle="1" w:styleId="ListParagraphChar">
    <w:name w:val="List Paragraph Char"/>
    <w:link w:val="ListParagraph"/>
    <w:uiPriority w:val="34"/>
    <w:rsid w:val="00210FCB"/>
    <w:rPr>
      <w:rFonts w:ascii="Arial" w:hAnsi="Arial"/>
      <w:sz w:val="24"/>
      <w:szCs w:val="22"/>
    </w:rPr>
  </w:style>
  <w:style w:type="paragraph" w:customStyle="1" w:styleId="Bullet1">
    <w:name w:val="Bullet 1"/>
    <w:basedOn w:val="Normal"/>
    <w:link w:val="Bullet1Char"/>
    <w:qFormat/>
    <w:rsid w:val="00E239BC"/>
    <w:pPr>
      <w:numPr>
        <w:numId w:val="3"/>
      </w:numPr>
    </w:pPr>
  </w:style>
  <w:style w:type="character" w:customStyle="1" w:styleId="List123Char">
    <w:name w:val="List 123 Char"/>
    <w:link w:val="List123"/>
    <w:rsid w:val="00E239BC"/>
    <w:rPr>
      <w:rFonts w:ascii="Arial" w:hAnsi="Arial"/>
      <w:sz w:val="22"/>
      <w:szCs w:val="22"/>
    </w:rPr>
  </w:style>
  <w:style w:type="paragraph" w:customStyle="1" w:styleId="Bullet2">
    <w:name w:val="Bullet 2"/>
    <w:basedOn w:val="Normal"/>
    <w:link w:val="Bullet2Char"/>
    <w:qFormat/>
    <w:rsid w:val="00E239BC"/>
    <w:pPr>
      <w:numPr>
        <w:numId w:val="8"/>
      </w:numPr>
      <w:ind w:left="1800"/>
    </w:pPr>
  </w:style>
  <w:style w:type="character" w:customStyle="1" w:styleId="Bullet1Char">
    <w:name w:val="Bullet 1 Char"/>
    <w:link w:val="Bullet1"/>
    <w:rsid w:val="00E239BC"/>
    <w:rPr>
      <w:rFonts w:ascii="Arial" w:hAnsi="Arial"/>
      <w:sz w:val="22"/>
      <w:szCs w:val="22"/>
    </w:rPr>
  </w:style>
  <w:style w:type="character" w:customStyle="1" w:styleId="Bullet2Char">
    <w:name w:val="Bullet 2 Char"/>
    <w:link w:val="Bullet2"/>
    <w:rsid w:val="00E239BC"/>
    <w:rPr>
      <w:rFonts w:ascii="Arial" w:hAnsi="Arial"/>
      <w:sz w:val="22"/>
      <w:szCs w:val="22"/>
    </w:rPr>
  </w:style>
  <w:style w:type="character" w:customStyle="1" w:styleId="Heading3Char">
    <w:name w:val="Heading 3 Char"/>
    <w:link w:val="Heading3"/>
    <w:rsid w:val="00E239BC"/>
    <w:rPr>
      <w:rFonts w:ascii="Arial Bold" w:hAnsi="Arial Bold"/>
      <w:b/>
      <w:bCs/>
      <w:sz w:val="24"/>
      <w:szCs w:val="22"/>
    </w:rPr>
  </w:style>
  <w:style w:type="character" w:customStyle="1" w:styleId="BalloonTextChar">
    <w:name w:val="Balloon Text Char"/>
    <w:link w:val="BalloonText"/>
    <w:semiHidden/>
    <w:rsid w:val="006D7ADA"/>
    <w:rPr>
      <w:rFonts w:ascii="Tahoma" w:hAnsi="Tahoma" w:cs="Tahoma"/>
      <w:sz w:val="16"/>
      <w:szCs w:val="16"/>
    </w:rPr>
  </w:style>
  <w:style w:type="character" w:customStyle="1" w:styleId="BodyText2Char">
    <w:name w:val="Body Text 2 Char"/>
    <w:link w:val="BodyText2"/>
    <w:rsid w:val="006D7ADA"/>
    <w:rPr>
      <w:rFonts w:ascii="Arial" w:hAnsi="Arial"/>
      <w:sz w:val="18"/>
      <w:szCs w:val="22"/>
    </w:rPr>
  </w:style>
  <w:style w:type="character" w:customStyle="1" w:styleId="BodyText3Char">
    <w:name w:val="Body Text 3 Char"/>
    <w:link w:val="BodyText3"/>
    <w:rsid w:val="006D7ADA"/>
    <w:rPr>
      <w:rFonts w:ascii="Arial" w:hAnsi="Arial"/>
      <w:sz w:val="18"/>
      <w:szCs w:val="22"/>
    </w:rPr>
  </w:style>
  <w:style w:type="character" w:customStyle="1" w:styleId="BodyTextFirstIndentChar">
    <w:name w:val="Body Text First Indent Char"/>
    <w:link w:val="BodyTextFirstIndent"/>
    <w:rsid w:val="006D7ADA"/>
    <w:rPr>
      <w:rFonts w:ascii="Arial" w:hAnsi="Arial"/>
      <w:b/>
      <w:bCs/>
      <w:sz w:val="44"/>
      <w:szCs w:val="24"/>
    </w:rPr>
  </w:style>
  <w:style w:type="character" w:customStyle="1" w:styleId="BodyTextIndent2Char">
    <w:name w:val="Body Text Indent 2 Char"/>
    <w:link w:val="BodyTextIndent2"/>
    <w:rsid w:val="006D7ADA"/>
    <w:rPr>
      <w:rFonts w:ascii="Arial" w:hAnsi="Arial"/>
      <w:sz w:val="22"/>
      <w:szCs w:val="21"/>
    </w:rPr>
  </w:style>
  <w:style w:type="character" w:customStyle="1" w:styleId="BodyTextIndent3Char">
    <w:name w:val="Body Text Indent 3 Char"/>
    <w:link w:val="BodyTextIndent3"/>
    <w:rsid w:val="006D7ADA"/>
    <w:rPr>
      <w:rFonts w:ascii="Arial" w:hAnsi="Arial"/>
      <w:sz w:val="22"/>
      <w:szCs w:val="22"/>
    </w:rPr>
  </w:style>
  <w:style w:type="character" w:customStyle="1" w:styleId="CommentSubjectChar">
    <w:name w:val="Comment Subject Char"/>
    <w:link w:val="CommentSubject"/>
    <w:semiHidden/>
    <w:rsid w:val="006D7ADA"/>
    <w:rPr>
      <w:rFonts w:ascii="Arial" w:hAnsi="Arial"/>
      <w:b/>
      <w:bCs/>
    </w:rPr>
  </w:style>
  <w:style w:type="character" w:customStyle="1" w:styleId="FootnoteTextChar">
    <w:name w:val="Footnote Text Char"/>
    <w:link w:val="FootnoteText"/>
    <w:semiHidden/>
    <w:rsid w:val="006D7ADA"/>
    <w:rPr>
      <w:rFonts w:ascii="Arial" w:hAnsi="Arial"/>
    </w:rPr>
  </w:style>
  <w:style w:type="character" w:customStyle="1" w:styleId="Heading2Char">
    <w:name w:val="Heading 2 Char"/>
    <w:link w:val="Heading2"/>
    <w:rsid w:val="00E239BC"/>
    <w:rPr>
      <w:rFonts w:ascii="Arial" w:hAnsi="Arial"/>
      <w:b/>
      <w:bCs/>
      <w:iCs/>
      <w:sz w:val="24"/>
      <w:szCs w:val="22"/>
    </w:rPr>
  </w:style>
  <w:style w:type="character" w:customStyle="1" w:styleId="Heading5Char">
    <w:name w:val="Heading 5 Char"/>
    <w:link w:val="Heading5"/>
    <w:rsid w:val="00A16D7C"/>
    <w:rPr>
      <w:rFonts w:ascii="Arial" w:hAnsi="Arial"/>
      <w:b/>
      <w:bCs/>
      <w:sz w:val="28"/>
      <w:szCs w:val="22"/>
    </w:rPr>
  </w:style>
  <w:style w:type="character" w:customStyle="1" w:styleId="Heading6Char">
    <w:name w:val="Heading 6 Char"/>
    <w:link w:val="Heading6"/>
    <w:rsid w:val="006D7ADA"/>
    <w:rPr>
      <w:rFonts w:ascii="Arial" w:hAnsi="Arial"/>
      <w:sz w:val="32"/>
      <w:szCs w:val="22"/>
    </w:rPr>
  </w:style>
  <w:style w:type="character" w:customStyle="1" w:styleId="Heading7Char">
    <w:name w:val="Heading 7 Char"/>
    <w:link w:val="Heading7"/>
    <w:rsid w:val="006D7ADA"/>
    <w:rPr>
      <w:rFonts w:ascii="Arial" w:hAnsi="Arial"/>
      <w:noProof/>
      <w:sz w:val="22"/>
      <w:szCs w:val="22"/>
    </w:rPr>
  </w:style>
  <w:style w:type="character" w:customStyle="1" w:styleId="Heading8Char">
    <w:name w:val="Heading 8 Char"/>
    <w:link w:val="Heading8"/>
    <w:rsid w:val="006D7ADA"/>
    <w:rPr>
      <w:rFonts w:ascii="Arial" w:hAnsi="Arial"/>
      <w:b/>
      <w:bCs/>
      <w:sz w:val="32"/>
      <w:szCs w:val="22"/>
    </w:rPr>
  </w:style>
  <w:style w:type="character" w:customStyle="1" w:styleId="Heading9Char">
    <w:name w:val="Heading 9 Char"/>
    <w:link w:val="Heading9"/>
    <w:rsid w:val="006D7ADA"/>
    <w:rPr>
      <w:rFonts w:ascii="Arial" w:hAnsi="Arial"/>
      <w:b/>
      <w:bCs/>
      <w:sz w:val="28"/>
      <w:szCs w:val="22"/>
    </w:rPr>
  </w:style>
  <w:style w:type="character" w:customStyle="1" w:styleId="SubtitleChar">
    <w:name w:val="Subtitle Char"/>
    <w:link w:val="Subtitle"/>
    <w:rsid w:val="006D7ADA"/>
    <w:rPr>
      <w:rFonts w:ascii="Arial" w:hAnsi="Arial"/>
      <w:noProof/>
      <w:sz w:val="22"/>
      <w:szCs w:val="22"/>
    </w:rPr>
  </w:style>
  <w:style w:type="character" w:customStyle="1" w:styleId="ListABCChar">
    <w:name w:val="List ABC Char"/>
    <w:link w:val="ListABC"/>
    <w:rsid w:val="00E239BC"/>
    <w:rPr>
      <w:rFonts w:ascii="Arial" w:hAnsi="Arial"/>
      <w:sz w:val="22"/>
      <w:szCs w:val="22"/>
    </w:rPr>
  </w:style>
  <w:style w:type="paragraph" w:styleId="TOCHeading">
    <w:name w:val="TOC Heading"/>
    <w:basedOn w:val="Heading1"/>
    <w:next w:val="Normal"/>
    <w:uiPriority w:val="39"/>
    <w:semiHidden/>
    <w:unhideWhenUsed/>
    <w:qFormat/>
    <w:rsid w:val="00C37F43"/>
    <w:pPr>
      <w:keepLines/>
      <w:numPr>
        <w:numId w:val="0"/>
      </w:numPr>
      <w:tabs>
        <w:tab w:val="clear" w:pos="720"/>
      </w:tabs>
      <w:spacing w:before="480" w:after="0" w:line="276" w:lineRule="auto"/>
      <w:outlineLvl w:val="9"/>
    </w:pPr>
    <w:rPr>
      <w:rFonts w:ascii="Cambria" w:eastAsia="MS Gothic" w:hAnsi="Cambria"/>
      <w:color w:val="365F91"/>
      <w:kern w:val="0"/>
      <w:sz w:val="28"/>
      <w:szCs w:val="28"/>
      <w:lang w:eastAsia="ja-JP"/>
    </w:rPr>
  </w:style>
  <w:style w:type="paragraph" w:customStyle="1" w:styleId="DocumentType">
    <w:name w:val="Document Type"/>
    <w:basedOn w:val="Normal"/>
    <w:link w:val="DocumentTypeChar"/>
    <w:qFormat/>
    <w:rsid w:val="007E1BF3"/>
    <w:pPr>
      <w:widowControl w:val="0"/>
      <w:suppressAutoHyphens/>
      <w:spacing w:before="3000"/>
      <w:jc w:val="center"/>
    </w:pPr>
    <w:rPr>
      <w:rFonts w:ascii="Arial Bold" w:hAnsi="Arial Bold" w:cs="Arial"/>
      <w:b/>
      <w:bCs/>
      <w:noProof/>
      <w:sz w:val="44"/>
      <w:szCs w:val="44"/>
    </w:rPr>
  </w:style>
  <w:style w:type="character" w:customStyle="1" w:styleId="DocumentTypeChar">
    <w:name w:val="Document Type Char"/>
    <w:link w:val="DocumentType"/>
    <w:rsid w:val="007E1BF3"/>
    <w:rPr>
      <w:rFonts w:ascii="Arial Bold" w:hAnsi="Arial Bold" w:cs="Arial"/>
      <w:b/>
      <w:bCs/>
      <w:noProof/>
      <w:sz w:val="44"/>
      <w:szCs w:val="44"/>
    </w:rPr>
  </w:style>
  <w:style w:type="paragraph" w:customStyle="1" w:styleId="TOCTitle">
    <w:name w:val="TOC Title"/>
    <w:next w:val="a"/>
    <w:link w:val="TOCTitleChar"/>
    <w:qFormat/>
    <w:rsid w:val="00987281"/>
    <w:pPr>
      <w:jc w:val="center"/>
    </w:pPr>
    <w:rPr>
      <w:rFonts w:ascii="Arial" w:hAnsi="Arial"/>
      <w:b/>
      <w:noProof/>
      <w:sz w:val="22"/>
      <w:szCs w:val="24"/>
    </w:rPr>
  </w:style>
  <w:style w:type="character" w:customStyle="1" w:styleId="TOC1Char">
    <w:name w:val="TOC 1 Char"/>
    <w:link w:val="TOC1"/>
    <w:uiPriority w:val="39"/>
    <w:rsid w:val="00EB5239"/>
    <w:rPr>
      <w:rFonts w:ascii="Arial" w:eastAsia="Times New Roman" w:hAnsi="Arial" w:cs="Arial"/>
      <w:b/>
      <w:noProof/>
      <w:sz w:val="22"/>
      <w:szCs w:val="22"/>
    </w:rPr>
  </w:style>
  <w:style w:type="character" w:customStyle="1" w:styleId="TOCTitleChar">
    <w:name w:val="TOC Title Char"/>
    <w:link w:val="TOCTitle"/>
    <w:rsid w:val="00987281"/>
    <w:rPr>
      <w:rFonts w:ascii="Arial" w:hAnsi="Arial"/>
      <w:b/>
      <w:noProof/>
      <w:sz w:val="22"/>
      <w:szCs w:val="24"/>
    </w:rPr>
  </w:style>
  <w:style w:type="paragraph" w:customStyle="1" w:styleId="TOCAppendix">
    <w:name w:val="TOC Appendix"/>
    <w:next w:val="a"/>
    <w:link w:val="TOCAppendixChar"/>
    <w:qFormat/>
    <w:rsid w:val="00DF2CF6"/>
    <w:rPr>
      <w:rFonts w:ascii="Arial" w:hAnsi="Arial"/>
      <w:b/>
      <w:noProof/>
      <w:sz w:val="22"/>
      <w:szCs w:val="24"/>
    </w:rPr>
  </w:style>
  <w:style w:type="character" w:customStyle="1" w:styleId="TOCAppendixChar">
    <w:name w:val="TOC Appendix Char"/>
    <w:link w:val="TOCAppendix"/>
    <w:rsid w:val="00DF2CF6"/>
    <w:rPr>
      <w:rFonts w:ascii="Arial" w:eastAsia="Times New Roman" w:hAnsi="Arial" w:cs="Arial"/>
      <w:b/>
      <w:noProof/>
      <w:sz w:val="22"/>
      <w:szCs w:val="22"/>
    </w:rPr>
  </w:style>
  <w:style w:type="character" w:customStyle="1" w:styleId="SpacerChar">
    <w:name w:val="Spacer Char"/>
    <w:link w:val="Spacer"/>
    <w:rsid w:val="007E1BF3"/>
    <w:rPr>
      <w:rFonts w:ascii="Arial" w:hAnsi="Arial"/>
      <w:sz w:val="44"/>
      <w:szCs w:val="44"/>
    </w:rPr>
  </w:style>
  <w:style w:type="paragraph" w:customStyle="1" w:styleId="Default">
    <w:name w:val="Default"/>
    <w:rsid w:val="00A91115"/>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unhideWhenUsed/>
    <w:rsid w:val="009264CD"/>
  </w:style>
  <w:style w:type="character" w:customStyle="1" w:styleId="BodyTextChar">
    <w:name w:val="Body Text Char"/>
    <w:basedOn w:val="DefaultParagraphFont"/>
    <w:link w:val="BodyText"/>
    <w:semiHidden/>
    <w:rsid w:val="009264CD"/>
    <w:rPr>
      <w:rFonts w:ascii="Arial" w:hAnsi="Arial"/>
      <w:sz w:val="22"/>
      <w:szCs w:val="22"/>
    </w:rPr>
  </w:style>
  <w:style w:type="paragraph" w:styleId="NoSpacing">
    <w:name w:val="No Spacing"/>
    <w:uiPriority w:val="1"/>
    <w:qFormat/>
    <w:rsid w:val="009264CD"/>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922957"/>
    <w:pPr>
      <w:spacing w:after="0"/>
    </w:pPr>
    <w:rPr>
      <w:sz w:val="20"/>
      <w:szCs w:val="20"/>
    </w:rPr>
  </w:style>
  <w:style w:type="character" w:customStyle="1" w:styleId="EndnoteTextChar">
    <w:name w:val="Endnote Text Char"/>
    <w:basedOn w:val="DefaultParagraphFont"/>
    <w:link w:val="EndnoteText"/>
    <w:semiHidden/>
    <w:rsid w:val="00922957"/>
    <w:rPr>
      <w:rFonts w:ascii="Arial" w:hAnsi="Arial"/>
    </w:rPr>
  </w:style>
  <w:style w:type="character" w:styleId="EndnoteReference">
    <w:name w:val="endnote reference"/>
    <w:basedOn w:val="DefaultParagraphFont"/>
    <w:semiHidden/>
    <w:unhideWhenUsed/>
    <w:rsid w:val="0092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934">
      <w:bodyDiv w:val="1"/>
      <w:marLeft w:val="0"/>
      <w:marRight w:val="0"/>
      <w:marTop w:val="0"/>
      <w:marBottom w:val="0"/>
      <w:divBdr>
        <w:top w:val="none" w:sz="0" w:space="0" w:color="auto"/>
        <w:left w:val="none" w:sz="0" w:space="0" w:color="auto"/>
        <w:bottom w:val="none" w:sz="0" w:space="0" w:color="auto"/>
        <w:right w:val="none" w:sz="0" w:space="0" w:color="auto"/>
      </w:divBdr>
      <w:divsChild>
        <w:div w:id="252126354">
          <w:marLeft w:val="0"/>
          <w:marRight w:val="0"/>
          <w:marTop w:val="0"/>
          <w:marBottom w:val="0"/>
          <w:divBdr>
            <w:top w:val="none" w:sz="0" w:space="0" w:color="auto"/>
            <w:left w:val="none" w:sz="0" w:space="0" w:color="auto"/>
            <w:bottom w:val="none" w:sz="0" w:space="0" w:color="auto"/>
            <w:right w:val="none" w:sz="0" w:space="0" w:color="auto"/>
          </w:divBdr>
        </w:div>
      </w:divsChild>
    </w:div>
    <w:div w:id="67311702">
      <w:bodyDiv w:val="1"/>
      <w:marLeft w:val="0"/>
      <w:marRight w:val="0"/>
      <w:marTop w:val="0"/>
      <w:marBottom w:val="0"/>
      <w:divBdr>
        <w:top w:val="none" w:sz="0" w:space="0" w:color="auto"/>
        <w:left w:val="none" w:sz="0" w:space="0" w:color="auto"/>
        <w:bottom w:val="none" w:sz="0" w:space="0" w:color="auto"/>
        <w:right w:val="none" w:sz="0" w:space="0" w:color="auto"/>
      </w:divBdr>
      <w:divsChild>
        <w:div w:id="451900661">
          <w:marLeft w:val="1066"/>
          <w:marRight w:val="0"/>
          <w:marTop w:val="115"/>
          <w:marBottom w:val="0"/>
          <w:divBdr>
            <w:top w:val="none" w:sz="0" w:space="0" w:color="auto"/>
            <w:left w:val="none" w:sz="0" w:space="0" w:color="auto"/>
            <w:bottom w:val="none" w:sz="0" w:space="0" w:color="auto"/>
            <w:right w:val="none" w:sz="0" w:space="0" w:color="auto"/>
          </w:divBdr>
        </w:div>
        <w:div w:id="1166169035">
          <w:marLeft w:val="1066"/>
          <w:marRight w:val="0"/>
          <w:marTop w:val="96"/>
          <w:marBottom w:val="0"/>
          <w:divBdr>
            <w:top w:val="none" w:sz="0" w:space="0" w:color="auto"/>
            <w:left w:val="none" w:sz="0" w:space="0" w:color="auto"/>
            <w:bottom w:val="none" w:sz="0" w:space="0" w:color="auto"/>
            <w:right w:val="none" w:sz="0" w:space="0" w:color="auto"/>
          </w:divBdr>
        </w:div>
        <w:div w:id="1190140796">
          <w:marLeft w:val="547"/>
          <w:marRight w:val="0"/>
          <w:marTop w:val="115"/>
          <w:marBottom w:val="0"/>
          <w:divBdr>
            <w:top w:val="none" w:sz="0" w:space="0" w:color="auto"/>
            <w:left w:val="none" w:sz="0" w:space="0" w:color="auto"/>
            <w:bottom w:val="none" w:sz="0" w:space="0" w:color="auto"/>
            <w:right w:val="none" w:sz="0" w:space="0" w:color="auto"/>
          </w:divBdr>
        </w:div>
        <w:div w:id="1441412145">
          <w:marLeft w:val="1066"/>
          <w:marRight w:val="0"/>
          <w:marTop w:val="96"/>
          <w:marBottom w:val="0"/>
          <w:divBdr>
            <w:top w:val="none" w:sz="0" w:space="0" w:color="auto"/>
            <w:left w:val="none" w:sz="0" w:space="0" w:color="auto"/>
            <w:bottom w:val="none" w:sz="0" w:space="0" w:color="auto"/>
            <w:right w:val="none" w:sz="0" w:space="0" w:color="auto"/>
          </w:divBdr>
        </w:div>
        <w:div w:id="1801339626">
          <w:marLeft w:val="1066"/>
          <w:marRight w:val="0"/>
          <w:marTop w:val="96"/>
          <w:marBottom w:val="0"/>
          <w:divBdr>
            <w:top w:val="none" w:sz="0" w:space="0" w:color="auto"/>
            <w:left w:val="none" w:sz="0" w:space="0" w:color="auto"/>
            <w:bottom w:val="none" w:sz="0" w:space="0" w:color="auto"/>
            <w:right w:val="none" w:sz="0" w:space="0" w:color="auto"/>
          </w:divBdr>
        </w:div>
      </w:divsChild>
    </w:div>
    <w:div w:id="119692777">
      <w:bodyDiv w:val="1"/>
      <w:marLeft w:val="0"/>
      <w:marRight w:val="0"/>
      <w:marTop w:val="0"/>
      <w:marBottom w:val="0"/>
      <w:divBdr>
        <w:top w:val="none" w:sz="0" w:space="0" w:color="auto"/>
        <w:left w:val="none" w:sz="0" w:space="0" w:color="auto"/>
        <w:bottom w:val="none" w:sz="0" w:space="0" w:color="auto"/>
        <w:right w:val="none" w:sz="0" w:space="0" w:color="auto"/>
      </w:divBdr>
    </w:div>
    <w:div w:id="194928187">
      <w:bodyDiv w:val="1"/>
      <w:marLeft w:val="0"/>
      <w:marRight w:val="0"/>
      <w:marTop w:val="0"/>
      <w:marBottom w:val="0"/>
      <w:divBdr>
        <w:top w:val="none" w:sz="0" w:space="0" w:color="auto"/>
        <w:left w:val="none" w:sz="0" w:space="0" w:color="auto"/>
        <w:bottom w:val="none" w:sz="0" w:space="0" w:color="auto"/>
        <w:right w:val="none" w:sz="0" w:space="0" w:color="auto"/>
      </w:divBdr>
      <w:divsChild>
        <w:div w:id="529533282">
          <w:marLeft w:val="0"/>
          <w:marRight w:val="0"/>
          <w:marTop w:val="0"/>
          <w:marBottom w:val="0"/>
          <w:divBdr>
            <w:top w:val="none" w:sz="0" w:space="0" w:color="auto"/>
            <w:left w:val="none" w:sz="0" w:space="0" w:color="auto"/>
            <w:bottom w:val="none" w:sz="0" w:space="0" w:color="auto"/>
            <w:right w:val="none" w:sz="0" w:space="0" w:color="auto"/>
          </w:divBdr>
        </w:div>
      </w:divsChild>
    </w:div>
    <w:div w:id="225531829">
      <w:bodyDiv w:val="1"/>
      <w:marLeft w:val="0"/>
      <w:marRight w:val="0"/>
      <w:marTop w:val="0"/>
      <w:marBottom w:val="0"/>
      <w:divBdr>
        <w:top w:val="none" w:sz="0" w:space="0" w:color="auto"/>
        <w:left w:val="none" w:sz="0" w:space="0" w:color="auto"/>
        <w:bottom w:val="none" w:sz="0" w:space="0" w:color="auto"/>
        <w:right w:val="none" w:sz="0" w:space="0" w:color="auto"/>
      </w:divBdr>
      <w:divsChild>
        <w:div w:id="1615287966">
          <w:marLeft w:val="0"/>
          <w:marRight w:val="0"/>
          <w:marTop w:val="0"/>
          <w:marBottom w:val="0"/>
          <w:divBdr>
            <w:top w:val="none" w:sz="0" w:space="0" w:color="auto"/>
            <w:left w:val="none" w:sz="0" w:space="0" w:color="auto"/>
            <w:bottom w:val="none" w:sz="0" w:space="0" w:color="auto"/>
            <w:right w:val="none" w:sz="0" w:space="0" w:color="auto"/>
          </w:divBdr>
        </w:div>
      </w:divsChild>
    </w:div>
    <w:div w:id="257637527">
      <w:bodyDiv w:val="1"/>
      <w:marLeft w:val="0"/>
      <w:marRight w:val="0"/>
      <w:marTop w:val="0"/>
      <w:marBottom w:val="0"/>
      <w:divBdr>
        <w:top w:val="none" w:sz="0" w:space="0" w:color="auto"/>
        <w:left w:val="none" w:sz="0" w:space="0" w:color="auto"/>
        <w:bottom w:val="none" w:sz="0" w:space="0" w:color="auto"/>
        <w:right w:val="none" w:sz="0" w:space="0" w:color="auto"/>
      </w:divBdr>
      <w:divsChild>
        <w:div w:id="408041058">
          <w:marLeft w:val="547"/>
          <w:marRight w:val="0"/>
          <w:marTop w:val="115"/>
          <w:marBottom w:val="0"/>
          <w:divBdr>
            <w:top w:val="none" w:sz="0" w:space="0" w:color="auto"/>
            <w:left w:val="none" w:sz="0" w:space="0" w:color="auto"/>
            <w:bottom w:val="none" w:sz="0" w:space="0" w:color="auto"/>
            <w:right w:val="none" w:sz="0" w:space="0" w:color="auto"/>
          </w:divBdr>
        </w:div>
        <w:div w:id="408969897">
          <w:marLeft w:val="1642"/>
          <w:marRight w:val="0"/>
          <w:marTop w:val="86"/>
          <w:marBottom w:val="0"/>
          <w:divBdr>
            <w:top w:val="none" w:sz="0" w:space="0" w:color="auto"/>
            <w:left w:val="none" w:sz="0" w:space="0" w:color="auto"/>
            <w:bottom w:val="none" w:sz="0" w:space="0" w:color="auto"/>
            <w:right w:val="none" w:sz="0" w:space="0" w:color="auto"/>
          </w:divBdr>
        </w:div>
        <w:div w:id="586959571">
          <w:marLeft w:val="1642"/>
          <w:marRight w:val="0"/>
          <w:marTop w:val="77"/>
          <w:marBottom w:val="0"/>
          <w:divBdr>
            <w:top w:val="none" w:sz="0" w:space="0" w:color="auto"/>
            <w:left w:val="none" w:sz="0" w:space="0" w:color="auto"/>
            <w:bottom w:val="none" w:sz="0" w:space="0" w:color="auto"/>
            <w:right w:val="none" w:sz="0" w:space="0" w:color="auto"/>
          </w:divBdr>
        </w:div>
        <w:div w:id="706443016">
          <w:marLeft w:val="1066"/>
          <w:marRight w:val="0"/>
          <w:marTop w:val="96"/>
          <w:marBottom w:val="0"/>
          <w:divBdr>
            <w:top w:val="none" w:sz="0" w:space="0" w:color="auto"/>
            <w:left w:val="none" w:sz="0" w:space="0" w:color="auto"/>
            <w:bottom w:val="none" w:sz="0" w:space="0" w:color="auto"/>
            <w:right w:val="none" w:sz="0" w:space="0" w:color="auto"/>
          </w:divBdr>
        </w:div>
        <w:div w:id="1152528664">
          <w:marLeft w:val="1642"/>
          <w:marRight w:val="0"/>
          <w:marTop w:val="77"/>
          <w:marBottom w:val="0"/>
          <w:divBdr>
            <w:top w:val="none" w:sz="0" w:space="0" w:color="auto"/>
            <w:left w:val="none" w:sz="0" w:space="0" w:color="auto"/>
            <w:bottom w:val="none" w:sz="0" w:space="0" w:color="auto"/>
            <w:right w:val="none" w:sz="0" w:space="0" w:color="auto"/>
          </w:divBdr>
        </w:div>
        <w:div w:id="1264342335">
          <w:marLeft w:val="1642"/>
          <w:marRight w:val="0"/>
          <w:marTop w:val="77"/>
          <w:marBottom w:val="0"/>
          <w:divBdr>
            <w:top w:val="none" w:sz="0" w:space="0" w:color="auto"/>
            <w:left w:val="none" w:sz="0" w:space="0" w:color="auto"/>
            <w:bottom w:val="none" w:sz="0" w:space="0" w:color="auto"/>
            <w:right w:val="none" w:sz="0" w:space="0" w:color="auto"/>
          </w:divBdr>
        </w:div>
        <w:div w:id="1361468739">
          <w:marLeft w:val="1642"/>
          <w:marRight w:val="0"/>
          <w:marTop w:val="77"/>
          <w:marBottom w:val="0"/>
          <w:divBdr>
            <w:top w:val="none" w:sz="0" w:space="0" w:color="auto"/>
            <w:left w:val="none" w:sz="0" w:space="0" w:color="auto"/>
            <w:bottom w:val="none" w:sz="0" w:space="0" w:color="auto"/>
            <w:right w:val="none" w:sz="0" w:space="0" w:color="auto"/>
          </w:divBdr>
        </w:div>
        <w:div w:id="1437599161">
          <w:marLeft w:val="547"/>
          <w:marRight w:val="0"/>
          <w:marTop w:val="115"/>
          <w:marBottom w:val="0"/>
          <w:divBdr>
            <w:top w:val="none" w:sz="0" w:space="0" w:color="auto"/>
            <w:left w:val="none" w:sz="0" w:space="0" w:color="auto"/>
            <w:bottom w:val="none" w:sz="0" w:space="0" w:color="auto"/>
            <w:right w:val="none" w:sz="0" w:space="0" w:color="auto"/>
          </w:divBdr>
        </w:div>
        <w:div w:id="1724602660">
          <w:marLeft w:val="1642"/>
          <w:marRight w:val="0"/>
          <w:marTop w:val="77"/>
          <w:marBottom w:val="0"/>
          <w:divBdr>
            <w:top w:val="none" w:sz="0" w:space="0" w:color="auto"/>
            <w:left w:val="none" w:sz="0" w:space="0" w:color="auto"/>
            <w:bottom w:val="none" w:sz="0" w:space="0" w:color="auto"/>
            <w:right w:val="none" w:sz="0" w:space="0" w:color="auto"/>
          </w:divBdr>
        </w:div>
      </w:divsChild>
    </w:div>
    <w:div w:id="369379711">
      <w:bodyDiv w:val="1"/>
      <w:marLeft w:val="0"/>
      <w:marRight w:val="0"/>
      <w:marTop w:val="0"/>
      <w:marBottom w:val="0"/>
      <w:divBdr>
        <w:top w:val="none" w:sz="0" w:space="0" w:color="auto"/>
        <w:left w:val="none" w:sz="0" w:space="0" w:color="auto"/>
        <w:bottom w:val="none" w:sz="0" w:space="0" w:color="auto"/>
        <w:right w:val="none" w:sz="0" w:space="0" w:color="auto"/>
      </w:divBdr>
      <w:divsChild>
        <w:div w:id="356781061">
          <w:marLeft w:val="0"/>
          <w:marRight w:val="0"/>
          <w:marTop w:val="0"/>
          <w:marBottom w:val="0"/>
          <w:divBdr>
            <w:top w:val="none" w:sz="0" w:space="0" w:color="auto"/>
            <w:left w:val="none" w:sz="0" w:space="0" w:color="auto"/>
            <w:bottom w:val="none" w:sz="0" w:space="0" w:color="auto"/>
            <w:right w:val="none" w:sz="0" w:space="0" w:color="auto"/>
          </w:divBdr>
        </w:div>
      </w:divsChild>
    </w:div>
    <w:div w:id="407574637">
      <w:bodyDiv w:val="1"/>
      <w:marLeft w:val="0"/>
      <w:marRight w:val="0"/>
      <w:marTop w:val="0"/>
      <w:marBottom w:val="0"/>
      <w:divBdr>
        <w:top w:val="none" w:sz="0" w:space="0" w:color="auto"/>
        <w:left w:val="none" w:sz="0" w:space="0" w:color="auto"/>
        <w:bottom w:val="none" w:sz="0" w:space="0" w:color="auto"/>
        <w:right w:val="none" w:sz="0" w:space="0" w:color="auto"/>
      </w:divBdr>
    </w:div>
    <w:div w:id="528496851">
      <w:bodyDiv w:val="1"/>
      <w:marLeft w:val="0"/>
      <w:marRight w:val="0"/>
      <w:marTop w:val="0"/>
      <w:marBottom w:val="0"/>
      <w:divBdr>
        <w:top w:val="none" w:sz="0" w:space="0" w:color="auto"/>
        <w:left w:val="none" w:sz="0" w:space="0" w:color="auto"/>
        <w:bottom w:val="none" w:sz="0" w:space="0" w:color="auto"/>
        <w:right w:val="none" w:sz="0" w:space="0" w:color="auto"/>
      </w:divBdr>
      <w:divsChild>
        <w:div w:id="1870557536">
          <w:marLeft w:val="806"/>
          <w:marRight w:val="0"/>
          <w:marTop w:val="200"/>
          <w:marBottom w:val="0"/>
          <w:divBdr>
            <w:top w:val="none" w:sz="0" w:space="0" w:color="auto"/>
            <w:left w:val="none" w:sz="0" w:space="0" w:color="auto"/>
            <w:bottom w:val="none" w:sz="0" w:space="0" w:color="auto"/>
            <w:right w:val="none" w:sz="0" w:space="0" w:color="auto"/>
          </w:divBdr>
        </w:div>
        <w:div w:id="1349060624">
          <w:marLeft w:val="1526"/>
          <w:marRight w:val="0"/>
          <w:marTop w:val="100"/>
          <w:marBottom w:val="0"/>
          <w:divBdr>
            <w:top w:val="none" w:sz="0" w:space="0" w:color="auto"/>
            <w:left w:val="none" w:sz="0" w:space="0" w:color="auto"/>
            <w:bottom w:val="none" w:sz="0" w:space="0" w:color="auto"/>
            <w:right w:val="none" w:sz="0" w:space="0" w:color="auto"/>
          </w:divBdr>
        </w:div>
        <w:div w:id="1819491184">
          <w:marLeft w:val="1526"/>
          <w:marRight w:val="0"/>
          <w:marTop w:val="100"/>
          <w:marBottom w:val="0"/>
          <w:divBdr>
            <w:top w:val="none" w:sz="0" w:space="0" w:color="auto"/>
            <w:left w:val="none" w:sz="0" w:space="0" w:color="auto"/>
            <w:bottom w:val="none" w:sz="0" w:space="0" w:color="auto"/>
            <w:right w:val="none" w:sz="0" w:space="0" w:color="auto"/>
          </w:divBdr>
        </w:div>
        <w:div w:id="1544444208">
          <w:marLeft w:val="806"/>
          <w:marRight w:val="0"/>
          <w:marTop w:val="200"/>
          <w:marBottom w:val="0"/>
          <w:divBdr>
            <w:top w:val="none" w:sz="0" w:space="0" w:color="auto"/>
            <w:left w:val="none" w:sz="0" w:space="0" w:color="auto"/>
            <w:bottom w:val="none" w:sz="0" w:space="0" w:color="auto"/>
            <w:right w:val="none" w:sz="0" w:space="0" w:color="auto"/>
          </w:divBdr>
        </w:div>
        <w:div w:id="224491021">
          <w:marLeft w:val="1526"/>
          <w:marRight w:val="0"/>
          <w:marTop w:val="100"/>
          <w:marBottom w:val="0"/>
          <w:divBdr>
            <w:top w:val="none" w:sz="0" w:space="0" w:color="auto"/>
            <w:left w:val="none" w:sz="0" w:space="0" w:color="auto"/>
            <w:bottom w:val="none" w:sz="0" w:space="0" w:color="auto"/>
            <w:right w:val="none" w:sz="0" w:space="0" w:color="auto"/>
          </w:divBdr>
        </w:div>
        <w:div w:id="1694843632">
          <w:marLeft w:val="1526"/>
          <w:marRight w:val="0"/>
          <w:marTop w:val="100"/>
          <w:marBottom w:val="0"/>
          <w:divBdr>
            <w:top w:val="none" w:sz="0" w:space="0" w:color="auto"/>
            <w:left w:val="none" w:sz="0" w:space="0" w:color="auto"/>
            <w:bottom w:val="none" w:sz="0" w:space="0" w:color="auto"/>
            <w:right w:val="none" w:sz="0" w:space="0" w:color="auto"/>
          </w:divBdr>
        </w:div>
        <w:div w:id="1985970002">
          <w:marLeft w:val="1526"/>
          <w:marRight w:val="0"/>
          <w:marTop w:val="100"/>
          <w:marBottom w:val="0"/>
          <w:divBdr>
            <w:top w:val="none" w:sz="0" w:space="0" w:color="auto"/>
            <w:left w:val="none" w:sz="0" w:space="0" w:color="auto"/>
            <w:bottom w:val="none" w:sz="0" w:space="0" w:color="auto"/>
            <w:right w:val="none" w:sz="0" w:space="0" w:color="auto"/>
          </w:divBdr>
        </w:div>
        <w:div w:id="1674138177">
          <w:marLeft w:val="1526"/>
          <w:marRight w:val="0"/>
          <w:marTop w:val="100"/>
          <w:marBottom w:val="0"/>
          <w:divBdr>
            <w:top w:val="none" w:sz="0" w:space="0" w:color="auto"/>
            <w:left w:val="none" w:sz="0" w:space="0" w:color="auto"/>
            <w:bottom w:val="none" w:sz="0" w:space="0" w:color="auto"/>
            <w:right w:val="none" w:sz="0" w:space="0" w:color="auto"/>
          </w:divBdr>
        </w:div>
        <w:div w:id="407927237">
          <w:marLeft w:val="1526"/>
          <w:marRight w:val="0"/>
          <w:marTop w:val="100"/>
          <w:marBottom w:val="0"/>
          <w:divBdr>
            <w:top w:val="none" w:sz="0" w:space="0" w:color="auto"/>
            <w:left w:val="none" w:sz="0" w:space="0" w:color="auto"/>
            <w:bottom w:val="none" w:sz="0" w:space="0" w:color="auto"/>
            <w:right w:val="none" w:sz="0" w:space="0" w:color="auto"/>
          </w:divBdr>
        </w:div>
      </w:divsChild>
    </w:div>
    <w:div w:id="562762386">
      <w:bodyDiv w:val="1"/>
      <w:marLeft w:val="0"/>
      <w:marRight w:val="0"/>
      <w:marTop w:val="0"/>
      <w:marBottom w:val="0"/>
      <w:divBdr>
        <w:top w:val="none" w:sz="0" w:space="0" w:color="auto"/>
        <w:left w:val="none" w:sz="0" w:space="0" w:color="auto"/>
        <w:bottom w:val="none" w:sz="0" w:space="0" w:color="auto"/>
        <w:right w:val="none" w:sz="0" w:space="0" w:color="auto"/>
      </w:divBdr>
      <w:divsChild>
        <w:div w:id="252473454">
          <w:marLeft w:val="1526"/>
          <w:marRight w:val="0"/>
          <w:marTop w:val="100"/>
          <w:marBottom w:val="0"/>
          <w:divBdr>
            <w:top w:val="none" w:sz="0" w:space="0" w:color="auto"/>
            <w:left w:val="none" w:sz="0" w:space="0" w:color="auto"/>
            <w:bottom w:val="none" w:sz="0" w:space="0" w:color="auto"/>
            <w:right w:val="none" w:sz="0" w:space="0" w:color="auto"/>
          </w:divBdr>
        </w:div>
        <w:div w:id="255942485">
          <w:marLeft w:val="1526"/>
          <w:marRight w:val="0"/>
          <w:marTop w:val="100"/>
          <w:marBottom w:val="0"/>
          <w:divBdr>
            <w:top w:val="none" w:sz="0" w:space="0" w:color="auto"/>
            <w:left w:val="none" w:sz="0" w:space="0" w:color="auto"/>
            <w:bottom w:val="none" w:sz="0" w:space="0" w:color="auto"/>
            <w:right w:val="none" w:sz="0" w:space="0" w:color="auto"/>
          </w:divBdr>
        </w:div>
        <w:div w:id="923300726">
          <w:marLeft w:val="1526"/>
          <w:marRight w:val="0"/>
          <w:marTop w:val="100"/>
          <w:marBottom w:val="0"/>
          <w:divBdr>
            <w:top w:val="none" w:sz="0" w:space="0" w:color="auto"/>
            <w:left w:val="none" w:sz="0" w:space="0" w:color="auto"/>
            <w:bottom w:val="none" w:sz="0" w:space="0" w:color="auto"/>
            <w:right w:val="none" w:sz="0" w:space="0" w:color="auto"/>
          </w:divBdr>
        </w:div>
        <w:div w:id="1326395922">
          <w:marLeft w:val="1526"/>
          <w:marRight w:val="0"/>
          <w:marTop w:val="100"/>
          <w:marBottom w:val="0"/>
          <w:divBdr>
            <w:top w:val="none" w:sz="0" w:space="0" w:color="auto"/>
            <w:left w:val="none" w:sz="0" w:space="0" w:color="auto"/>
            <w:bottom w:val="none" w:sz="0" w:space="0" w:color="auto"/>
            <w:right w:val="none" w:sz="0" w:space="0" w:color="auto"/>
          </w:divBdr>
        </w:div>
        <w:div w:id="1665934498">
          <w:marLeft w:val="806"/>
          <w:marRight w:val="0"/>
          <w:marTop w:val="200"/>
          <w:marBottom w:val="0"/>
          <w:divBdr>
            <w:top w:val="none" w:sz="0" w:space="0" w:color="auto"/>
            <w:left w:val="none" w:sz="0" w:space="0" w:color="auto"/>
            <w:bottom w:val="none" w:sz="0" w:space="0" w:color="auto"/>
            <w:right w:val="none" w:sz="0" w:space="0" w:color="auto"/>
          </w:divBdr>
        </w:div>
        <w:div w:id="1774085734">
          <w:marLeft w:val="1526"/>
          <w:marRight w:val="0"/>
          <w:marTop w:val="100"/>
          <w:marBottom w:val="0"/>
          <w:divBdr>
            <w:top w:val="none" w:sz="0" w:space="0" w:color="auto"/>
            <w:left w:val="none" w:sz="0" w:space="0" w:color="auto"/>
            <w:bottom w:val="none" w:sz="0" w:space="0" w:color="auto"/>
            <w:right w:val="none" w:sz="0" w:space="0" w:color="auto"/>
          </w:divBdr>
        </w:div>
        <w:div w:id="1841117868">
          <w:marLeft w:val="806"/>
          <w:marRight w:val="0"/>
          <w:marTop w:val="200"/>
          <w:marBottom w:val="0"/>
          <w:divBdr>
            <w:top w:val="none" w:sz="0" w:space="0" w:color="auto"/>
            <w:left w:val="none" w:sz="0" w:space="0" w:color="auto"/>
            <w:bottom w:val="none" w:sz="0" w:space="0" w:color="auto"/>
            <w:right w:val="none" w:sz="0" w:space="0" w:color="auto"/>
          </w:divBdr>
        </w:div>
        <w:div w:id="2053310304">
          <w:marLeft w:val="1526"/>
          <w:marRight w:val="0"/>
          <w:marTop w:val="100"/>
          <w:marBottom w:val="0"/>
          <w:divBdr>
            <w:top w:val="none" w:sz="0" w:space="0" w:color="auto"/>
            <w:left w:val="none" w:sz="0" w:space="0" w:color="auto"/>
            <w:bottom w:val="none" w:sz="0" w:space="0" w:color="auto"/>
            <w:right w:val="none" w:sz="0" w:space="0" w:color="auto"/>
          </w:divBdr>
        </w:div>
        <w:div w:id="2132280932">
          <w:marLeft w:val="1526"/>
          <w:marRight w:val="0"/>
          <w:marTop w:val="100"/>
          <w:marBottom w:val="0"/>
          <w:divBdr>
            <w:top w:val="none" w:sz="0" w:space="0" w:color="auto"/>
            <w:left w:val="none" w:sz="0" w:space="0" w:color="auto"/>
            <w:bottom w:val="none" w:sz="0" w:space="0" w:color="auto"/>
            <w:right w:val="none" w:sz="0" w:space="0" w:color="auto"/>
          </w:divBdr>
        </w:div>
      </w:divsChild>
    </w:div>
    <w:div w:id="790242228">
      <w:bodyDiv w:val="1"/>
      <w:marLeft w:val="0"/>
      <w:marRight w:val="0"/>
      <w:marTop w:val="0"/>
      <w:marBottom w:val="0"/>
      <w:divBdr>
        <w:top w:val="none" w:sz="0" w:space="0" w:color="auto"/>
        <w:left w:val="none" w:sz="0" w:space="0" w:color="auto"/>
        <w:bottom w:val="none" w:sz="0" w:space="0" w:color="auto"/>
        <w:right w:val="none" w:sz="0" w:space="0" w:color="auto"/>
      </w:divBdr>
    </w:div>
    <w:div w:id="811021105">
      <w:bodyDiv w:val="1"/>
      <w:marLeft w:val="0"/>
      <w:marRight w:val="0"/>
      <w:marTop w:val="0"/>
      <w:marBottom w:val="0"/>
      <w:divBdr>
        <w:top w:val="none" w:sz="0" w:space="0" w:color="auto"/>
        <w:left w:val="none" w:sz="0" w:space="0" w:color="auto"/>
        <w:bottom w:val="none" w:sz="0" w:space="0" w:color="auto"/>
        <w:right w:val="none" w:sz="0" w:space="0" w:color="auto"/>
      </w:divBdr>
    </w:div>
    <w:div w:id="828904915">
      <w:bodyDiv w:val="1"/>
      <w:marLeft w:val="0"/>
      <w:marRight w:val="0"/>
      <w:marTop w:val="0"/>
      <w:marBottom w:val="0"/>
      <w:divBdr>
        <w:top w:val="none" w:sz="0" w:space="0" w:color="auto"/>
        <w:left w:val="none" w:sz="0" w:space="0" w:color="auto"/>
        <w:bottom w:val="none" w:sz="0" w:space="0" w:color="auto"/>
        <w:right w:val="none" w:sz="0" w:space="0" w:color="auto"/>
      </w:divBdr>
      <w:divsChild>
        <w:div w:id="250507800">
          <w:marLeft w:val="0"/>
          <w:marRight w:val="0"/>
          <w:marTop w:val="0"/>
          <w:marBottom w:val="0"/>
          <w:divBdr>
            <w:top w:val="none" w:sz="0" w:space="0" w:color="auto"/>
            <w:left w:val="none" w:sz="0" w:space="0" w:color="auto"/>
            <w:bottom w:val="none" w:sz="0" w:space="0" w:color="auto"/>
            <w:right w:val="none" w:sz="0" w:space="0" w:color="auto"/>
          </w:divBdr>
        </w:div>
      </w:divsChild>
    </w:div>
    <w:div w:id="909654950">
      <w:bodyDiv w:val="1"/>
      <w:marLeft w:val="0"/>
      <w:marRight w:val="0"/>
      <w:marTop w:val="0"/>
      <w:marBottom w:val="0"/>
      <w:divBdr>
        <w:top w:val="none" w:sz="0" w:space="0" w:color="auto"/>
        <w:left w:val="none" w:sz="0" w:space="0" w:color="auto"/>
        <w:bottom w:val="none" w:sz="0" w:space="0" w:color="auto"/>
        <w:right w:val="none" w:sz="0" w:space="0" w:color="auto"/>
      </w:divBdr>
    </w:div>
    <w:div w:id="1189837440">
      <w:bodyDiv w:val="1"/>
      <w:marLeft w:val="0"/>
      <w:marRight w:val="0"/>
      <w:marTop w:val="0"/>
      <w:marBottom w:val="0"/>
      <w:divBdr>
        <w:top w:val="none" w:sz="0" w:space="0" w:color="auto"/>
        <w:left w:val="none" w:sz="0" w:space="0" w:color="auto"/>
        <w:bottom w:val="none" w:sz="0" w:space="0" w:color="auto"/>
        <w:right w:val="none" w:sz="0" w:space="0" w:color="auto"/>
      </w:divBdr>
      <w:divsChild>
        <w:div w:id="101386277">
          <w:marLeft w:val="3960"/>
          <w:marRight w:val="0"/>
          <w:marTop w:val="100"/>
          <w:marBottom w:val="0"/>
          <w:divBdr>
            <w:top w:val="none" w:sz="0" w:space="0" w:color="auto"/>
            <w:left w:val="none" w:sz="0" w:space="0" w:color="auto"/>
            <w:bottom w:val="none" w:sz="0" w:space="0" w:color="auto"/>
            <w:right w:val="none" w:sz="0" w:space="0" w:color="auto"/>
          </w:divBdr>
        </w:div>
        <w:div w:id="328412737">
          <w:marLeft w:val="4680"/>
          <w:marRight w:val="0"/>
          <w:marTop w:val="100"/>
          <w:marBottom w:val="0"/>
          <w:divBdr>
            <w:top w:val="none" w:sz="0" w:space="0" w:color="auto"/>
            <w:left w:val="none" w:sz="0" w:space="0" w:color="auto"/>
            <w:bottom w:val="none" w:sz="0" w:space="0" w:color="auto"/>
            <w:right w:val="none" w:sz="0" w:space="0" w:color="auto"/>
          </w:divBdr>
        </w:div>
        <w:div w:id="346373867">
          <w:marLeft w:val="4680"/>
          <w:marRight w:val="0"/>
          <w:marTop w:val="100"/>
          <w:marBottom w:val="0"/>
          <w:divBdr>
            <w:top w:val="none" w:sz="0" w:space="0" w:color="auto"/>
            <w:left w:val="none" w:sz="0" w:space="0" w:color="auto"/>
            <w:bottom w:val="none" w:sz="0" w:space="0" w:color="auto"/>
            <w:right w:val="none" w:sz="0" w:space="0" w:color="auto"/>
          </w:divBdr>
        </w:div>
        <w:div w:id="422456114">
          <w:marLeft w:val="4680"/>
          <w:marRight w:val="0"/>
          <w:marTop w:val="100"/>
          <w:marBottom w:val="0"/>
          <w:divBdr>
            <w:top w:val="none" w:sz="0" w:space="0" w:color="auto"/>
            <w:left w:val="none" w:sz="0" w:space="0" w:color="auto"/>
            <w:bottom w:val="none" w:sz="0" w:space="0" w:color="auto"/>
            <w:right w:val="none" w:sz="0" w:space="0" w:color="auto"/>
          </w:divBdr>
        </w:div>
        <w:div w:id="471871071">
          <w:marLeft w:val="4680"/>
          <w:marRight w:val="0"/>
          <w:marTop w:val="100"/>
          <w:marBottom w:val="0"/>
          <w:divBdr>
            <w:top w:val="none" w:sz="0" w:space="0" w:color="auto"/>
            <w:left w:val="none" w:sz="0" w:space="0" w:color="auto"/>
            <w:bottom w:val="none" w:sz="0" w:space="0" w:color="auto"/>
            <w:right w:val="none" w:sz="0" w:space="0" w:color="auto"/>
          </w:divBdr>
        </w:div>
        <w:div w:id="816921770">
          <w:marLeft w:val="3960"/>
          <w:marRight w:val="0"/>
          <w:marTop w:val="100"/>
          <w:marBottom w:val="0"/>
          <w:divBdr>
            <w:top w:val="none" w:sz="0" w:space="0" w:color="auto"/>
            <w:left w:val="none" w:sz="0" w:space="0" w:color="auto"/>
            <w:bottom w:val="none" w:sz="0" w:space="0" w:color="auto"/>
            <w:right w:val="none" w:sz="0" w:space="0" w:color="auto"/>
          </w:divBdr>
        </w:div>
        <w:div w:id="857887560">
          <w:marLeft w:val="3960"/>
          <w:marRight w:val="0"/>
          <w:marTop w:val="100"/>
          <w:marBottom w:val="0"/>
          <w:divBdr>
            <w:top w:val="none" w:sz="0" w:space="0" w:color="auto"/>
            <w:left w:val="none" w:sz="0" w:space="0" w:color="auto"/>
            <w:bottom w:val="none" w:sz="0" w:space="0" w:color="auto"/>
            <w:right w:val="none" w:sz="0" w:space="0" w:color="auto"/>
          </w:divBdr>
        </w:div>
        <w:div w:id="877861444">
          <w:marLeft w:val="3960"/>
          <w:marRight w:val="0"/>
          <w:marTop w:val="100"/>
          <w:marBottom w:val="0"/>
          <w:divBdr>
            <w:top w:val="none" w:sz="0" w:space="0" w:color="auto"/>
            <w:left w:val="none" w:sz="0" w:space="0" w:color="auto"/>
            <w:bottom w:val="none" w:sz="0" w:space="0" w:color="auto"/>
            <w:right w:val="none" w:sz="0" w:space="0" w:color="auto"/>
          </w:divBdr>
        </w:div>
        <w:div w:id="908536657">
          <w:marLeft w:val="4680"/>
          <w:marRight w:val="0"/>
          <w:marTop w:val="100"/>
          <w:marBottom w:val="0"/>
          <w:divBdr>
            <w:top w:val="none" w:sz="0" w:space="0" w:color="auto"/>
            <w:left w:val="none" w:sz="0" w:space="0" w:color="auto"/>
            <w:bottom w:val="none" w:sz="0" w:space="0" w:color="auto"/>
            <w:right w:val="none" w:sz="0" w:space="0" w:color="auto"/>
          </w:divBdr>
        </w:div>
        <w:div w:id="909344345">
          <w:marLeft w:val="5400"/>
          <w:marRight w:val="0"/>
          <w:marTop w:val="100"/>
          <w:marBottom w:val="0"/>
          <w:divBdr>
            <w:top w:val="none" w:sz="0" w:space="0" w:color="auto"/>
            <w:left w:val="none" w:sz="0" w:space="0" w:color="auto"/>
            <w:bottom w:val="none" w:sz="0" w:space="0" w:color="auto"/>
            <w:right w:val="none" w:sz="0" w:space="0" w:color="auto"/>
          </w:divBdr>
        </w:div>
        <w:div w:id="1276868483">
          <w:marLeft w:val="4680"/>
          <w:marRight w:val="0"/>
          <w:marTop w:val="100"/>
          <w:marBottom w:val="0"/>
          <w:divBdr>
            <w:top w:val="none" w:sz="0" w:space="0" w:color="auto"/>
            <w:left w:val="none" w:sz="0" w:space="0" w:color="auto"/>
            <w:bottom w:val="none" w:sz="0" w:space="0" w:color="auto"/>
            <w:right w:val="none" w:sz="0" w:space="0" w:color="auto"/>
          </w:divBdr>
        </w:div>
        <w:div w:id="1566992668">
          <w:marLeft w:val="4680"/>
          <w:marRight w:val="0"/>
          <w:marTop w:val="100"/>
          <w:marBottom w:val="0"/>
          <w:divBdr>
            <w:top w:val="none" w:sz="0" w:space="0" w:color="auto"/>
            <w:left w:val="none" w:sz="0" w:space="0" w:color="auto"/>
            <w:bottom w:val="none" w:sz="0" w:space="0" w:color="auto"/>
            <w:right w:val="none" w:sz="0" w:space="0" w:color="auto"/>
          </w:divBdr>
        </w:div>
        <w:div w:id="1599362770">
          <w:marLeft w:val="4680"/>
          <w:marRight w:val="0"/>
          <w:marTop w:val="100"/>
          <w:marBottom w:val="0"/>
          <w:divBdr>
            <w:top w:val="none" w:sz="0" w:space="0" w:color="auto"/>
            <w:left w:val="none" w:sz="0" w:space="0" w:color="auto"/>
            <w:bottom w:val="none" w:sz="0" w:space="0" w:color="auto"/>
            <w:right w:val="none" w:sz="0" w:space="0" w:color="auto"/>
          </w:divBdr>
        </w:div>
        <w:div w:id="1756509175">
          <w:marLeft w:val="4680"/>
          <w:marRight w:val="0"/>
          <w:marTop w:val="100"/>
          <w:marBottom w:val="0"/>
          <w:divBdr>
            <w:top w:val="none" w:sz="0" w:space="0" w:color="auto"/>
            <w:left w:val="none" w:sz="0" w:space="0" w:color="auto"/>
            <w:bottom w:val="none" w:sz="0" w:space="0" w:color="auto"/>
            <w:right w:val="none" w:sz="0" w:space="0" w:color="auto"/>
          </w:divBdr>
        </w:div>
        <w:div w:id="1778909595">
          <w:marLeft w:val="3960"/>
          <w:marRight w:val="0"/>
          <w:marTop w:val="100"/>
          <w:marBottom w:val="0"/>
          <w:divBdr>
            <w:top w:val="none" w:sz="0" w:space="0" w:color="auto"/>
            <w:left w:val="none" w:sz="0" w:space="0" w:color="auto"/>
            <w:bottom w:val="none" w:sz="0" w:space="0" w:color="auto"/>
            <w:right w:val="none" w:sz="0" w:space="0" w:color="auto"/>
          </w:divBdr>
        </w:div>
        <w:div w:id="2027440167">
          <w:marLeft w:val="4680"/>
          <w:marRight w:val="0"/>
          <w:marTop w:val="100"/>
          <w:marBottom w:val="0"/>
          <w:divBdr>
            <w:top w:val="none" w:sz="0" w:space="0" w:color="auto"/>
            <w:left w:val="none" w:sz="0" w:space="0" w:color="auto"/>
            <w:bottom w:val="none" w:sz="0" w:space="0" w:color="auto"/>
            <w:right w:val="none" w:sz="0" w:space="0" w:color="auto"/>
          </w:divBdr>
        </w:div>
        <w:div w:id="2093771305">
          <w:marLeft w:val="4680"/>
          <w:marRight w:val="0"/>
          <w:marTop w:val="100"/>
          <w:marBottom w:val="0"/>
          <w:divBdr>
            <w:top w:val="none" w:sz="0" w:space="0" w:color="auto"/>
            <w:left w:val="none" w:sz="0" w:space="0" w:color="auto"/>
            <w:bottom w:val="none" w:sz="0" w:space="0" w:color="auto"/>
            <w:right w:val="none" w:sz="0" w:space="0" w:color="auto"/>
          </w:divBdr>
        </w:div>
        <w:div w:id="2127574502">
          <w:marLeft w:val="3960"/>
          <w:marRight w:val="0"/>
          <w:marTop w:val="100"/>
          <w:marBottom w:val="0"/>
          <w:divBdr>
            <w:top w:val="none" w:sz="0" w:space="0" w:color="auto"/>
            <w:left w:val="none" w:sz="0" w:space="0" w:color="auto"/>
            <w:bottom w:val="none" w:sz="0" w:space="0" w:color="auto"/>
            <w:right w:val="none" w:sz="0" w:space="0" w:color="auto"/>
          </w:divBdr>
        </w:div>
        <w:div w:id="2138404848">
          <w:marLeft w:val="3960"/>
          <w:marRight w:val="0"/>
          <w:marTop w:val="100"/>
          <w:marBottom w:val="0"/>
          <w:divBdr>
            <w:top w:val="none" w:sz="0" w:space="0" w:color="auto"/>
            <w:left w:val="none" w:sz="0" w:space="0" w:color="auto"/>
            <w:bottom w:val="none" w:sz="0" w:space="0" w:color="auto"/>
            <w:right w:val="none" w:sz="0" w:space="0" w:color="auto"/>
          </w:divBdr>
        </w:div>
      </w:divsChild>
    </w:div>
    <w:div w:id="1244922913">
      <w:bodyDiv w:val="1"/>
      <w:marLeft w:val="0"/>
      <w:marRight w:val="0"/>
      <w:marTop w:val="0"/>
      <w:marBottom w:val="0"/>
      <w:divBdr>
        <w:top w:val="none" w:sz="0" w:space="0" w:color="auto"/>
        <w:left w:val="none" w:sz="0" w:space="0" w:color="auto"/>
        <w:bottom w:val="none" w:sz="0" w:space="0" w:color="auto"/>
        <w:right w:val="none" w:sz="0" w:space="0" w:color="auto"/>
      </w:divBdr>
    </w:div>
    <w:div w:id="1313944636">
      <w:bodyDiv w:val="1"/>
      <w:marLeft w:val="0"/>
      <w:marRight w:val="0"/>
      <w:marTop w:val="0"/>
      <w:marBottom w:val="0"/>
      <w:divBdr>
        <w:top w:val="none" w:sz="0" w:space="0" w:color="auto"/>
        <w:left w:val="none" w:sz="0" w:space="0" w:color="auto"/>
        <w:bottom w:val="none" w:sz="0" w:space="0" w:color="auto"/>
        <w:right w:val="none" w:sz="0" w:space="0" w:color="auto"/>
      </w:divBdr>
    </w:div>
    <w:div w:id="1342005411">
      <w:bodyDiv w:val="1"/>
      <w:marLeft w:val="0"/>
      <w:marRight w:val="0"/>
      <w:marTop w:val="0"/>
      <w:marBottom w:val="0"/>
      <w:divBdr>
        <w:top w:val="none" w:sz="0" w:space="0" w:color="auto"/>
        <w:left w:val="none" w:sz="0" w:space="0" w:color="auto"/>
        <w:bottom w:val="none" w:sz="0" w:space="0" w:color="auto"/>
        <w:right w:val="none" w:sz="0" w:space="0" w:color="auto"/>
      </w:divBdr>
    </w:div>
    <w:div w:id="1435592126">
      <w:bodyDiv w:val="1"/>
      <w:marLeft w:val="0"/>
      <w:marRight w:val="0"/>
      <w:marTop w:val="0"/>
      <w:marBottom w:val="0"/>
      <w:divBdr>
        <w:top w:val="none" w:sz="0" w:space="0" w:color="auto"/>
        <w:left w:val="none" w:sz="0" w:space="0" w:color="auto"/>
        <w:bottom w:val="none" w:sz="0" w:space="0" w:color="auto"/>
        <w:right w:val="none" w:sz="0" w:space="0" w:color="auto"/>
      </w:divBdr>
      <w:divsChild>
        <w:div w:id="104346139">
          <w:marLeft w:val="1800"/>
          <w:marRight w:val="0"/>
          <w:marTop w:val="100"/>
          <w:marBottom w:val="0"/>
          <w:divBdr>
            <w:top w:val="none" w:sz="0" w:space="0" w:color="auto"/>
            <w:left w:val="none" w:sz="0" w:space="0" w:color="auto"/>
            <w:bottom w:val="none" w:sz="0" w:space="0" w:color="auto"/>
            <w:right w:val="none" w:sz="0" w:space="0" w:color="auto"/>
          </w:divBdr>
        </w:div>
      </w:divsChild>
    </w:div>
    <w:div w:id="1509714817">
      <w:bodyDiv w:val="1"/>
      <w:marLeft w:val="0"/>
      <w:marRight w:val="0"/>
      <w:marTop w:val="0"/>
      <w:marBottom w:val="0"/>
      <w:divBdr>
        <w:top w:val="none" w:sz="0" w:space="0" w:color="auto"/>
        <w:left w:val="none" w:sz="0" w:space="0" w:color="auto"/>
        <w:bottom w:val="none" w:sz="0" w:space="0" w:color="auto"/>
        <w:right w:val="none" w:sz="0" w:space="0" w:color="auto"/>
      </w:divBdr>
    </w:div>
    <w:div w:id="1760832517">
      <w:bodyDiv w:val="1"/>
      <w:marLeft w:val="0"/>
      <w:marRight w:val="0"/>
      <w:marTop w:val="0"/>
      <w:marBottom w:val="0"/>
      <w:divBdr>
        <w:top w:val="none" w:sz="0" w:space="0" w:color="auto"/>
        <w:left w:val="none" w:sz="0" w:space="0" w:color="auto"/>
        <w:bottom w:val="none" w:sz="0" w:space="0" w:color="auto"/>
        <w:right w:val="none" w:sz="0" w:space="0" w:color="auto"/>
      </w:divBdr>
      <w:divsChild>
        <w:div w:id="633675092">
          <w:marLeft w:val="1800"/>
          <w:marRight w:val="0"/>
          <w:marTop w:val="100"/>
          <w:marBottom w:val="0"/>
          <w:divBdr>
            <w:top w:val="none" w:sz="0" w:space="0" w:color="auto"/>
            <w:left w:val="none" w:sz="0" w:space="0" w:color="auto"/>
            <w:bottom w:val="none" w:sz="0" w:space="0" w:color="auto"/>
            <w:right w:val="none" w:sz="0" w:space="0" w:color="auto"/>
          </w:divBdr>
        </w:div>
        <w:div w:id="1923297156">
          <w:marLeft w:val="2520"/>
          <w:marRight w:val="0"/>
          <w:marTop w:val="100"/>
          <w:marBottom w:val="0"/>
          <w:divBdr>
            <w:top w:val="none" w:sz="0" w:space="0" w:color="auto"/>
            <w:left w:val="none" w:sz="0" w:space="0" w:color="auto"/>
            <w:bottom w:val="none" w:sz="0" w:space="0" w:color="auto"/>
            <w:right w:val="none" w:sz="0" w:space="0" w:color="auto"/>
          </w:divBdr>
        </w:div>
      </w:divsChild>
    </w:div>
    <w:div w:id="1818303588">
      <w:bodyDiv w:val="1"/>
      <w:marLeft w:val="0"/>
      <w:marRight w:val="0"/>
      <w:marTop w:val="0"/>
      <w:marBottom w:val="0"/>
      <w:divBdr>
        <w:top w:val="none" w:sz="0" w:space="0" w:color="auto"/>
        <w:left w:val="none" w:sz="0" w:space="0" w:color="auto"/>
        <w:bottom w:val="none" w:sz="0" w:space="0" w:color="auto"/>
        <w:right w:val="none" w:sz="0" w:space="0" w:color="auto"/>
      </w:divBdr>
    </w:div>
    <w:div w:id="1945962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encer\AppData\Local\Microsoft\Windows\Temporary%20Internet%20Files\Content.Outlook\3NOQM8S3\Loop%20Flow%20Report%20March%202017%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01c978fd4aa419aaac0718960093419 xmlns="8f2941d7-2158-4802-901b-3b973131ddc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d6ce5a30-5755-4ab3-9cd3-f0dfda30199b</TermId>
        </TermInfo>
      </Terms>
    </m01c978fd4aa419aaac0718960093419>
    <TaxCatchAll xmlns="8f2941d7-2158-4802-901b-3b973131ddcb">
      <Value>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4D84CBC431674C9E57F170856B5F8A" ma:contentTypeVersion="0" ma:contentTypeDescription="Create a new document." ma:contentTypeScope="" ma:versionID="bd031a4529869cc283461356b00a8fcf">
  <xsd:schema xmlns:xsd="http://www.w3.org/2001/XMLSchema" xmlns:xs="http://www.w3.org/2001/XMLSchema" xmlns:p="http://schemas.microsoft.com/office/2006/metadata/properties" xmlns:ns2="8f2941d7-2158-4802-901b-3b973131ddcb" targetNamespace="http://schemas.microsoft.com/office/2006/metadata/properties" ma:root="true" ma:fieldsID="853c8a4c1d986a54f505d2d89f5626ec" ns2:_="">
    <xsd:import namespace="8f2941d7-2158-4802-901b-3b973131ddcb"/>
    <xsd:element name="properties">
      <xsd:complexType>
        <xsd:sequence>
          <xsd:element name="documentManagement">
            <xsd:complexType>
              <xsd:all>
                <xsd:element ref="ns2:m01c978fd4aa419aaac071896009341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41d7-2158-4802-901b-3b973131ddcb" elementFormDefault="qualified">
    <xsd:import namespace="http://schemas.microsoft.com/office/2006/documentManagement/types"/>
    <xsd:import namespace="http://schemas.microsoft.com/office/infopath/2007/PartnerControls"/>
    <xsd:element name="m01c978fd4aa419aaac0718960093419" ma:index="8" nillable="true" ma:taxonomy="true" ma:internalName="m01c978fd4aa419aaac0718960093419" ma:taxonomyFieldName="SERC_x0020_Tags" ma:displayName="SERC Tags" ma:default="" ma:fieldId="{601c978f-d4aa-419a-aac0-718960093419}" ma:taxonomyMulti="true" ma:sspId="f5437509-3704-42c1-ad43-7cfe313717bc" ma:termSetId="5d435cc3-0f27-4beb-ace1-55b9cf4fad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3a5c73-078e-4c48-a1e0-0e32e1e87d81}" ma:internalName="TaxCatchAll" ma:showField="CatchAllData" ma:web="8f2941d7-2158-4802-901b-3b973131dd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3a5c73-078e-4c48-a1e0-0e32e1e87d81}" ma:internalName="TaxCatchAllLabel" ma:readOnly="true" ma:showField="CatchAllDataLabel" ma:web="8f2941d7-2158-4802-901b-3b973131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61F8F-B1D2-4CA0-9321-400B4FB9B708}">
  <ds:schemaRefs>
    <ds:schemaRef ds:uri="http://schemas.microsoft.com/office/2006/metadata/properties"/>
    <ds:schemaRef ds:uri="http://schemas.microsoft.com/office/infopath/2007/PartnerControls"/>
    <ds:schemaRef ds:uri="8f2941d7-2158-4802-901b-3b973131ddcb"/>
  </ds:schemaRefs>
</ds:datastoreItem>
</file>

<file path=customXml/itemProps2.xml><?xml version="1.0" encoding="utf-8"?>
<ds:datastoreItem xmlns:ds="http://schemas.openxmlformats.org/officeDocument/2006/customXml" ds:itemID="{7FC8C226-E65D-4852-8C66-CD3586FCE776}">
  <ds:schemaRefs>
    <ds:schemaRef ds:uri="http://schemas.microsoft.com/sharepoint/v3/contenttype/forms"/>
  </ds:schemaRefs>
</ds:datastoreItem>
</file>

<file path=customXml/itemProps3.xml><?xml version="1.0" encoding="utf-8"?>
<ds:datastoreItem xmlns:ds="http://schemas.openxmlformats.org/officeDocument/2006/customXml" ds:itemID="{0BE94FBF-DC58-459D-9736-54A0DCC7D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41d7-2158-4802-901b-3b973131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F1371-E503-405A-ADC7-98B1B6D5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Loop Flow Report March 2017 (2).dotx</Template>
  <TotalTime>0</TotalTime>
  <Pages>17</Pages>
  <Words>6019</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SERC Technical Document Template 120715</vt:lpstr>
    </vt:vector>
  </TitlesOfParts>
  <Company>Microsoft</Company>
  <LinksUpToDate>false</LinksUpToDate>
  <CharactersWithSpaces>40253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SERC Technical Document Template 120715</dc:title>
  <dc:creator>Joe Spencer</dc:creator>
  <cp:lastModifiedBy>Manning, James</cp:lastModifiedBy>
  <cp:revision>2</cp:revision>
  <cp:lastPrinted>2017-08-25T16:40:00Z</cp:lastPrinted>
  <dcterms:created xsi:type="dcterms:W3CDTF">2019-04-15T21:14:00Z</dcterms:created>
  <dcterms:modified xsi:type="dcterms:W3CDTF">2019-04-15T21:14:00Z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0x010100474D84CBC431674C9E57F170856B5F8A</vt:lpwstr>
  </property>
  <property fmtid="{D5CDD505-2E9C-101B-9397-08002B2CF9AE}" pid="3" name="SERC Tags">
    <vt:lpwstr>5;#Template|d6ce5a30-5755-4ab3-9cd3-f0dfda30199b</vt:lpwstr>
  </property>
</Properties>
</file>