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B9" w:rsidRPr="00640BB9" w:rsidRDefault="00640BB9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40BB9">
        <w:rPr>
          <w:b/>
        </w:rPr>
        <w:t xml:space="preserve">2018 API </w:t>
      </w:r>
      <w:r w:rsidR="009A082C" w:rsidRPr="00640BB9">
        <w:rPr>
          <w:b/>
        </w:rPr>
        <w:t>3a</w:t>
      </w:r>
      <w:r w:rsidR="009A082C">
        <w:rPr>
          <w:b/>
        </w:rPr>
        <w:t xml:space="preserve"> Assigned</w:t>
      </w:r>
      <w:r w:rsidR="00D61617">
        <w:rPr>
          <w:b/>
        </w:rPr>
        <w:t xml:space="preserve"> to OASIS Subcommittee</w:t>
      </w:r>
    </w:p>
    <w:p w:rsidR="00640BB9" w:rsidRDefault="00640BB9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3.  Develop business practices standards to improve the current operation of the wholesale electric market and develop and maintain business practice and communication standards for OASIS and Electronic Scheduling.</w:t>
      </w:r>
    </w:p>
    <w:p w:rsidR="00D61617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a. Requirements for OASIS to use data in the Electric Industry Registry (EIR)</w:t>
      </w:r>
    </w:p>
    <w:p w:rsidR="00D61617" w:rsidRPr="00640BB9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40BB9">
        <w:t xml:space="preserve">Individual Assignment:  Refine the scope for Requirements for OASIS to use data in the Electric Industry Registry (R12001) </w:t>
      </w:r>
      <w:r>
        <w:rPr>
          <w:i/>
        </w:rPr>
        <w:t>as it relates to tagging (per OS discussion in February 2018/Phoenix)</w:t>
      </w:r>
    </w:p>
    <w:p w:rsidR="00D61617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0BB9" w:rsidRDefault="00640BB9"/>
    <w:p w:rsidR="00640BB9" w:rsidRDefault="00D61617">
      <w:pPr>
        <w:rPr>
          <w:b/>
        </w:rPr>
      </w:pPr>
      <w:r>
        <w:rPr>
          <w:b/>
        </w:rPr>
        <w:t xml:space="preserve">February 2018 OS discussion introduced the OS to the data elements for certain information currently held and used by OASIS and the </w:t>
      </w:r>
      <w:r w:rsidR="0072626E">
        <w:rPr>
          <w:b/>
        </w:rPr>
        <w:t>EIR</w:t>
      </w:r>
      <w:r>
        <w:rPr>
          <w:b/>
        </w:rPr>
        <w:t>.  Differences in data elements for the same entry were discussed.</w:t>
      </w:r>
    </w:p>
    <w:p w:rsidR="00C50D13" w:rsidRDefault="00C50D13">
      <w:pPr>
        <w:rPr>
          <w:b/>
        </w:rPr>
      </w:pPr>
    </w:p>
    <w:p w:rsidR="00C50D13" w:rsidRPr="00C50D13" w:rsidRDefault="00C50D13">
      <w:pPr>
        <w:rPr>
          <w:b/>
          <w:sz w:val="32"/>
          <w:szCs w:val="32"/>
        </w:rPr>
      </w:pPr>
      <w:r w:rsidRPr="00C50D13">
        <w:rPr>
          <w:b/>
          <w:sz w:val="32"/>
          <w:szCs w:val="32"/>
        </w:rPr>
        <w:t>RFI Data elements:</w:t>
      </w:r>
      <w:bookmarkStart w:id="0" w:name="_GoBack"/>
      <w:bookmarkEnd w:id="0"/>
    </w:p>
    <w:p w:rsidR="00950490" w:rsidRPr="0072626E" w:rsidRDefault="0072626E" w:rsidP="007262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863B6" w:rsidRPr="0072626E">
        <w:rPr>
          <w:b/>
        </w:rPr>
        <w:t xml:space="preserve">Tag </w:t>
      </w:r>
      <w:r w:rsidR="00DB0ACF" w:rsidRPr="0072626E">
        <w:rPr>
          <w:b/>
        </w:rPr>
        <w:t>Information Section</w:t>
      </w:r>
    </w:p>
    <w:p w:rsidR="00E863B6" w:rsidRDefault="00E863B6">
      <w:r>
        <w:t xml:space="preserve">Source BA Entity </w:t>
      </w:r>
      <w:proofErr w:type="gramStart"/>
      <w:r>
        <w:t>Code  -</w:t>
      </w:r>
      <w:proofErr w:type="gramEnd"/>
      <w:r>
        <w:t xml:space="preserve"> GCA</w:t>
      </w:r>
    </w:p>
    <w:p w:rsidR="00E863B6" w:rsidRDefault="00E863B6">
      <w:r>
        <w:t>PSE Entity Code (e-tag Author PSE)</w:t>
      </w:r>
    </w:p>
    <w:p w:rsidR="00E863B6" w:rsidRDefault="00E863B6">
      <w:r>
        <w:t>Unique transaction identifier (e-tag code</w:t>
      </w:r>
      <w:proofErr w:type="gramStart"/>
      <w:r>
        <w:t>)  alpha</w:t>
      </w:r>
      <w:proofErr w:type="gramEnd"/>
      <w:r>
        <w:t>-numeric</w:t>
      </w:r>
    </w:p>
    <w:p w:rsidR="00E863B6" w:rsidRDefault="00E863B6">
      <w:r>
        <w:t xml:space="preserve">Sink BA Entity </w:t>
      </w:r>
      <w:proofErr w:type="gramStart"/>
      <w:r>
        <w:t>Code  -</w:t>
      </w:r>
      <w:proofErr w:type="gramEnd"/>
      <w:r>
        <w:t xml:space="preserve">  LCS</w:t>
      </w:r>
    </w:p>
    <w:p w:rsidR="00E863B6" w:rsidRDefault="00E863B6">
      <w:r>
        <w:t>Example</w:t>
      </w:r>
    </w:p>
    <w:p w:rsidR="00E863B6" w:rsidRDefault="00E863B6">
      <w:r w:rsidRPr="00E863B6">
        <w:t>SWPP_FPLPSECMRN08T_TVA </w:t>
      </w:r>
    </w:p>
    <w:p w:rsidR="00E863B6" w:rsidRDefault="00E863B6">
      <w:pPr>
        <w:rPr>
          <w:noProof/>
        </w:rPr>
      </w:pPr>
      <w:r>
        <w:rPr>
          <w:noProof/>
        </w:rPr>
        <w:drawing>
          <wp:inline distT="0" distB="0" distL="0" distR="0" wp14:anchorId="13C9F03B" wp14:editId="54B22903">
            <wp:extent cx="346909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7764" cy="159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B0ACF" w:rsidRDefault="00DB0ACF" w:rsidP="00DB0ACF">
      <w:pPr>
        <w:spacing w:after="0"/>
        <w:rPr>
          <w:b/>
          <w:noProof/>
        </w:rPr>
      </w:pPr>
      <w:r w:rsidRPr="00DB0ACF">
        <w:rPr>
          <w:b/>
          <w:noProof/>
        </w:rPr>
        <w:t>Contact Information Section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PSE Code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PSE Contct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PSE Phone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PSE FAX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Gen Contact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Gen Phone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Gen FAX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lastRenderedPageBreak/>
        <w:t>Load Contact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Load Phone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Load Fax</w:t>
      </w:r>
    </w:p>
    <w:p w:rsidR="00DB0ACF" w:rsidRPr="00F71632" w:rsidRDefault="00DB0ACF" w:rsidP="00DB0ACF">
      <w:pPr>
        <w:spacing w:after="0"/>
        <w:ind w:left="720"/>
        <w:rPr>
          <w:noProof/>
        </w:rPr>
      </w:pPr>
      <w:r w:rsidRPr="00F71632">
        <w:rPr>
          <w:noProof/>
        </w:rPr>
        <w:t>Comment</w:t>
      </w:r>
    </w:p>
    <w:p w:rsidR="00DB0ACF" w:rsidRDefault="00DB0ACF" w:rsidP="00DB0ACF">
      <w:pPr>
        <w:ind w:left="720"/>
        <w:rPr>
          <w:b/>
        </w:rPr>
      </w:pPr>
    </w:p>
    <w:p w:rsidR="00DB0ACF" w:rsidRDefault="00DB0ACF" w:rsidP="00DB0ACF">
      <w:pPr>
        <w:rPr>
          <w:b/>
        </w:rPr>
      </w:pPr>
      <w:r>
        <w:rPr>
          <w:b/>
        </w:rPr>
        <w:t>Request Section</w:t>
      </w:r>
    </w:p>
    <w:p w:rsidR="00DB0ACF" w:rsidRPr="00F71632" w:rsidRDefault="00DB0ACF" w:rsidP="00F71632">
      <w:pPr>
        <w:spacing w:after="0"/>
        <w:ind w:left="720"/>
      </w:pPr>
      <w:proofErr w:type="spellStart"/>
      <w:r w:rsidRPr="00F71632">
        <w:t>Req</w:t>
      </w:r>
      <w:proofErr w:type="spellEnd"/>
      <w:r w:rsidRPr="00F71632">
        <w:t xml:space="preserve"> #</w:t>
      </w:r>
    </w:p>
    <w:p w:rsidR="00DB0ACF" w:rsidRPr="00DB0ACF" w:rsidRDefault="00DB0ACF" w:rsidP="00F71632">
      <w:pPr>
        <w:spacing w:after="0"/>
        <w:ind w:left="720"/>
      </w:pPr>
      <w:r w:rsidRPr="00DB0ACF">
        <w:t>Type (creation/adjustment/curtailment</w:t>
      </w:r>
    </w:p>
    <w:p w:rsidR="00DB0ACF" w:rsidRPr="00DB0ACF" w:rsidRDefault="00DB0ACF" w:rsidP="00F71632">
      <w:pPr>
        <w:spacing w:after="0"/>
        <w:ind w:left="720"/>
      </w:pPr>
      <w:r w:rsidRPr="00DB0ACF">
        <w:t>Author PSE</w:t>
      </w:r>
    </w:p>
    <w:p w:rsidR="00DB0ACF" w:rsidRPr="00DB0ACF" w:rsidRDefault="00DB0ACF" w:rsidP="00F71632">
      <w:pPr>
        <w:spacing w:after="0"/>
        <w:ind w:left="720"/>
      </w:pPr>
      <w:r w:rsidRPr="00DB0ACF">
        <w:t>Time</w:t>
      </w:r>
    </w:p>
    <w:p w:rsidR="00DB0ACF" w:rsidRPr="00DB0ACF" w:rsidRDefault="00DB0ACF" w:rsidP="00F71632">
      <w:pPr>
        <w:spacing w:after="0"/>
        <w:ind w:left="720"/>
      </w:pPr>
      <w:r w:rsidRPr="00DB0ACF">
        <w:t>Status</w:t>
      </w:r>
    </w:p>
    <w:p w:rsidR="00DB0ACF" w:rsidRDefault="0072626E" w:rsidP="00F71632">
      <w:pPr>
        <w:spacing w:after="0"/>
        <w:rPr>
          <w:b/>
        </w:rPr>
      </w:pPr>
      <w:r>
        <w:rPr>
          <w:b/>
        </w:rPr>
        <w:t xml:space="preserve">2.   </w:t>
      </w:r>
      <w:r w:rsidR="00DB0ACF">
        <w:rPr>
          <w:b/>
        </w:rPr>
        <w:t xml:space="preserve">Market Path Section </w:t>
      </w:r>
    </w:p>
    <w:p w:rsidR="00DB0ACF" w:rsidRPr="00F71632" w:rsidRDefault="00DB0ACF" w:rsidP="00F71632">
      <w:pPr>
        <w:spacing w:after="0"/>
        <w:ind w:left="720"/>
      </w:pPr>
      <w:r w:rsidRPr="00F71632">
        <w:t>PSE</w:t>
      </w:r>
    </w:p>
    <w:p w:rsidR="00DB0ACF" w:rsidRDefault="00DB0ACF" w:rsidP="00F71632">
      <w:pPr>
        <w:spacing w:after="0"/>
        <w:ind w:left="720"/>
      </w:pPr>
      <w:r w:rsidRPr="00F71632">
        <w:t>Product</w:t>
      </w:r>
    </w:p>
    <w:p w:rsidR="00F71632" w:rsidRDefault="00F71632" w:rsidP="00F71632">
      <w:pPr>
        <w:spacing w:after="0"/>
        <w:ind w:left="720"/>
      </w:pPr>
    </w:p>
    <w:p w:rsidR="00F71632" w:rsidRDefault="00F71632" w:rsidP="006A3471">
      <w:pPr>
        <w:spacing w:after="0"/>
        <w:ind w:left="720"/>
        <w:rPr>
          <w:b/>
        </w:rPr>
      </w:pPr>
      <w:r w:rsidRPr="00F71632">
        <w:rPr>
          <w:b/>
        </w:rPr>
        <w:t>Market Information Section</w:t>
      </w:r>
    </w:p>
    <w:p w:rsidR="00F71632" w:rsidRDefault="00F71632" w:rsidP="00F71632">
      <w:pPr>
        <w:spacing w:after="0"/>
        <w:ind w:left="720"/>
        <w:rPr>
          <w:b/>
        </w:rPr>
      </w:pPr>
    </w:p>
    <w:p w:rsidR="00F71632" w:rsidRPr="00F71632" w:rsidRDefault="00F71632" w:rsidP="00F71632">
      <w:pPr>
        <w:spacing w:after="0"/>
        <w:ind w:left="720"/>
        <w:rPr>
          <w:b/>
        </w:rPr>
      </w:pPr>
    </w:p>
    <w:p w:rsidR="00DB0ACF" w:rsidRPr="0072626E" w:rsidRDefault="00F71632" w:rsidP="0072626E">
      <w:pPr>
        <w:pStyle w:val="ListParagraph"/>
        <w:numPr>
          <w:ilvl w:val="0"/>
          <w:numId w:val="2"/>
        </w:numPr>
        <w:rPr>
          <w:b/>
        </w:rPr>
      </w:pPr>
      <w:r w:rsidRPr="0072626E">
        <w:rPr>
          <w:b/>
        </w:rPr>
        <w:t>Physical Path Section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Source BA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PSE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Source</w:t>
      </w:r>
    </w:p>
    <w:p w:rsidR="00F71632" w:rsidRDefault="00F71632" w:rsidP="006A3471">
      <w:pPr>
        <w:ind w:left="1440"/>
        <w:rPr>
          <w:b/>
        </w:rPr>
      </w:pPr>
    </w:p>
    <w:p w:rsidR="00F71632" w:rsidRDefault="00F71632" w:rsidP="006A3471">
      <w:pPr>
        <w:ind w:left="1440"/>
        <w:rPr>
          <w:b/>
        </w:rPr>
      </w:pPr>
      <w:r>
        <w:rPr>
          <w:b/>
        </w:rPr>
        <w:t>TSP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PSE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POR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POD</w:t>
      </w:r>
    </w:p>
    <w:p w:rsidR="00F71632" w:rsidRDefault="00F71632" w:rsidP="006A3471">
      <w:pPr>
        <w:ind w:left="1440"/>
        <w:rPr>
          <w:b/>
        </w:rPr>
      </w:pPr>
    </w:p>
    <w:p w:rsidR="00F71632" w:rsidRDefault="00F71632" w:rsidP="006A3471">
      <w:pPr>
        <w:ind w:left="1440"/>
        <w:rPr>
          <w:b/>
        </w:rPr>
      </w:pPr>
      <w:r>
        <w:rPr>
          <w:b/>
        </w:rPr>
        <w:t>Sink BA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MO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PSE</w:t>
      </w:r>
    </w:p>
    <w:p w:rsidR="00F71632" w:rsidRDefault="00F71632" w:rsidP="006A3471">
      <w:pPr>
        <w:ind w:left="1440"/>
        <w:rPr>
          <w:b/>
        </w:rPr>
      </w:pPr>
      <w:r>
        <w:rPr>
          <w:b/>
        </w:rPr>
        <w:t>Sink</w:t>
      </w:r>
    </w:p>
    <w:p w:rsidR="00F71632" w:rsidRDefault="00F71632" w:rsidP="00DB0AC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46EFBAC" wp14:editId="3DD3A1E5">
            <wp:extent cx="5943600" cy="137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32" w:rsidRDefault="00F71632" w:rsidP="00DB0ACF">
      <w:pPr>
        <w:rPr>
          <w:b/>
        </w:rPr>
      </w:pPr>
    </w:p>
    <w:p w:rsidR="00F71632" w:rsidRPr="0072626E" w:rsidRDefault="00F71632" w:rsidP="0072626E">
      <w:pPr>
        <w:pStyle w:val="ListParagraph"/>
        <w:numPr>
          <w:ilvl w:val="0"/>
          <w:numId w:val="2"/>
        </w:numPr>
        <w:rPr>
          <w:b/>
        </w:rPr>
      </w:pPr>
      <w:r w:rsidRPr="0072626E">
        <w:rPr>
          <w:b/>
        </w:rPr>
        <w:t>Energy and Transmission Profiles Section</w:t>
      </w:r>
    </w:p>
    <w:p w:rsidR="00F71632" w:rsidRDefault="00F71632" w:rsidP="00DB0ACF">
      <w:pPr>
        <w:rPr>
          <w:b/>
        </w:rPr>
      </w:pPr>
      <w:r>
        <w:rPr>
          <w:noProof/>
        </w:rPr>
        <w:drawing>
          <wp:inline distT="0" distB="0" distL="0" distR="0" wp14:anchorId="683DBD42" wp14:editId="75206550">
            <wp:extent cx="5943600" cy="26447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32" w:rsidRPr="0072626E" w:rsidRDefault="00F71632" w:rsidP="0072626E">
      <w:pPr>
        <w:pStyle w:val="ListParagraph"/>
        <w:numPr>
          <w:ilvl w:val="0"/>
          <w:numId w:val="2"/>
        </w:numPr>
        <w:rPr>
          <w:b/>
        </w:rPr>
      </w:pPr>
      <w:r w:rsidRPr="0072626E">
        <w:rPr>
          <w:b/>
        </w:rPr>
        <w:t>Transmission Allocation Section</w:t>
      </w:r>
    </w:p>
    <w:p w:rsidR="00F71632" w:rsidRDefault="00F71632" w:rsidP="00DB0ACF">
      <w:pPr>
        <w:rPr>
          <w:b/>
        </w:rPr>
      </w:pPr>
      <w:r>
        <w:rPr>
          <w:noProof/>
        </w:rPr>
        <w:drawing>
          <wp:inline distT="0" distB="0" distL="0" distR="0" wp14:anchorId="0003C552" wp14:editId="10B13E9F">
            <wp:extent cx="5943600" cy="1094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32" w:rsidRPr="0072626E" w:rsidRDefault="00F71632" w:rsidP="0072626E">
      <w:pPr>
        <w:pStyle w:val="ListParagraph"/>
        <w:numPr>
          <w:ilvl w:val="0"/>
          <w:numId w:val="2"/>
        </w:numPr>
        <w:rPr>
          <w:b/>
        </w:rPr>
      </w:pPr>
      <w:r w:rsidRPr="0072626E">
        <w:rPr>
          <w:b/>
        </w:rPr>
        <w:t>Carbon Copy List Section</w:t>
      </w:r>
    </w:p>
    <w:p w:rsidR="00F71632" w:rsidRDefault="00F71632" w:rsidP="00DB0ACF">
      <w:pPr>
        <w:rPr>
          <w:b/>
        </w:rPr>
      </w:pPr>
      <w:r>
        <w:rPr>
          <w:noProof/>
        </w:rPr>
        <w:drawing>
          <wp:inline distT="0" distB="0" distL="0" distR="0" wp14:anchorId="15B80086" wp14:editId="375B8669">
            <wp:extent cx="5943600" cy="454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32" w:rsidRPr="0072626E" w:rsidRDefault="00F71632" w:rsidP="0072626E">
      <w:pPr>
        <w:pStyle w:val="ListParagraph"/>
        <w:numPr>
          <w:ilvl w:val="0"/>
          <w:numId w:val="2"/>
        </w:numPr>
        <w:rPr>
          <w:b/>
        </w:rPr>
      </w:pPr>
      <w:r w:rsidRPr="0072626E">
        <w:rPr>
          <w:b/>
        </w:rPr>
        <w:t>Loss Accounting Section</w:t>
      </w:r>
    </w:p>
    <w:p w:rsidR="00F71632" w:rsidRPr="00DB0ACF" w:rsidRDefault="00F71632" w:rsidP="00DB0AC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B525254" wp14:editId="549655C3">
            <wp:extent cx="5943600" cy="1132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632" w:rsidRPr="00DB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6C9F"/>
    <w:multiLevelType w:val="hybridMultilevel"/>
    <w:tmpl w:val="13D098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658C"/>
    <w:multiLevelType w:val="hybridMultilevel"/>
    <w:tmpl w:val="E91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6"/>
    <w:rsid w:val="00342683"/>
    <w:rsid w:val="00640BB9"/>
    <w:rsid w:val="006A3471"/>
    <w:rsid w:val="0072626E"/>
    <w:rsid w:val="00793380"/>
    <w:rsid w:val="00950490"/>
    <w:rsid w:val="009A082C"/>
    <w:rsid w:val="00C50D13"/>
    <w:rsid w:val="00D61617"/>
    <w:rsid w:val="00DB0ACF"/>
    <w:rsid w:val="00E863B6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92263-CAC2-4467-839E-3109E23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uiPriority w:val="99"/>
    <w:rsid w:val="00640BB9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640B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Quimby</dc:creator>
  <cp:keywords/>
  <dc:description/>
  <cp:lastModifiedBy>Ken Quimby</cp:lastModifiedBy>
  <cp:revision>2</cp:revision>
  <dcterms:created xsi:type="dcterms:W3CDTF">2019-02-04T20:30:00Z</dcterms:created>
  <dcterms:modified xsi:type="dcterms:W3CDTF">2019-02-04T20:30:00Z</dcterms:modified>
</cp:coreProperties>
</file>