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B82DC9" w:rsidRDefault="00803AFA" w:rsidP="00BB6E75">
            <w:pPr>
              <w:rPr>
                <w:rFonts w:cstheme="minorHAnsi"/>
                <w:highlight w:val="yellow"/>
              </w:rPr>
            </w:pPr>
            <w:r w:rsidRPr="00B82DC9">
              <w:rPr>
                <w:rFonts w:cstheme="minorHAnsi"/>
                <w:highlight w:val="yellow"/>
              </w:rPr>
              <w:t>3f</w:t>
            </w:r>
            <w:r w:rsidRPr="00B82DC9">
              <w:rPr>
                <w:rFonts w:cstheme="minorHAnsi"/>
                <w:highlight w:val="yellow"/>
              </w:rPr>
              <w:br/>
              <w:t>(2018)</w:t>
            </w:r>
          </w:p>
          <w:p w:rsidR="00803AFA" w:rsidRPr="00B82DC9" w:rsidRDefault="00803AFA" w:rsidP="00657867">
            <w:pPr>
              <w:rPr>
                <w:rFonts w:cstheme="minorHAnsi"/>
                <w:highlight w:val="yellow"/>
              </w:rPr>
            </w:pPr>
          </w:p>
        </w:tc>
        <w:tc>
          <w:tcPr>
            <w:tcW w:w="900" w:type="dxa"/>
          </w:tcPr>
          <w:p w:rsidR="00803AFA" w:rsidRPr="00B82DC9" w:rsidRDefault="008157F6" w:rsidP="00BB6E75">
            <w:pPr>
              <w:rPr>
                <w:rFonts w:cstheme="minorHAnsi"/>
                <w:highlight w:val="yellow"/>
              </w:rPr>
            </w:pPr>
            <w:r>
              <w:rPr>
                <w:rFonts w:cstheme="minorHAnsi"/>
                <w:highlight w:val="yellow"/>
              </w:rPr>
              <w:t>3d (2019</w:t>
            </w:r>
          </w:p>
        </w:tc>
        <w:tc>
          <w:tcPr>
            <w:tcW w:w="900" w:type="dxa"/>
          </w:tcPr>
          <w:p w:rsidR="00803AFA" w:rsidRPr="00B82DC9" w:rsidRDefault="00803AFA" w:rsidP="00BB6E75">
            <w:pPr>
              <w:rPr>
                <w:rFonts w:cstheme="minorHAnsi"/>
                <w:highlight w:val="yellow"/>
              </w:rPr>
            </w:pPr>
            <w:r w:rsidRPr="00B82DC9">
              <w:rPr>
                <w:rFonts w:cstheme="minorHAnsi"/>
                <w:highlight w:val="yellow"/>
              </w:rPr>
              <w:t>1</w:t>
            </w:r>
          </w:p>
          <w:p w:rsidR="00803AFA" w:rsidRPr="00B82DC9" w:rsidRDefault="00803AFA">
            <w:pPr>
              <w:rPr>
                <w:rFonts w:cstheme="minorHAnsi"/>
                <w:highlight w:val="yellow"/>
              </w:rPr>
            </w:pPr>
          </w:p>
        </w:tc>
        <w:tc>
          <w:tcPr>
            <w:tcW w:w="900" w:type="dxa"/>
          </w:tcPr>
          <w:p w:rsidR="00803AFA" w:rsidRPr="00B82DC9" w:rsidRDefault="00803AFA" w:rsidP="00BB6E75">
            <w:pPr>
              <w:rPr>
                <w:rFonts w:cstheme="minorHAnsi"/>
                <w:highlight w:val="yellow"/>
              </w:rPr>
            </w:pPr>
            <w:r w:rsidRPr="00B82DC9">
              <w:rPr>
                <w:rFonts w:cstheme="minorHAnsi"/>
                <w:highlight w:val="yellow"/>
              </w:rPr>
              <w:t>Open</w:t>
            </w:r>
          </w:p>
          <w:p w:rsidR="00803AFA" w:rsidRPr="00B82DC9" w:rsidRDefault="00803AFA">
            <w:pPr>
              <w:rPr>
                <w:rFonts w:cstheme="minorHAnsi"/>
                <w:highlight w:val="yellow"/>
              </w:rPr>
            </w:pPr>
          </w:p>
        </w:tc>
        <w:tc>
          <w:tcPr>
            <w:tcW w:w="1440" w:type="dxa"/>
          </w:tcPr>
          <w:p w:rsidR="00803AFA" w:rsidRPr="00B82DC9" w:rsidRDefault="00803AFA" w:rsidP="00BB6E75">
            <w:pPr>
              <w:rPr>
                <w:rFonts w:cstheme="minorHAnsi"/>
                <w:highlight w:val="yellow"/>
              </w:rPr>
            </w:pPr>
            <w:r w:rsidRPr="00B82DC9">
              <w:rPr>
                <w:rFonts w:cstheme="minorHAnsi"/>
                <w:highlight w:val="yellow"/>
              </w:rPr>
              <w:t>In Progress</w:t>
            </w:r>
          </w:p>
          <w:p w:rsidR="00803AFA" w:rsidRPr="00B82DC9" w:rsidRDefault="00803AFA">
            <w:pPr>
              <w:rPr>
                <w:rFonts w:cstheme="minorHAnsi"/>
                <w:highlight w:val="yellow"/>
              </w:rPr>
            </w:pPr>
          </w:p>
        </w:tc>
        <w:tc>
          <w:tcPr>
            <w:tcW w:w="3240" w:type="dxa"/>
          </w:tcPr>
          <w:p w:rsidR="00803AFA" w:rsidRPr="00B82DC9" w:rsidRDefault="00803AFA" w:rsidP="00BB6E75">
            <w:pPr>
              <w:rPr>
                <w:rFonts w:cstheme="minorHAnsi"/>
                <w:highlight w:val="yellow"/>
              </w:rPr>
            </w:pPr>
            <w:r w:rsidRPr="00B82DC9">
              <w:rPr>
                <w:rFonts w:cstheme="minorHAnsi"/>
                <w:highlight w:val="yellow"/>
              </w:rPr>
              <w:t>Outline the scope for 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B82DC9" w:rsidRDefault="00803AFA">
            <w:pPr>
              <w:rPr>
                <w:rFonts w:cstheme="minorHAnsi"/>
                <w:highlight w:val="yellow"/>
              </w:rPr>
            </w:pPr>
          </w:p>
        </w:tc>
        <w:tc>
          <w:tcPr>
            <w:tcW w:w="1350" w:type="dxa"/>
          </w:tcPr>
          <w:p w:rsidR="00803AFA" w:rsidRPr="00B82DC9" w:rsidRDefault="00803AFA" w:rsidP="00BB6E75">
            <w:pPr>
              <w:rPr>
                <w:rFonts w:cstheme="minorHAnsi"/>
                <w:highlight w:val="yellow"/>
              </w:rPr>
            </w:pPr>
            <w:r w:rsidRPr="00B82DC9">
              <w:rPr>
                <w:rFonts w:cstheme="minorHAnsi"/>
                <w:highlight w:val="yellow"/>
              </w:rPr>
              <w:t>J Manning (NCEMC)</w:t>
            </w:r>
          </w:p>
          <w:p w:rsidR="00803AFA" w:rsidRPr="00B82DC9" w:rsidRDefault="00803AFA">
            <w:pPr>
              <w:rPr>
                <w:rFonts w:cstheme="minorHAnsi"/>
                <w:highlight w:val="yellow"/>
              </w:rPr>
            </w:pPr>
          </w:p>
        </w:tc>
        <w:tc>
          <w:tcPr>
            <w:tcW w:w="1080" w:type="dxa"/>
          </w:tcPr>
          <w:p w:rsidR="00803AFA" w:rsidRPr="00B82DC9" w:rsidRDefault="00803AFA" w:rsidP="00BB6E75">
            <w:pPr>
              <w:rPr>
                <w:rFonts w:cstheme="minorHAnsi"/>
                <w:highlight w:val="yellow"/>
              </w:rPr>
            </w:pPr>
            <w:r w:rsidRPr="00B82DC9">
              <w:rPr>
                <w:rFonts w:cstheme="minorHAnsi"/>
                <w:highlight w:val="yellow"/>
              </w:rPr>
              <w:t>OS: 11/2017</w:t>
            </w:r>
          </w:p>
          <w:p w:rsidR="00803AFA" w:rsidRPr="00B82DC9" w:rsidRDefault="00803AFA">
            <w:pPr>
              <w:rPr>
                <w:rFonts w:cstheme="minorHAnsi"/>
                <w:highlight w:val="yellow"/>
              </w:rPr>
            </w:pPr>
          </w:p>
        </w:tc>
        <w:tc>
          <w:tcPr>
            <w:tcW w:w="990" w:type="dxa"/>
          </w:tcPr>
          <w:p w:rsidR="00803AFA" w:rsidRPr="00B82DC9" w:rsidRDefault="00803AFA" w:rsidP="00BB6E75">
            <w:pPr>
              <w:rPr>
                <w:rFonts w:cstheme="minorHAnsi"/>
              </w:rPr>
            </w:pPr>
            <w:r w:rsidRPr="00B82DC9">
              <w:rPr>
                <w:rFonts w:cstheme="minorHAnsi"/>
                <w:highlight w:val="yellow"/>
              </w:rPr>
              <w:t>OS: 03/2018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highlight w:val="yellow"/>
              </w:rPr>
            </w:pPr>
            <w:r w:rsidRPr="00B82DC9">
              <w:rPr>
                <w:rFonts w:cstheme="minorHAnsi"/>
                <w:highlight w:val="yellow"/>
              </w:rPr>
              <w:t>3a</w:t>
            </w:r>
            <w:r w:rsidRPr="00B82DC9">
              <w:rPr>
                <w:rFonts w:cstheme="minorHAnsi"/>
                <w:highlight w:val="yellow"/>
              </w:rPr>
              <w:br/>
              <w:t>(2018)</w:t>
            </w:r>
          </w:p>
          <w:p w:rsidR="00803AFA" w:rsidRPr="00B82DC9" w:rsidRDefault="00803AFA" w:rsidP="00CA241A">
            <w:pPr>
              <w:rPr>
                <w:rFonts w:cstheme="minorHAnsi"/>
                <w:highlight w:val="yellow"/>
              </w:rPr>
            </w:pPr>
          </w:p>
        </w:tc>
        <w:tc>
          <w:tcPr>
            <w:tcW w:w="900" w:type="dxa"/>
          </w:tcPr>
          <w:p w:rsidR="00803AFA" w:rsidRPr="00B82DC9" w:rsidRDefault="003E1D4A" w:rsidP="00BB6E75">
            <w:pPr>
              <w:rPr>
                <w:rFonts w:cstheme="minorHAnsi"/>
                <w:highlight w:val="yellow"/>
              </w:rPr>
            </w:pPr>
            <w:r>
              <w:rPr>
                <w:rFonts w:cstheme="minorHAnsi"/>
                <w:highlight w:val="yellow"/>
              </w:rPr>
              <w:t>3a (2019)</w:t>
            </w:r>
          </w:p>
        </w:tc>
        <w:tc>
          <w:tcPr>
            <w:tcW w:w="900" w:type="dxa"/>
          </w:tcPr>
          <w:p w:rsidR="00803AFA" w:rsidRPr="00B82DC9" w:rsidRDefault="00803AFA" w:rsidP="00BB6E75">
            <w:pPr>
              <w:rPr>
                <w:rFonts w:cstheme="minorHAnsi"/>
                <w:highlight w:val="yellow"/>
              </w:rPr>
            </w:pPr>
            <w:r w:rsidRPr="00B82DC9">
              <w:rPr>
                <w:rFonts w:cstheme="minorHAnsi"/>
                <w:highlight w:val="yellow"/>
              </w:rPr>
              <w:t>2</w:t>
            </w:r>
          </w:p>
          <w:p w:rsidR="00803AFA" w:rsidRPr="00B82DC9" w:rsidRDefault="00803AFA" w:rsidP="00CA241A">
            <w:pPr>
              <w:rPr>
                <w:rFonts w:cstheme="minorHAnsi"/>
                <w:highlight w:val="yellow"/>
              </w:rPr>
            </w:pPr>
          </w:p>
        </w:tc>
        <w:tc>
          <w:tcPr>
            <w:tcW w:w="900" w:type="dxa"/>
          </w:tcPr>
          <w:p w:rsidR="00803AFA" w:rsidRPr="00B82DC9" w:rsidRDefault="00803AFA" w:rsidP="00BB6E75">
            <w:pPr>
              <w:rPr>
                <w:rFonts w:cstheme="minorHAnsi"/>
                <w:highlight w:val="yellow"/>
              </w:rPr>
            </w:pPr>
            <w:r w:rsidRPr="00B82DC9">
              <w:rPr>
                <w:rFonts w:cstheme="minorHAnsi"/>
                <w:highlight w:val="yellow"/>
              </w:rPr>
              <w:t>Open</w:t>
            </w:r>
          </w:p>
          <w:p w:rsidR="00803AFA" w:rsidRPr="00B82DC9" w:rsidRDefault="00803AFA" w:rsidP="00CA241A">
            <w:pPr>
              <w:rPr>
                <w:rFonts w:cstheme="minorHAnsi"/>
                <w:highlight w:val="yellow"/>
              </w:rPr>
            </w:pPr>
          </w:p>
        </w:tc>
        <w:tc>
          <w:tcPr>
            <w:tcW w:w="1440" w:type="dxa"/>
          </w:tcPr>
          <w:p w:rsidR="00803AFA" w:rsidRPr="00B82DC9" w:rsidRDefault="00803AFA" w:rsidP="00BB6E75">
            <w:pPr>
              <w:rPr>
                <w:rFonts w:cstheme="minorHAnsi"/>
                <w:highlight w:val="yellow"/>
              </w:rPr>
            </w:pPr>
            <w:r w:rsidRPr="00B82DC9">
              <w:rPr>
                <w:rFonts w:cstheme="minorHAnsi"/>
                <w:highlight w:val="yellow"/>
              </w:rPr>
              <w:t>In Progress</w:t>
            </w:r>
          </w:p>
          <w:p w:rsidR="00803AFA" w:rsidRPr="00B82DC9" w:rsidRDefault="00803AFA" w:rsidP="00CA241A">
            <w:pPr>
              <w:rPr>
                <w:rFonts w:cstheme="minorHAnsi"/>
                <w:highlight w:val="yellow"/>
              </w:rPr>
            </w:pPr>
          </w:p>
        </w:tc>
        <w:tc>
          <w:tcPr>
            <w:tcW w:w="3240" w:type="dxa"/>
          </w:tcPr>
          <w:p w:rsidR="00803AFA" w:rsidRPr="00B82DC9" w:rsidRDefault="00803AFA" w:rsidP="00BB6E75">
            <w:pPr>
              <w:rPr>
                <w:rFonts w:cstheme="minorHAnsi"/>
                <w:highlight w:val="yellow"/>
              </w:rPr>
            </w:pPr>
            <w:r w:rsidRPr="00B82DC9">
              <w:rPr>
                <w:rFonts w:cstheme="minorHAnsi"/>
                <w:highlight w:val="yellow"/>
              </w:rPr>
              <w:t>Refine the scope for Requirements for OASIS to use data in the Electric Industry Registry (R12001)</w:t>
            </w:r>
          </w:p>
          <w:p w:rsidR="00803AFA" w:rsidRPr="00B82DC9" w:rsidRDefault="00803AFA" w:rsidP="00CA241A">
            <w:pPr>
              <w:rPr>
                <w:rFonts w:cstheme="minorHAnsi"/>
                <w:highlight w:val="yellow"/>
              </w:rPr>
            </w:pPr>
          </w:p>
        </w:tc>
        <w:tc>
          <w:tcPr>
            <w:tcW w:w="1350" w:type="dxa"/>
          </w:tcPr>
          <w:p w:rsidR="00803AFA" w:rsidRPr="00B82DC9" w:rsidRDefault="00803AFA" w:rsidP="00BB6E75">
            <w:pPr>
              <w:rPr>
                <w:rFonts w:cstheme="minorHAnsi"/>
                <w:highlight w:val="yellow"/>
              </w:rPr>
            </w:pPr>
            <w:r w:rsidRPr="00B82DC9">
              <w:rPr>
                <w:rFonts w:cstheme="minorHAnsi"/>
                <w:highlight w:val="yellow"/>
              </w:rPr>
              <w:t>K Quimby (SPP)</w:t>
            </w:r>
          </w:p>
          <w:p w:rsidR="00803AFA" w:rsidRPr="00B82DC9" w:rsidRDefault="00803AFA" w:rsidP="00CA241A">
            <w:pPr>
              <w:rPr>
                <w:rFonts w:cstheme="minorHAnsi"/>
                <w:highlight w:val="yellow"/>
              </w:rPr>
            </w:pPr>
          </w:p>
        </w:tc>
        <w:tc>
          <w:tcPr>
            <w:tcW w:w="1080" w:type="dxa"/>
          </w:tcPr>
          <w:p w:rsidR="00803AFA" w:rsidRPr="00B82DC9" w:rsidRDefault="00803AFA" w:rsidP="00BB6E75">
            <w:pPr>
              <w:rPr>
                <w:rFonts w:cstheme="minorHAnsi"/>
                <w:highlight w:val="yellow"/>
              </w:rPr>
            </w:pPr>
            <w:r w:rsidRPr="00B82DC9">
              <w:rPr>
                <w:rFonts w:cstheme="minorHAnsi"/>
                <w:highlight w:val="yellow"/>
              </w:rPr>
              <w:t>OS: 02/2018</w:t>
            </w:r>
          </w:p>
          <w:p w:rsidR="00803AFA" w:rsidRPr="00B82DC9" w:rsidRDefault="00803AFA" w:rsidP="00CA241A">
            <w:pPr>
              <w:rPr>
                <w:rFonts w:cstheme="minorHAnsi"/>
                <w:highlight w:val="yellow"/>
              </w:rPr>
            </w:pPr>
          </w:p>
        </w:tc>
        <w:tc>
          <w:tcPr>
            <w:tcW w:w="990" w:type="dxa"/>
          </w:tcPr>
          <w:p w:rsidR="00803AFA" w:rsidRPr="00B82DC9" w:rsidRDefault="00803AFA" w:rsidP="00BB6E75">
            <w:pPr>
              <w:rPr>
                <w:rFonts w:cstheme="minorHAnsi"/>
                <w:highlight w:val="yellow"/>
              </w:rPr>
            </w:pPr>
            <w:r w:rsidRPr="00B82DC9">
              <w:rPr>
                <w:rFonts w:cstheme="minorHAnsi"/>
                <w:highlight w:val="yellow"/>
              </w:rPr>
              <w:t>OS: 11/2018</w:t>
            </w:r>
          </w:p>
          <w:p w:rsidR="00803AFA" w:rsidRPr="00B82DC9" w:rsidRDefault="00803AFA" w:rsidP="00CA241A">
            <w:pPr>
              <w:rPr>
                <w:rFonts w:cstheme="minorHAnsi"/>
                <w:highlight w:val="yellow"/>
              </w:rPr>
            </w:pPr>
          </w:p>
        </w:tc>
        <w:tc>
          <w:tcPr>
            <w:tcW w:w="1170" w:type="dxa"/>
          </w:tcPr>
          <w:p w:rsidR="00803AFA" w:rsidRPr="00B82DC9" w:rsidRDefault="00803AFA" w:rsidP="00BB6E75">
            <w:pPr>
              <w:rPr>
                <w:rFonts w:cstheme="minorHAnsi"/>
                <w:highlight w:val="yellow"/>
              </w:rPr>
            </w:pPr>
            <w:r w:rsidRPr="00B82DC9">
              <w:rPr>
                <w:rFonts w:cstheme="minorHAnsi"/>
                <w:highlight w:val="yellow"/>
              </w:rPr>
              <w:t> </w:t>
            </w:r>
          </w:p>
          <w:p w:rsidR="00803AFA" w:rsidRPr="00B82DC9" w:rsidRDefault="00803AFA" w:rsidP="00CA241A">
            <w:pPr>
              <w:rPr>
                <w:rFonts w:cstheme="minorHAnsi"/>
                <w:highlight w:val="yellow"/>
              </w:rPr>
            </w:pPr>
          </w:p>
        </w:tc>
        <w:tc>
          <w:tcPr>
            <w:tcW w:w="2430" w:type="dxa"/>
          </w:tcPr>
          <w:p w:rsidR="00803AFA" w:rsidRPr="00B82DC9" w:rsidRDefault="00803AFA" w:rsidP="00BB6E75">
            <w:pPr>
              <w:rPr>
                <w:rFonts w:cstheme="minorHAnsi"/>
              </w:rPr>
            </w:pPr>
            <w:r w:rsidRPr="00B82DC9">
              <w:rPr>
                <w:rFonts w:cstheme="minorHAnsi"/>
                <w:highlight w:val="yellow"/>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6</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Remove DUNS number from the query parameters for all templates.</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7</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The addition of the Transmission Customer name in the DNR list.</w:t>
            </w:r>
            <w:r w:rsidRPr="007F1493">
              <w:rPr>
                <w:rFonts w:cstheme="minorHAnsi"/>
                <w:highlight w:val="yellow"/>
              </w:rPr>
              <w:br/>
              <w:t>(different than CUSTOMER_CODE). Consider the addition of application name.</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8</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 xml:space="preserve">To draft templates for the following: </w:t>
            </w:r>
            <w:r w:rsidRPr="007F1493">
              <w:rPr>
                <w:rFonts w:cstheme="minorHAnsi"/>
                <w:highlight w:val="yellow"/>
              </w:rPr>
              <w:br/>
              <w:t>Application Rollover</w:t>
            </w:r>
            <w:r w:rsidRPr="007F1493">
              <w:rPr>
                <w:rFonts w:cstheme="minorHAnsi"/>
                <w:highlight w:val="yellow"/>
              </w:rPr>
              <w:br/>
              <w:t>DNR Rollover</w:t>
            </w:r>
            <w:r w:rsidRPr="007F1493">
              <w:rPr>
                <w:rFonts w:cstheme="minorHAnsi"/>
                <w:highlight w:val="yellow"/>
              </w:rPr>
              <w:br/>
              <w:t>DNR Request</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bookmarkStart w:id="0" w:name="_GoBack"/>
            <w:bookmarkEnd w:id="0"/>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87254" w:rsidRDefault="00803AFA" w:rsidP="00896978">
            <w:pPr>
              <w:rPr>
                <w:rFonts w:cstheme="minorHAnsi"/>
                <w:highlight w:val="yellow"/>
              </w:rPr>
            </w:pPr>
            <w:r w:rsidRPr="00187254">
              <w:rPr>
                <w:rFonts w:cstheme="minorHAnsi"/>
                <w:highlight w:val="yellow"/>
              </w:rPr>
              <w:t>3i</w:t>
            </w:r>
            <w:r w:rsidRPr="00187254">
              <w:rPr>
                <w:rFonts w:cstheme="minorHAnsi"/>
                <w:highlight w:val="yellow"/>
              </w:rPr>
              <w:br/>
              <w:t>(2018)</w:t>
            </w:r>
          </w:p>
          <w:p w:rsidR="00803AFA" w:rsidRPr="00187254" w:rsidRDefault="00803AFA" w:rsidP="00896978">
            <w:pPr>
              <w:rPr>
                <w:rFonts w:cstheme="minorHAnsi"/>
                <w:highlight w:val="yellow"/>
              </w:rPr>
            </w:pPr>
          </w:p>
        </w:tc>
        <w:tc>
          <w:tcPr>
            <w:tcW w:w="900" w:type="dxa"/>
          </w:tcPr>
          <w:p w:rsidR="00803AFA" w:rsidRPr="00187254" w:rsidRDefault="008157F6" w:rsidP="00896978">
            <w:pPr>
              <w:rPr>
                <w:rFonts w:cstheme="minorHAnsi"/>
                <w:highlight w:val="yellow"/>
              </w:rPr>
            </w:pPr>
            <w:r>
              <w:rPr>
                <w:rFonts w:cstheme="minorHAnsi"/>
                <w:highlight w:val="yellow"/>
              </w:rPr>
              <w:t>3g (2019)</w:t>
            </w:r>
          </w:p>
        </w:tc>
        <w:tc>
          <w:tcPr>
            <w:tcW w:w="900" w:type="dxa"/>
          </w:tcPr>
          <w:p w:rsidR="00803AFA" w:rsidRPr="00187254" w:rsidRDefault="00803AFA" w:rsidP="00896978">
            <w:pPr>
              <w:rPr>
                <w:rFonts w:cstheme="minorHAnsi"/>
                <w:highlight w:val="yellow"/>
              </w:rPr>
            </w:pPr>
            <w:r w:rsidRPr="00187254">
              <w:rPr>
                <w:rFonts w:cstheme="minorHAnsi"/>
                <w:highlight w:val="yellow"/>
              </w:rPr>
              <w:t>1</w:t>
            </w:r>
          </w:p>
          <w:p w:rsidR="00803AFA" w:rsidRPr="00187254" w:rsidRDefault="00803AFA" w:rsidP="00896978">
            <w:pPr>
              <w:rPr>
                <w:rFonts w:cstheme="minorHAnsi"/>
                <w:highlight w:val="yellow"/>
              </w:rPr>
            </w:pPr>
          </w:p>
        </w:tc>
        <w:tc>
          <w:tcPr>
            <w:tcW w:w="900" w:type="dxa"/>
          </w:tcPr>
          <w:p w:rsidR="00803AFA" w:rsidRPr="00187254" w:rsidRDefault="00803AFA" w:rsidP="00896978">
            <w:pPr>
              <w:rPr>
                <w:rFonts w:cstheme="minorHAnsi"/>
                <w:highlight w:val="yellow"/>
              </w:rPr>
            </w:pPr>
            <w:r>
              <w:rPr>
                <w:rFonts w:cstheme="minorHAnsi"/>
                <w:highlight w:val="yellow"/>
              </w:rPr>
              <w:t>Closed</w:t>
            </w:r>
          </w:p>
          <w:p w:rsidR="00803AFA" w:rsidRPr="00187254" w:rsidRDefault="00803AFA" w:rsidP="00896978">
            <w:pPr>
              <w:rPr>
                <w:rFonts w:cstheme="minorHAnsi"/>
                <w:highlight w:val="yellow"/>
              </w:rPr>
            </w:pPr>
          </w:p>
        </w:tc>
        <w:tc>
          <w:tcPr>
            <w:tcW w:w="1440" w:type="dxa"/>
          </w:tcPr>
          <w:p w:rsidR="00803AFA" w:rsidRPr="00187254" w:rsidRDefault="00803AFA" w:rsidP="00896978">
            <w:pPr>
              <w:rPr>
                <w:rFonts w:cstheme="minorHAnsi"/>
                <w:highlight w:val="yellow"/>
              </w:rPr>
            </w:pPr>
            <w:r>
              <w:rPr>
                <w:rFonts w:cstheme="minorHAnsi"/>
                <w:highlight w:val="yellow"/>
              </w:rPr>
              <w:t>Completed</w:t>
            </w:r>
          </w:p>
          <w:p w:rsidR="00803AFA" w:rsidRPr="00187254" w:rsidRDefault="00803AFA" w:rsidP="00896978">
            <w:pPr>
              <w:rPr>
                <w:rFonts w:cstheme="minorHAnsi"/>
                <w:highlight w:val="yellow"/>
              </w:rPr>
            </w:pPr>
          </w:p>
        </w:tc>
        <w:tc>
          <w:tcPr>
            <w:tcW w:w="3240" w:type="dxa"/>
          </w:tcPr>
          <w:p w:rsidR="00803AFA" w:rsidRPr="00187254" w:rsidRDefault="00803AFA" w:rsidP="00896978">
            <w:pPr>
              <w:rPr>
                <w:rFonts w:cstheme="minorHAnsi"/>
                <w:highlight w:val="yellow"/>
              </w:rPr>
            </w:pPr>
            <w:r w:rsidRPr="00187254">
              <w:rPr>
                <w:rFonts w:cstheme="minorHAnsi"/>
                <w:highlight w:val="yellow"/>
              </w:rPr>
              <w:t>Develop scope for NHM and report back on standard changes</w:t>
            </w:r>
          </w:p>
          <w:p w:rsidR="00803AFA" w:rsidRPr="00187254" w:rsidRDefault="00803AFA" w:rsidP="00896978">
            <w:pPr>
              <w:rPr>
                <w:rFonts w:cstheme="minorHAnsi"/>
                <w:highlight w:val="yellow"/>
              </w:rPr>
            </w:pPr>
          </w:p>
        </w:tc>
        <w:tc>
          <w:tcPr>
            <w:tcW w:w="1350" w:type="dxa"/>
          </w:tcPr>
          <w:p w:rsidR="00803AFA" w:rsidRPr="00187254" w:rsidRDefault="00803AFA" w:rsidP="00896978">
            <w:pPr>
              <w:rPr>
                <w:rFonts w:cstheme="minorHAnsi"/>
                <w:highlight w:val="yellow"/>
              </w:rPr>
            </w:pPr>
            <w:r w:rsidRPr="00187254">
              <w:rPr>
                <w:rFonts w:cstheme="minorHAnsi"/>
                <w:highlight w:val="yellow"/>
              </w:rPr>
              <w:t>M. Franz</w:t>
            </w:r>
          </w:p>
          <w:p w:rsidR="00803AFA" w:rsidRPr="00187254" w:rsidRDefault="00803AFA" w:rsidP="00896978">
            <w:pPr>
              <w:rPr>
                <w:rFonts w:cstheme="minorHAnsi"/>
                <w:highlight w:val="yellow"/>
              </w:rPr>
            </w:pPr>
          </w:p>
        </w:tc>
        <w:tc>
          <w:tcPr>
            <w:tcW w:w="1080" w:type="dxa"/>
          </w:tcPr>
          <w:p w:rsidR="00803AFA" w:rsidRPr="00187254" w:rsidRDefault="00803AFA" w:rsidP="00896978">
            <w:pPr>
              <w:rPr>
                <w:rFonts w:cstheme="minorHAnsi"/>
                <w:highlight w:val="yellow"/>
              </w:rPr>
            </w:pPr>
            <w:r w:rsidRPr="00187254">
              <w:rPr>
                <w:rFonts w:cstheme="minorHAnsi"/>
                <w:highlight w:val="yellow"/>
              </w:rPr>
              <w:t>OS: 11/2018</w:t>
            </w:r>
          </w:p>
          <w:p w:rsidR="00803AFA" w:rsidRPr="00187254"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highlight w:val="yellow"/>
              </w:rPr>
              <w:t>OS:</w:t>
            </w:r>
            <w:r>
              <w:rPr>
                <w:rFonts w:cstheme="minorHAnsi"/>
                <w:highlight w:val="yellow"/>
              </w:rPr>
              <w:t xml:space="preserve"> 0</w:t>
            </w:r>
            <w:r w:rsidRPr="00187254">
              <w:rPr>
                <w:rFonts w:cstheme="minorHAnsi"/>
                <w:highlight w:val="yellow"/>
              </w:rPr>
              <w:t>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87254" w:rsidRDefault="00803AFA" w:rsidP="00896978">
            <w:pPr>
              <w:rPr>
                <w:rFonts w:cstheme="minorHAnsi"/>
                <w:highlight w:val="yellow"/>
              </w:rPr>
            </w:pPr>
          </w:p>
        </w:tc>
        <w:tc>
          <w:tcPr>
            <w:tcW w:w="900" w:type="dxa"/>
          </w:tcPr>
          <w:p w:rsidR="00803AFA" w:rsidRDefault="008157F6" w:rsidP="00896978">
            <w:pPr>
              <w:rPr>
                <w:rFonts w:cstheme="minorHAnsi"/>
                <w:highlight w:val="yellow"/>
              </w:rPr>
            </w:pPr>
            <w:r>
              <w:rPr>
                <w:rFonts w:cstheme="minorHAnsi"/>
                <w:highlight w:val="yellow"/>
              </w:rPr>
              <w:t>3g (2019)</w:t>
            </w:r>
          </w:p>
        </w:tc>
        <w:tc>
          <w:tcPr>
            <w:tcW w:w="900" w:type="dxa"/>
          </w:tcPr>
          <w:p w:rsidR="00803AFA" w:rsidRPr="00187254" w:rsidRDefault="00803AFA" w:rsidP="00896978">
            <w:pPr>
              <w:rPr>
                <w:rFonts w:cstheme="minorHAnsi"/>
                <w:highlight w:val="yellow"/>
              </w:rPr>
            </w:pPr>
            <w:r>
              <w:rPr>
                <w:rFonts w:cstheme="minorHAnsi"/>
                <w:highlight w:val="yellow"/>
              </w:rPr>
              <w:t>2</w:t>
            </w:r>
          </w:p>
        </w:tc>
        <w:tc>
          <w:tcPr>
            <w:tcW w:w="900" w:type="dxa"/>
          </w:tcPr>
          <w:p w:rsidR="00803AFA" w:rsidRPr="00187254" w:rsidDel="006E2943" w:rsidRDefault="00803AFA" w:rsidP="00896978">
            <w:pPr>
              <w:rPr>
                <w:rFonts w:cstheme="minorHAnsi"/>
                <w:highlight w:val="yellow"/>
              </w:rPr>
            </w:pPr>
            <w:r>
              <w:rPr>
                <w:rFonts w:cstheme="minorHAnsi"/>
                <w:highlight w:val="yellow"/>
              </w:rPr>
              <w:t>Open</w:t>
            </w:r>
          </w:p>
        </w:tc>
        <w:tc>
          <w:tcPr>
            <w:tcW w:w="1440" w:type="dxa"/>
          </w:tcPr>
          <w:p w:rsidR="00803AFA" w:rsidRPr="00187254" w:rsidDel="006E2943" w:rsidRDefault="00803AFA" w:rsidP="00896978">
            <w:pPr>
              <w:rPr>
                <w:rFonts w:cstheme="minorHAnsi"/>
                <w:highlight w:val="yellow"/>
              </w:rPr>
            </w:pPr>
            <w:r>
              <w:rPr>
                <w:rFonts w:cstheme="minorHAnsi"/>
                <w:highlight w:val="yellow"/>
              </w:rPr>
              <w:t xml:space="preserve">In </w:t>
            </w:r>
            <w:r>
              <w:rPr>
                <w:rFonts w:cstheme="minorHAnsi"/>
                <w:highlight w:val="yellow"/>
              </w:rPr>
              <w:t>Progress</w:t>
            </w:r>
          </w:p>
        </w:tc>
        <w:tc>
          <w:tcPr>
            <w:tcW w:w="3240" w:type="dxa"/>
          </w:tcPr>
          <w:p w:rsidR="00803AFA" w:rsidRPr="00187254" w:rsidRDefault="00803AFA" w:rsidP="00896978">
            <w:pPr>
              <w:rPr>
                <w:rFonts w:cstheme="minorHAnsi"/>
                <w:highlight w:val="yellow"/>
              </w:rPr>
            </w:pPr>
            <w:r>
              <w:rPr>
                <w:rFonts w:cstheme="minorHAnsi"/>
                <w:highlight w:val="yellow"/>
              </w:rPr>
              <w:t xml:space="preserve">Recommendation will be sent to the CISS Subcommittee to be looked at to see if there is anything that needs to be changed in other </w:t>
            </w:r>
            <w:r>
              <w:rPr>
                <w:rFonts w:cstheme="minorHAnsi"/>
                <w:highlight w:val="yellow"/>
              </w:rPr>
              <w:t xml:space="preserve">NAESB </w:t>
            </w:r>
            <w:r>
              <w:rPr>
                <w:rFonts w:cstheme="minorHAnsi"/>
                <w:highlight w:val="yellow"/>
              </w:rPr>
              <w:t>B</w:t>
            </w:r>
            <w:r>
              <w:rPr>
                <w:rFonts w:cstheme="minorHAnsi"/>
                <w:highlight w:val="yellow"/>
              </w:rPr>
              <w:t>usiness Practices.</w:t>
            </w:r>
          </w:p>
        </w:tc>
        <w:tc>
          <w:tcPr>
            <w:tcW w:w="1350" w:type="dxa"/>
          </w:tcPr>
          <w:p w:rsidR="00803AFA" w:rsidRPr="00187254" w:rsidRDefault="00803AFA" w:rsidP="00896978">
            <w:pPr>
              <w:rPr>
                <w:rFonts w:cstheme="minorHAnsi"/>
                <w:highlight w:val="yellow"/>
              </w:rPr>
            </w:pPr>
            <w:r>
              <w:rPr>
                <w:rFonts w:cstheme="minorHAnsi"/>
                <w:highlight w:val="yellow"/>
              </w:rPr>
              <w:t>J. Phillips</w:t>
            </w:r>
          </w:p>
        </w:tc>
        <w:tc>
          <w:tcPr>
            <w:tcW w:w="1080" w:type="dxa"/>
          </w:tcPr>
          <w:p w:rsidR="00803AFA" w:rsidRPr="00187254" w:rsidRDefault="00803AFA" w:rsidP="00896978">
            <w:pPr>
              <w:rPr>
                <w:rFonts w:cstheme="minorHAnsi"/>
                <w:highlight w:val="yellow"/>
              </w:rPr>
            </w:pPr>
            <w:r>
              <w:rPr>
                <w:rFonts w:cstheme="minorHAnsi"/>
                <w:highlight w:val="yellow"/>
              </w:rPr>
              <w:t>OS: 01/2019</w:t>
            </w:r>
          </w:p>
        </w:tc>
        <w:tc>
          <w:tcPr>
            <w:tcW w:w="990" w:type="dxa"/>
          </w:tcPr>
          <w:p w:rsidR="00803AFA" w:rsidRPr="00187254" w:rsidRDefault="00803AFA" w:rsidP="00896978">
            <w:pPr>
              <w:rPr>
                <w:rFonts w:cstheme="minorHAnsi"/>
                <w:highlight w:val="yellow"/>
              </w:rPr>
            </w:pPr>
            <w:r>
              <w:rPr>
                <w:rFonts w:cstheme="minorHAnsi"/>
                <w:highlight w:val="yellow"/>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r>
      <w:t>01/22/19-01/24/19</w:t>
    </w:r>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w:t>
          </w:r>
          <w:r>
            <w:rPr>
              <w:b/>
              <w:sz w:val="24"/>
              <w:szCs w:val="24"/>
              <w:highlight w:val="green"/>
            </w:rPr>
            <w:t>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15980"/>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C69FB5"/>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6D7F-809C-4C8C-954D-B74DF548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2019-01-28T18:38:00Z</dcterms:created>
  <dcterms:modified xsi:type="dcterms:W3CDTF">2019-01-28T18:38:00Z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