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B215" w14:textId="77777777" w:rsidR="006A65F3" w:rsidRDefault="002078DF" w:rsidP="002078DF">
      <w:bookmarkStart w:id="0" w:name="_GoBack"/>
      <w:bookmarkEnd w:id="0"/>
      <w:r>
        <w:t xml:space="preserve">2020-11-12 TVA initial comments on Parking Lot item: </w:t>
      </w:r>
      <w:r w:rsidRPr="002078DF">
        <w:t>Section 14.13 – Review the change in law language and address necessary changes for voluntary programs revising the definition for change in law</w:t>
      </w:r>
      <w:r>
        <w:t>.</w:t>
      </w:r>
    </w:p>
    <w:p w14:paraId="6D8393BC" w14:textId="77777777" w:rsidR="002078DF" w:rsidRPr="002078DF" w:rsidRDefault="002078DF" w:rsidP="002078DF">
      <w:pPr>
        <w:rPr>
          <w:rFonts w:cstheme="minorHAnsi"/>
          <w:color w:val="003366"/>
        </w:rPr>
      </w:pPr>
      <w:r>
        <w:rPr>
          <w:rFonts w:cstheme="minorHAnsi"/>
          <w:color w:val="003366"/>
        </w:rPr>
        <w:t>TVA</w:t>
      </w:r>
      <w:r>
        <w:rPr>
          <w:rFonts w:cstheme="minorHAnsi"/>
          <w:color w:val="003366"/>
        </w:rPr>
        <w:t xml:space="preserve"> had requested placing Section 14.13 in the Parking Lot </w:t>
      </w:r>
      <w:r>
        <w:rPr>
          <w:rFonts w:cstheme="minorHAnsi"/>
          <w:color w:val="003366"/>
        </w:rPr>
        <w:t>to allow for</w:t>
      </w:r>
      <w:r>
        <w:rPr>
          <w:rFonts w:cstheme="minorHAnsi"/>
          <w:color w:val="003366"/>
        </w:rPr>
        <w:t xml:space="preserve"> internal TVA</w:t>
      </w:r>
      <w:r>
        <w:rPr>
          <w:rFonts w:cstheme="minorHAnsi"/>
          <w:color w:val="003366"/>
        </w:rPr>
        <w:t xml:space="preserve"> discussion</w:t>
      </w:r>
      <w:r>
        <w:rPr>
          <w:rFonts w:cstheme="minorHAnsi"/>
          <w:color w:val="003366"/>
        </w:rPr>
        <w:t xml:space="preserve">.  </w:t>
      </w:r>
      <w:r>
        <w:rPr>
          <w:rFonts w:cstheme="minorHAnsi"/>
          <w:color w:val="003366"/>
        </w:rPr>
        <w:t>TVA</w:t>
      </w:r>
      <w:r>
        <w:rPr>
          <w:rFonts w:cstheme="minorHAnsi"/>
          <w:color w:val="003366"/>
        </w:rPr>
        <w:t xml:space="preserve"> offer</w:t>
      </w:r>
      <w:r>
        <w:rPr>
          <w:rFonts w:cstheme="minorHAnsi"/>
          <w:color w:val="003366"/>
        </w:rPr>
        <w:t>s</w:t>
      </w:r>
      <w:r>
        <w:rPr>
          <w:rFonts w:cstheme="minorHAnsi"/>
          <w:color w:val="003366"/>
        </w:rPr>
        <w:t xml:space="preserve"> some initial feedback on the general concept, but request additional time until the following meeting to offer actual alternate languag</w:t>
      </w:r>
      <w:r>
        <w:rPr>
          <w:rFonts w:cstheme="minorHAnsi"/>
          <w:color w:val="003366"/>
        </w:rPr>
        <w:t>e</w:t>
      </w:r>
      <w:r>
        <w:rPr>
          <w:rFonts w:cstheme="minorHAnsi"/>
          <w:color w:val="003366"/>
        </w:rPr>
        <w:t>.</w:t>
      </w:r>
    </w:p>
    <w:p w14:paraId="6BC797C5" w14:textId="77777777" w:rsidR="002078DF" w:rsidRDefault="002078DF" w:rsidP="002078DF">
      <w:pPr>
        <w:pStyle w:val="ListParagraph"/>
        <w:numPr>
          <w:ilvl w:val="0"/>
          <w:numId w:val="1"/>
        </w:numPr>
        <w:rPr>
          <w:rFonts w:cstheme="minorHAnsi"/>
          <w:color w:val="1F497D"/>
        </w:rPr>
      </w:pPr>
      <w:r>
        <w:rPr>
          <w:rFonts w:cstheme="minorHAnsi"/>
          <w:color w:val="1F497D"/>
        </w:rPr>
        <w:t>TVA is fine with the substance of the Section 14.13, although it could use some cleaning up.</w:t>
      </w:r>
    </w:p>
    <w:p w14:paraId="63163FCC" w14:textId="77777777" w:rsidR="002078DF" w:rsidRDefault="002078DF" w:rsidP="002078DF">
      <w:pPr>
        <w:pStyle w:val="ListParagraph"/>
        <w:numPr>
          <w:ilvl w:val="0"/>
          <w:numId w:val="1"/>
        </w:numPr>
        <w:rPr>
          <w:rFonts w:cstheme="minorHAnsi"/>
          <w:color w:val="1F497D"/>
        </w:rPr>
      </w:pPr>
      <w:r>
        <w:rPr>
          <w:rFonts w:cstheme="minorHAnsi"/>
          <w:color w:val="1F497D"/>
        </w:rPr>
        <w:t xml:space="preserve">The term “parties” </w:t>
      </w:r>
      <w:proofErr w:type="gramStart"/>
      <w:r>
        <w:rPr>
          <w:rFonts w:cstheme="minorHAnsi"/>
          <w:color w:val="1F497D"/>
        </w:rPr>
        <w:t>is defined</w:t>
      </w:r>
      <w:proofErr w:type="gramEnd"/>
      <w:r>
        <w:rPr>
          <w:rFonts w:cstheme="minorHAnsi"/>
          <w:color w:val="1F497D"/>
        </w:rPr>
        <w:t xml:space="preserve"> in some instances and not in others.</w:t>
      </w:r>
    </w:p>
    <w:p w14:paraId="679A7037" w14:textId="77777777" w:rsidR="002078DF" w:rsidRDefault="002078DF" w:rsidP="002078DF">
      <w:pPr>
        <w:pStyle w:val="ListParagraph"/>
        <w:numPr>
          <w:ilvl w:val="0"/>
          <w:numId w:val="1"/>
        </w:numPr>
        <w:rPr>
          <w:rFonts w:cstheme="minorHAnsi"/>
          <w:color w:val="1F497D"/>
        </w:rPr>
      </w:pPr>
      <w:r>
        <w:rPr>
          <w:rFonts w:cstheme="minorHAnsi"/>
          <w:color w:val="1F497D"/>
        </w:rPr>
        <w:t>Are both “meet” and “confer” needed (i.e. in (c</w:t>
      </w:r>
      <w:proofErr w:type="gramStart"/>
      <w:r>
        <w:rPr>
          <w:rFonts w:cstheme="minorHAnsi"/>
          <w:color w:val="1F497D"/>
        </w:rPr>
        <w:t>)(</w:t>
      </w:r>
      <w:proofErr w:type="gramEnd"/>
      <w:r>
        <w:rPr>
          <w:rFonts w:cstheme="minorHAnsi"/>
          <w:color w:val="1F497D"/>
        </w:rPr>
        <w:t>iii)), especially in light of increased teleworking?</w:t>
      </w:r>
    </w:p>
    <w:p w14:paraId="2ACFD888" w14:textId="77777777" w:rsidR="002078DF" w:rsidRDefault="002078DF" w:rsidP="002078DF">
      <w:pPr>
        <w:pStyle w:val="ListParagraph"/>
        <w:numPr>
          <w:ilvl w:val="0"/>
          <w:numId w:val="1"/>
        </w:numPr>
        <w:rPr>
          <w:rFonts w:cstheme="minorHAnsi"/>
          <w:color w:val="1F497D"/>
        </w:rPr>
      </w:pPr>
      <w:r>
        <w:rPr>
          <w:rFonts w:cstheme="minorHAnsi"/>
          <w:color w:val="1F497D"/>
        </w:rPr>
        <w:t>T</w:t>
      </w:r>
      <w:r>
        <w:rPr>
          <w:rFonts w:cstheme="minorHAnsi"/>
          <w:color w:val="1F497D"/>
        </w:rPr>
        <w:t>he definition of Change of Law limits the term to apply to situations that occur after the trade date (and presum</w:t>
      </w:r>
      <w:r>
        <w:rPr>
          <w:rFonts w:cstheme="minorHAnsi"/>
          <w:color w:val="1F497D"/>
        </w:rPr>
        <w:t>ably before the delivery date).</w:t>
      </w:r>
      <w:r>
        <w:rPr>
          <w:rFonts w:cstheme="minorHAnsi"/>
          <w:color w:val="1F497D"/>
        </w:rPr>
        <w:t xml:space="preserve"> Section 14.13 then states that it applies to Changes of Law that occur after the trade dat</w:t>
      </w:r>
      <w:r>
        <w:rPr>
          <w:rFonts w:cstheme="minorHAnsi"/>
          <w:color w:val="1F497D"/>
        </w:rPr>
        <w:t>e and before the delivery date.</w:t>
      </w:r>
      <w:r>
        <w:rPr>
          <w:rFonts w:cstheme="minorHAnsi"/>
          <w:color w:val="1F497D"/>
        </w:rPr>
        <w:t xml:space="preserve"> It seems that we could simplify this language on one end or the other where it is easier to follow.</w:t>
      </w:r>
    </w:p>
    <w:p w14:paraId="02B29820" w14:textId="77777777" w:rsidR="002078DF" w:rsidRDefault="002078DF" w:rsidP="002078DF">
      <w:pPr>
        <w:rPr>
          <w:rFonts w:cstheme="minorHAnsi"/>
          <w:color w:val="1F497D"/>
        </w:rPr>
      </w:pPr>
    </w:p>
    <w:p w14:paraId="1882B861" w14:textId="77777777" w:rsidR="002078DF" w:rsidRDefault="002078DF" w:rsidP="002078DF">
      <w:pPr>
        <w:rPr>
          <w:rFonts w:cstheme="minorHAnsi"/>
          <w:color w:val="1F497D"/>
        </w:rPr>
      </w:pPr>
      <w:r>
        <w:rPr>
          <w:rFonts w:cstheme="minorHAnsi"/>
          <w:color w:val="1F497D"/>
        </w:rPr>
        <w:t xml:space="preserve">TVA will submit proposed language changes/redlines </w:t>
      </w:r>
      <w:r>
        <w:rPr>
          <w:rFonts w:cstheme="minorHAnsi"/>
          <w:color w:val="1F497D"/>
        </w:rPr>
        <w:t xml:space="preserve">to Section 14.13 </w:t>
      </w:r>
      <w:r>
        <w:rPr>
          <w:rFonts w:cstheme="minorHAnsi"/>
          <w:color w:val="1F497D"/>
        </w:rPr>
        <w:t>for the next meeting.</w:t>
      </w:r>
    </w:p>
    <w:sectPr w:rsidR="0020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422"/>
    <w:multiLevelType w:val="hybridMultilevel"/>
    <w:tmpl w:val="62E6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DF"/>
    <w:rsid w:val="002078DF"/>
    <w:rsid w:val="006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9AC4"/>
  <w15:chartTrackingRefBased/>
  <w15:docId w15:val="{9D0878D6-6FB0-4424-9751-84990E3F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D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EA2DC1FD737499D544E74061B3A0A" ma:contentTypeVersion="13" ma:contentTypeDescription="Create a new document." ma:contentTypeScope="" ma:versionID="d34f32ace0e6c2a4786f471ae3e2c97f">
  <xsd:schema xmlns:xsd="http://www.w3.org/2001/XMLSchema" xmlns:xs="http://www.w3.org/2001/XMLSchema" xmlns:p="http://schemas.microsoft.com/office/2006/metadata/properties" xmlns:ns3="6d71b1f6-281e-4798-b9dc-c29190d4cd51" xmlns:ns4="5cf0a1c3-ff67-43b4-9733-ca2fce4a93a5" targetNamespace="http://schemas.microsoft.com/office/2006/metadata/properties" ma:root="true" ma:fieldsID="58b2ca485912efd1b02e8a555898da4e" ns3:_="" ns4:_="">
    <xsd:import namespace="6d71b1f6-281e-4798-b9dc-c29190d4cd51"/>
    <xsd:import namespace="5cf0a1c3-ff67-43b4-9733-ca2fce4a9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1b1f6-281e-4798-b9dc-c29190d4c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a1c3-ff67-43b4-9733-ca2fce4a9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B4533-6267-45F7-AD3D-ED7EB45E1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1b1f6-281e-4798-b9dc-c29190d4cd51"/>
    <ds:schemaRef ds:uri="5cf0a1c3-ff67-43b4-9733-ca2fce4a9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3D7EB-0207-445B-B90B-0C73C30F3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5C3AC-85EE-4DC6-9418-B38EE130C51E}">
  <ds:schemaRefs>
    <ds:schemaRef ds:uri="http://purl.org/dc/elements/1.1/"/>
    <ds:schemaRef ds:uri="http://schemas.microsoft.com/office/2006/metadata/properties"/>
    <ds:schemaRef ds:uri="6d71b1f6-281e-4798-b9dc-c29190d4cd5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f0a1c3-ff67-43b4-9733-ca2fce4a93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Valerie</dc:creator>
  <cp:keywords/>
  <dc:description/>
  <cp:lastModifiedBy>Crockett, Valerie</cp:lastModifiedBy>
  <cp:revision>1</cp:revision>
  <dcterms:created xsi:type="dcterms:W3CDTF">2020-11-12T20:42:00Z</dcterms:created>
  <dcterms:modified xsi:type="dcterms:W3CDTF">2020-11-12T20:53:00Z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0x010100406EA2DC1FD737499D544E74061B3A0A</vt:lpwstr>
  </property>
</Properties>
</file>