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31B73A8E" w:rsidR="00C44C62" w:rsidRPr="000E5855" w:rsidRDefault="00C44C62" w:rsidP="00844ACF">
      <w:pPr>
        <w:spacing w:before="120" w:after="120"/>
        <w:ind w:left="1440" w:hanging="1440"/>
      </w:pPr>
      <w:r w:rsidRPr="000E5855">
        <w:rPr>
          <w:b/>
          <w:bCs/>
        </w:rPr>
        <w:t xml:space="preserve">FROM: </w:t>
      </w:r>
      <w:r w:rsidRPr="000E5855">
        <w:rPr>
          <w:b/>
          <w:bCs/>
        </w:rPr>
        <w:tab/>
      </w:r>
      <w:r w:rsidR="00AB2744">
        <w:t>Elizabeth Mallett</w:t>
      </w:r>
    </w:p>
    <w:p w14:paraId="2BD3EE26" w14:textId="77E88C08" w:rsidR="00C44C62" w:rsidRPr="000E5855" w:rsidRDefault="00C44C62" w:rsidP="00D62DE0">
      <w:pPr>
        <w:ind w:left="1440" w:hanging="1440"/>
      </w:pPr>
      <w:r w:rsidRPr="000E5855">
        <w:rPr>
          <w:b/>
          <w:bCs/>
        </w:rPr>
        <w:t>RE:</w:t>
      </w:r>
      <w:r w:rsidRPr="000E5855">
        <w:rPr>
          <w:b/>
          <w:bCs/>
        </w:rPr>
        <w:tab/>
      </w:r>
      <w:r w:rsidR="00155BB4">
        <w:t>Draft</w:t>
      </w:r>
      <w:r w:rsidR="000B0A53">
        <w:t xml:space="preserve"> </w:t>
      </w:r>
      <w:r w:rsidR="00230ECA">
        <w:t xml:space="preserve">Minutes from </w:t>
      </w:r>
      <w:r w:rsidR="003A1610">
        <w:t xml:space="preserve">joint RMQ BPS and </w:t>
      </w:r>
      <w:r w:rsidR="00230ECA">
        <w:t xml:space="preserve">WEQ BPS </w:t>
      </w:r>
      <w:r w:rsidR="003A1610">
        <w:t>Conference Call</w:t>
      </w:r>
      <w:r w:rsidR="00AB2744">
        <w:t xml:space="preserve"> – </w:t>
      </w:r>
      <w:r w:rsidR="00155BB4">
        <w:t>September 1, 2020</w:t>
      </w:r>
    </w:p>
    <w:p w14:paraId="7C63E7B7" w14:textId="09D3818F"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55BB4">
        <w:t>September 1, 2020</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3811B3F3" w:rsidR="00C44C62" w:rsidRPr="00AE3183" w:rsidRDefault="00155BB4" w:rsidP="00AE3183">
      <w:pPr>
        <w:jc w:val="center"/>
        <w:rPr>
          <w:b/>
        </w:rPr>
      </w:pPr>
      <w:r>
        <w:rPr>
          <w:b/>
        </w:rPr>
        <w:t>September 1</w:t>
      </w:r>
      <w:r w:rsidR="00441286">
        <w:rPr>
          <w:b/>
        </w:rPr>
        <w:t>, 2020</w:t>
      </w:r>
      <w:r w:rsidR="00AB2744">
        <w:rPr>
          <w:b/>
        </w:rPr>
        <w:t xml:space="preserve"> – </w:t>
      </w:r>
      <w:r w:rsidR="001F703B">
        <w:rPr>
          <w:b/>
        </w:rPr>
        <w:t>1</w:t>
      </w:r>
      <w:r>
        <w:rPr>
          <w:b/>
        </w:rPr>
        <w:t>0</w:t>
      </w:r>
      <w:r w:rsidR="00AB2744">
        <w:rPr>
          <w:b/>
        </w:rPr>
        <w:t>:</w:t>
      </w:r>
      <w:r>
        <w:rPr>
          <w:b/>
        </w:rPr>
        <w:t>3</w:t>
      </w:r>
      <w:r w:rsidR="00AB2744">
        <w:rPr>
          <w:b/>
        </w:rPr>
        <w:t xml:space="preserve">0 PM to </w:t>
      </w:r>
      <w:r>
        <w:rPr>
          <w:b/>
        </w:rPr>
        <w:t>12</w:t>
      </w:r>
      <w:r w:rsidR="00AB2744">
        <w:rPr>
          <w:b/>
        </w:rPr>
        <w:t>:</w:t>
      </w:r>
      <w:r w:rsidR="001F703B">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0F915139" w:rsidR="00C44C62" w:rsidRPr="00EE257D" w:rsidRDefault="00B65B3D" w:rsidP="00EA2474">
      <w:pPr>
        <w:widowControl w:val="0"/>
        <w:spacing w:after="120"/>
        <w:jc w:val="center"/>
      </w:pPr>
      <w:r>
        <w:rPr>
          <w:b/>
          <w:bCs/>
          <w:u w:val="single"/>
        </w:rPr>
        <w:t>DRAFT</w:t>
      </w:r>
      <w:r w:rsidR="000B0A53">
        <w:rPr>
          <w:b/>
          <w:bCs/>
          <w:u w:val="single"/>
        </w:rPr>
        <w:t xml:space="preserve"> </w:t>
      </w:r>
      <w:r w:rsidR="00C44C62">
        <w:rPr>
          <w:b/>
          <w:bCs/>
          <w:u w:val="single"/>
        </w:rPr>
        <w:t>MINUTES</w:t>
      </w:r>
    </w:p>
    <w:p w14:paraId="2A216F26" w14:textId="39944079"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w:t>
      </w:r>
      <w:r w:rsidR="00A535AD">
        <w:rPr>
          <w:b/>
          <w:bCs/>
        </w:rPr>
        <w:t>e</w:t>
      </w:r>
    </w:p>
    <w:p w14:paraId="5FB1BDC0" w14:textId="2C90DC79" w:rsidR="00A65292" w:rsidRDefault="00155BB4" w:rsidP="008F22D4">
      <w:pPr>
        <w:spacing w:after="120"/>
        <w:jc w:val="both"/>
      </w:pPr>
      <w:r>
        <w:t>Ms. Do</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8258B1">
        <w:t>Mallett</w:t>
      </w:r>
      <w:r w:rsidR="00AB2744">
        <w:t xml:space="preserve"> provided the Antitrust and Other Meeting P</w:t>
      </w:r>
      <w:r w:rsidR="002D2E6E">
        <w:t xml:space="preserve">olicies </w:t>
      </w:r>
      <w:r w:rsidR="002D2E6E" w:rsidRPr="00BC2FC2">
        <w:t>reminder</w:t>
      </w:r>
      <w:r w:rsidR="00C44C62" w:rsidRPr="00BC2FC2">
        <w:t>.</w:t>
      </w:r>
      <w:r w:rsidR="00AB6EB6" w:rsidRPr="00BC2FC2">
        <w:t xml:space="preserve">  </w:t>
      </w:r>
      <w:r w:rsidR="00F04232" w:rsidRPr="00BC2FC2">
        <w:t>The pa</w:t>
      </w:r>
      <w:r w:rsidR="00AB2744" w:rsidRPr="00BC2FC2">
        <w:t>rticipants introduced themselves over the phone</w:t>
      </w:r>
      <w:r w:rsidR="007C241C" w:rsidRPr="00BC2FC2">
        <w:t xml:space="preserve">.  </w:t>
      </w:r>
      <w:r>
        <w:t>Ms. Do</w:t>
      </w:r>
      <w:r w:rsidR="00D72279" w:rsidRPr="00BC2FC2">
        <w:t xml:space="preserve"> </w:t>
      </w:r>
      <w:r w:rsidR="00515FAB" w:rsidRPr="00BC2FC2">
        <w:t>reviewed the agenda</w:t>
      </w:r>
      <w:r w:rsidR="00672DA9">
        <w:t xml:space="preserve"> and </w:t>
      </w:r>
      <w:r w:rsidR="00BC2FC2" w:rsidRPr="00BC2FC2">
        <w:t>M</w:t>
      </w:r>
      <w:r w:rsidR="00197F22">
        <w:t>s. Crockett</w:t>
      </w:r>
      <w:r w:rsidR="00B76ABF" w:rsidRPr="00BC2FC2">
        <w:t xml:space="preserve"> moved</w:t>
      </w:r>
      <w:r w:rsidR="00BC2FC2" w:rsidRPr="00BC2FC2">
        <w:t xml:space="preserve"> to adopt the agenda as final.  </w:t>
      </w:r>
      <w:r w:rsidR="00CF2466">
        <w:t>Mr. Phillips</w:t>
      </w:r>
      <w:r w:rsidR="00BC2FC2" w:rsidRPr="00BC2FC2">
        <w:t xml:space="preserve"> seconded the motion.  </w:t>
      </w:r>
      <w:r w:rsidR="004A3184" w:rsidRPr="00BC2FC2">
        <w:t>The motion passed a simple majority vote without opposition.</w:t>
      </w:r>
    </w:p>
    <w:p w14:paraId="7A747D23" w14:textId="59407AF9" w:rsidR="004A3184" w:rsidRDefault="00197F22" w:rsidP="008F22D4">
      <w:pPr>
        <w:spacing w:after="120"/>
        <w:jc w:val="both"/>
      </w:pPr>
      <w:r>
        <w:t xml:space="preserve">The participants reviewed the </w:t>
      </w:r>
      <w:r w:rsidR="00155BB4">
        <w:t>August 10</w:t>
      </w:r>
      <w:r>
        <w:t xml:space="preserve">, 2020 joint RMQ </w:t>
      </w:r>
      <w:r w:rsidR="00DA34FF">
        <w:t>BPS and</w:t>
      </w:r>
      <w:r>
        <w:t xml:space="preserve"> WEQ BPS draft meeting minutes.  Ms. Crockett moved</w:t>
      </w:r>
      <w:r w:rsidR="00EE25FA">
        <w:t xml:space="preserve"> </w:t>
      </w:r>
      <w:r>
        <w:t>to adopt the draft minutes as final.</w:t>
      </w:r>
      <w:r w:rsidR="00EE25FA">
        <w:t xml:space="preserve">  Ms. </w:t>
      </w:r>
      <w:r w:rsidR="00CF2466">
        <w:t>Sieg</w:t>
      </w:r>
      <w:r w:rsidR="006D2587">
        <w:t xml:space="preserve"> s</w:t>
      </w:r>
      <w:r w:rsidR="00EE25FA">
        <w:t>econded the motion which passed without opposition.</w:t>
      </w:r>
    </w:p>
    <w:p w14:paraId="2B21657C" w14:textId="77777777" w:rsidR="00B65B3D" w:rsidRPr="00B65B3D" w:rsidRDefault="00197F22" w:rsidP="008F22D4">
      <w:pPr>
        <w:spacing w:after="120"/>
        <w:jc w:val="both"/>
      </w:pPr>
      <w:r w:rsidRPr="00D9258C">
        <w:t xml:space="preserve">The </w:t>
      </w:r>
      <w:r w:rsidR="00155BB4" w:rsidRPr="00D9258C">
        <w:t>August 10</w:t>
      </w:r>
      <w:r w:rsidRPr="00D9258C">
        <w:t xml:space="preserve">, 2020 </w:t>
      </w:r>
      <w:r w:rsidR="00EE25FA" w:rsidRPr="00D9258C">
        <w:t xml:space="preserve">joint </w:t>
      </w:r>
      <w:r w:rsidRPr="00D9258C">
        <w:t>WEQ</w:t>
      </w:r>
      <w:r w:rsidR="00EE25FA" w:rsidRPr="00D9258C">
        <w:t xml:space="preserve"> and RMQ BPS final meeting minutes can be accessed at the following link: </w:t>
      </w:r>
      <w:r w:rsidR="00B65B3D">
        <w:fldChar w:fldCharType="begin"/>
      </w:r>
      <w:r w:rsidR="00B65B3D">
        <w:instrText xml:space="preserve"> HYPERLINK "</w:instrText>
      </w:r>
      <w:r w:rsidR="00B65B3D" w:rsidRPr="00B65B3D">
        <w:instrText>https://www.naesb.org/pdf4/weq_bps_rmq_bps081020fm.docx.</w:instrText>
      </w:r>
    </w:p>
    <w:p w14:paraId="3B3F091C" w14:textId="77777777" w:rsidR="00B65B3D" w:rsidRPr="006D3126" w:rsidRDefault="00B65B3D" w:rsidP="008F22D4">
      <w:pPr>
        <w:spacing w:after="120"/>
        <w:jc w:val="both"/>
        <w:rPr>
          <w:rStyle w:val="Hyperlink"/>
        </w:rPr>
      </w:pPr>
      <w:r>
        <w:instrText xml:space="preserve">" </w:instrText>
      </w:r>
      <w:r>
        <w:fldChar w:fldCharType="separate"/>
      </w:r>
      <w:r w:rsidRPr="006D3126">
        <w:rPr>
          <w:rStyle w:val="Hyperlink"/>
        </w:rPr>
        <w:t>https://www.naesb.org/pdf4/weq_bps_rmq_bps081020fm.docx.</w:t>
      </w:r>
    </w:p>
    <w:p w14:paraId="19E21646" w14:textId="7C4D4073" w:rsidR="00657445" w:rsidRPr="00657445" w:rsidRDefault="00B65B3D" w:rsidP="004601BF">
      <w:pPr>
        <w:widowControl w:val="0"/>
        <w:numPr>
          <w:ilvl w:val="0"/>
          <w:numId w:val="11"/>
        </w:numPr>
        <w:tabs>
          <w:tab w:val="num" w:pos="720"/>
          <w:tab w:val="left" w:pos="1440"/>
        </w:tabs>
        <w:spacing w:after="120"/>
        <w:ind w:left="720"/>
        <w:jc w:val="both"/>
        <w:rPr>
          <w:bCs/>
        </w:rPr>
      </w:pPr>
      <w:r>
        <w:fldChar w:fldCharType="end"/>
      </w:r>
      <w:r w:rsidR="00657445" w:rsidRPr="00657445">
        <w:rPr>
          <w:b/>
          <w:bCs/>
        </w:rPr>
        <w:t xml:space="preserve">Discuss </w:t>
      </w:r>
      <w:bookmarkStart w:id="0" w:name="_Hlk46918600"/>
      <w:r w:rsidR="00657445">
        <w:rPr>
          <w:b/>
          <w:bCs/>
        </w:rPr>
        <w:t>20</w:t>
      </w:r>
      <w:r w:rsidR="00EE25FA">
        <w:rPr>
          <w:b/>
          <w:bCs/>
        </w:rPr>
        <w:t>20</w:t>
      </w:r>
      <w:r w:rsidR="00657445">
        <w:rPr>
          <w:b/>
          <w:bCs/>
        </w:rPr>
        <w:t xml:space="preserve"> RMQ Annual Plan Item </w:t>
      </w:r>
      <w:proofErr w:type="gramStart"/>
      <w:r w:rsidR="00EE25FA">
        <w:rPr>
          <w:b/>
          <w:bCs/>
        </w:rPr>
        <w:t>6</w:t>
      </w:r>
      <w:r w:rsidR="00657445">
        <w:rPr>
          <w:b/>
          <w:bCs/>
        </w:rPr>
        <w:t>.b</w:t>
      </w:r>
      <w:proofErr w:type="gramEnd"/>
      <w:r w:rsidR="00657445">
        <w:rPr>
          <w:b/>
          <w:bCs/>
        </w:rPr>
        <w:t xml:space="preserve"> and 20</w:t>
      </w:r>
      <w:r w:rsidR="00EE25FA">
        <w:rPr>
          <w:b/>
          <w:bCs/>
        </w:rPr>
        <w:t>20</w:t>
      </w:r>
      <w:r w:rsidR="00657445">
        <w:rPr>
          <w:b/>
          <w:bCs/>
        </w:rPr>
        <w:t xml:space="preserve"> WEQ Annual Plan Item 7.b.ii </w:t>
      </w:r>
      <w:bookmarkEnd w:id="0"/>
      <w:r w:rsidR="00657445">
        <w:rPr>
          <w:b/>
          <w:bCs/>
        </w:rPr>
        <w:t>– Develop a standard contract to improve and automate the current voluntary REC creation, accounting, and retirement processes</w:t>
      </w:r>
    </w:p>
    <w:p w14:paraId="3B288B3B" w14:textId="54DC5000" w:rsidR="007F6DF3" w:rsidRDefault="00BC2FC2" w:rsidP="00EE25FA">
      <w:pPr>
        <w:widowControl w:val="0"/>
        <w:tabs>
          <w:tab w:val="left" w:pos="1440"/>
        </w:tabs>
        <w:spacing w:after="120"/>
        <w:jc w:val="both"/>
        <w:rPr>
          <w:bCs/>
        </w:rPr>
      </w:pPr>
      <w:r>
        <w:rPr>
          <w:bCs/>
        </w:rPr>
        <w:t xml:space="preserve">The participants </w:t>
      </w:r>
      <w:r w:rsidR="00CF2466">
        <w:rPr>
          <w:bCs/>
        </w:rPr>
        <w:t xml:space="preserve">continued to </w:t>
      </w:r>
      <w:r w:rsidR="00D9258C">
        <w:rPr>
          <w:bCs/>
        </w:rPr>
        <w:t xml:space="preserve">develop the </w:t>
      </w:r>
      <w:r w:rsidR="00D9258C" w:rsidRPr="00D9258C">
        <w:rPr>
          <w:bCs/>
        </w:rPr>
        <w:t xml:space="preserve">draft </w:t>
      </w:r>
      <w:r w:rsidR="00CF2466" w:rsidRPr="00D9258C">
        <w:rPr>
          <w:bCs/>
        </w:rPr>
        <w:t>NAESB Master Agreement for the Sale and Purchase of RECs</w:t>
      </w:r>
      <w:r w:rsidR="00D9258C">
        <w:rPr>
          <w:bCs/>
        </w:rPr>
        <w:t xml:space="preserve"> (</w:t>
      </w:r>
      <w:hyperlink r:id="rId8" w:history="1">
        <w:r w:rsidR="00D9258C" w:rsidRPr="00D9258C">
          <w:rPr>
            <w:rStyle w:val="Hyperlink"/>
            <w:bCs/>
          </w:rPr>
          <w:t xml:space="preserve">Draft </w:t>
        </w:r>
        <w:r w:rsidR="008624DB">
          <w:rPr>
            <w:rStyle w:val="Hyperlink"/>
            <w:bCs/>
          </w:rPr>
          <w:t xml:space="preserve">NAESB </w:t>
        </w:r>
        <w:r w:rsidR="00D9258C" w:rsidRPr="00D9258C">
          <w:rPr>
            <w:rStyle w:val="Hyperlink"/>
            <w:bCs/>
          </w:rPr>
          <w:t>REC Master Agreement</w:t>
        </w:r>
      </w:hyperlink>
      <w:r w:rsidR="00D9258C">
        <w:rPr>
          <w:bCs/>
        </w:rPr>
        <w:t>), using the format of the NAESB WGQ Standard No. 6.3.1 NAESB Base Contract for Sale and Purchase of Natural Gas (</w:t>
      </w:r>
      <w:hyperlink r:id="rId9" w:history="1">
        <w:r w:rsidR="00D9258C" w:rsidRPr="00D9258C">
          <w:rPr>
            <w:rStyle w:val="Hyperlink"/>
            <w:bCs/>
          </w:rPr>
          <w:t>NAESB Base Contract</w:t>
        </w:r>
      </w:hyperlink>
      <w:r w:rsidR="00D9258C">
        <w:rPr>
          <w:bCs/>
        </w:rPr>
        <w:t>) as a template.</w:t>
      </w:r>
      <w:r w:rsidR="00B65B3D">
        <w:rPr>
          <w:bCs/>
        </w:rPr>
        <w:t xml:space="preserve"> </w:t>
      </w:r>
      <w:r w:rsidR="00D9258C">
        <w:rPr>
          <w:bCs/>
        </w:rPr>
        <w:t xml:space="preserve"> Ms. Crockett stated that</w:t>
      </w:r>
      <w:r w:rsidR="00F015F1">
        <w:rPr>
          <w:bCs/>
        </w:rPr>
        <w:t xml:space="preserve"> </w:t>
      </w:r>
      <w:r w:rsidR="00D9258C">
        <w:rPr>
          <w:bCs/>
        </w:rPr>
        <w:t>at the end of the last conference call</w:t>
      </w:r>
      <w:r w:rsidR="00F015F1">
        <w:rPr>
          <w:bCs/>
        </w:rPr>
        <w:t>,</w:t>
      </w:r>
      <w:r w:rsidR="00D9258C">
        <w:rPr>
          <w:bCs/>
        </w:rPr>
        <w:t xml:space="preserve"> the subcommittees placed Sections 2.7 and 2.8 on the </w:t>
      </w:r>
      <w:hyperlink r:id="rId10" w:history="1">
        <w:r w:rsidR="00D9258C" w:rsidRPr="00D9258C">
          <w:rPr>
            <w:rStyle w:val="Hyperlink"/>
            <w:bCs/>
          </w:rPr>
          <w:t>Parking Lot</w:t>
        </w:r>
      </w:hyperlink>
      <w:r w:rsidR="00D9258C">
        <w:rPr>
          <w:bCs/>
        </w:rPr>
        <w:t xml:space="preserve"> for further discussion.  She explained that the definitions may become clearer as the subcommittees work through the other sections.  For this reason, the subcommittees began the review with Section 3 of the Draft </w:t>
      </w:r>
      <w:r w:rsidR="008624DB">
        <w:rPr>
          <w:bCs/>
        </w:rPr>
        <w:t xml:space="preserve">NAESB </w:t>
      </w:r>
      <w:r w:rsidR="00D9258C">
        <w:rPr>
          <w:bCs/>
        </w:rPr>
        <w:t>REC Master Agreement, leaving the remaining definitions to be reviewed during a later conference call.</w:t>
      </w:r>
    </w:p>
    <w:p w14:paraId="49AE103C" w14:textId="6338045A" w:rsidR="009C55D0" w:rsidRPr="009C55D0" w:rsidRDefault="009C55D0" w:rsidP="009C55D0">
      <w:pPr>
        <w:widowControl w:val="0"/>
        <w:tabs>
          <w:tab w:val="left" w:pos="1440"/>
        </w:tabs>
        <w:spacing w:after="120"/>
        <w:jc w:val="both"/>
        <w:rPr>
          <w:bCs/>
        </w:rPr>
      </w:pPr>
      <w:r w:rsidRPr="009C55D0">
        <w:rPr>
          <w:bCs/>
          <w:i/>
          <w:iCs/>
          <w:u w:val="single"/>
        </w:rPr>
        <w:t>Section 3.2</w:t>
      </w:r>
      <w:r w:rsidRPr="009C55D0">
        <w:rPr>
          <w:bCs/>
        </w:rPr>
        <w:t xml:space="preserve"> – </w:t>
      </w:r>
      <w:r w:rsidR="00B65B3D">
        <w:rPr>
          <w:bCs/>
        </w:rPr>
        <w:t xml:space="preserve">Ms. </w:t>
      </w:r>
      <w:r w:rsidRPr="009C55D0">
        <w:rPr>
          <w:bCs/>
        </w:rPr>
        <w:t xml:space="preserve">Sieg </w:t>
      </w:r>
      <w:r w:rsidR="00B65B3D">
        <w:rPr>
          <w:bCs/>
        </w:rPr>
        <w:t xml:space="preserve">asked whether </w:t>
      </w:r>
      <w:r w:rsidR="009F4AEC">
        <w:rPr>
          <w:bCs/>
        </w:rPr>
        <w:t xml:space="preserve">the term </w:t>
      </w:r>
      <w:r w:rsidRPr="009C55D0">
        <w:rPr>
          <w:bCs/>
        </w:rPr>
        <w:t xml:space="preserve">“market value” </w:t>
      </w:r>
      <w:r w:rsidR="009F4AEC">
        <w:rPr>
          <w:bCs/>
        </w:rPr>
        <w:t>should be used</w:t>
      </w:r>
      <w:r w:rsidRPr="009C55D0">
        <w:rPr>
          <w:bCs/>
        </w:rPr>
        <w:t xml:space="preserve">.  She stated </w:t>
      </w:r>
      <w:r w:rsidR="009F4AEC">
        <w:rPr>
          <w:bCs/>
        </w:rPr>
        <w:t xml:space="preserve">that, </w:t>
      </w:r>
      <w:r w:rsidR="00F015F1">
        <w:rPr>
          <w:bCs/>
        </w:rPr>
        <w:t>in most spot agreements</w:t>
      </w:r>
      <w:r w:rsidR="009F4AEC">
        <w:rPr>
          <w:bCs/>
        </w:rPr>
        <w:t>,</w:t>
      </w:r>
      <w:r w:rsidRPr="009C55D0">
        <w:rPr>
          <w:bCs/>
        </w:rPr>
        <w:t xml:space="preserve"> the price </w:t>
      </w:r>
      <w:r w:rsidR="00F015F1">
        <w:rPr>
          <w:bCs/>
        </w:rPr>
        <w:t xml:space="preserve">that is </w:t>
      </w:r>
      <w:r w:rsidRPr="009C55D0">
        <w:rPr>
          <w:bCs/>
        </w:rPr>
        <w:t>agreed upon</w:t>
      </w:r>
      <w:r w:rsidR="00F015F1">
        <w:rPr>
          <w:bCs/>
        </w:rPr>
        <w:t xml:space="preserve"> control</w:t>
      </w:r>
      <w:r w:rsidR="009F4AEC">
        <w:rPr>
          <w:bCs/>
        </w:rPr>
        <w:t>s</w:t>
      </w:r>
      <w:r w:rsidRPr="009C55D0">
        <w:rPr>
          <w:bCs/>
        </w:rPr>
        <w:t xml:space="preserve">.  </w:t>
      </w:r>
      <w:r w:rsidR="00F015F1">
        <w:rPr>
          <w:bCs/>
        </w:rPr>
        <w:t xml:space="preserve">Mr. </w:t>
      </w:r>
      <w:r w:rsidRPr="009C55D0">
        <w:rPr>
          <w:bCs/>
        </w:rPr>
        <w:t xml:space="preserve">Weinstein </w:t>
      </w:r>
      <w:r w:rsidR="00F015F1">
        <w:rPr>
          <w:bCs/>
        </w:rPr>
        <w:t xml:space="preserve">asked whether </w:t>
      </w:r>
      <w:r w:rsidRPr="009C55D0">
        <w:rPr>
          <w:bCs/>
        </w:rPr>
        <w:t xml:space="preserve">market value or actual value is resold.  </w:t>
      </w:r>
      <w:r w:rsidR="00F015F1">
        <w:rPr>
          <w:bCs/>
        </w:rPr>
        <w:t>He stated that if one entity is</w:t>
      </w:r>
      <w:r w:rsidRPr="009C55D0">
        <w:rPr>
          <w:bCs/>
        </w:rPr>
        <w:t xml:space="preserve"> unable to replace, then some market price needs to be attached </w:t>
      </w:r>
      <w:r w:rsidR="00F015F1">
        <w:rPr>
          <w:bCs/>
        </w:rPr>
        <w:t>to potentially determine damages</w:t>
      </w:r>
      <w:r w:rsidRPr="009C55D0">
        <w:rPr>
          <w:bCs/>
        </w:rPr>
        <w:t xml:space="preserve">.  </w:t>
      </w:r>
      <w:r w:rsidR="00F015F1">
        <w:rPr>
          <w:bCs/>
        </w:rPr>
        <w:t xml:space="preserve">Ms. Sieg proposed modifications indicating that the difference between the contract price and the market price would be considered.  </w:t>
      </w:r>
      <w:r w:rsidRPr="009C55D0">
        <w:rPr>
          <w:bCs/>
        </w:rPr>
        <w:t xml:space="preserve">Ms. Crockett </w:t>
      </w:r>
      <w:r w:rsidR="00F015F1">
        <w:rPr>
          <w:bCs/>
        </w:rPr>
        <w:t>and</w:t>
      </w:r>
      <w:r w:rsidRPr="009C55D0">
        <w:rPr>
          <w:bCs/>
        </w:rPr>
        <w:t xml:space="preserve"> Mr. Weinstein </w:t>
      </w:r>
      <w:r w:rsidR="00F015F1">
        <w:rPr>
          <w:bCs/>
        </w:rPr>
        <w:t>agreed with the proposed edits</w:t>
      </w:r>
      <w:r w:rsidRPr="009C55D0">
        <w:rPr>
          <w:bCs/>
        </w:rPr>
        <w:t xml:space="preserve">.  Ms.  Trum noted that she would </w:t>
      </w:r>
      <w:r w:rsidR="00F015F1">
        <w:rPr>
          <w:bCs/>
        </w:rPr>
        <w:t>replace the word</w:t>
      </w:r>
      <w:r w:rsidRPr="009C55D0">
        <w:rPr>
          <w:bCs/>
        </w:rPr>
        <w:t xml:space="preserve"> “product” </w:t>
      </w:r>
      <w:r w:rsidR="009F4AEC">
        <w:rPr>
          <w:bCs/>
        </w:rPr>
        <w:t>with</w:t>
      </w:r>
      <w:r w:rsidRPr="009C55D0">
        <w:rPr>
          <w:bCs/>
        </w:rPr>
        <w:t xml:space="preserve"> “REC” and “Contract</w:t>
      </w:r>
      <w:r w:rsidR="00F015F1">
        <w:rPr>
          <w:bCs/>
        </w:rPr>
        <w:t>”</w:t>
      </w:r>
      <w:r w:rsidRPr="009C55D0">
        <w:rPr>
          <w:bCs/>
        </w:rPr>
        <w:t xml:space="preserve"> w</w:t>
      </w:r>
      <w:r w:rsidR="00F015F1">
        <w:rPr>
          <w:bCs/>
        </w:rPr>
        <w:t>ith</w:t>
      </w:r>
      <w:r w:rsidRPr="009C55D0">
        <w:rPr>
          <w:bCs/>
        </w:rPr>
        <w:t xml:space="preserve"> “Master Agreement” throughout the </w:t>
      </w:r>
      <w:r w:rsidR="008624DB">
        <w:rPr>
          <w:bCs/>
        </w:rPr>
        <w:t>D</w:t>
      </w:r>
      <w:r w:rsidR="00F015F1">
        <w:rPr>
          <w:bCs/>
        </w:rPr>
        <w:t xml:space="preserve">raft </w:t>
      </w:r>
      <w:r w:rsidR="008624DB">
        <w:rPr>
          <w:bCs/>
        </w:rPr>
        <w:t xml:space="preserve">NAESB </w:t>
      </w:r>
      <w:r w:rsidR="00F015F1">
        <w:rPr>
          <w:bCs/>
        </w:rPr>
        <w:t>REC Master Agreement.</w:t>
      </w:r>
      <w:r w:rsidR="008624DB">
        <w:rPr>
          <w:bCs/>
        </w:rPr>
        <w:t xml:space="preserve">  Also, the participants highlighted any references to sections that appear within other sections, in order to facilitate a review of those references during a later conference call.</w:t>
      </w:r>
    </w:p>
    <w:p w14:paraId="35B197D4" w14:textId="591CF01E" w:rsidR="009C55D0" w:rsidRPr="009C55D0" w:rsidRDefault="009C55D0" w:rsidP="009C55D0">
      <w:pPr>
        <w:widowControl w:val="0"/>
        <w:tabs>
          <w:tab w:val="left" w:pos="1440"/>
        </w:tabs>
        <w:spacing w:after="120"/>
        <w:jc w:val="both"/>
        <w:rPr>
          <w:bCs/>
        </w:rPr>
      </w:pPr>
      <w:r w:rsidRPr="009C55D0">
        <w:rPr>
          <w:bCs/>
          <w:i/>
          <w:iCs/>
          <w:u w:val="single"/>
        </w:rPr>
        <w:t>Section 3.3</w:t>
      </w:r>
      <w:r w:rsidRPr="009C55D0">
        <w:rPr>
          <w:bCs/>
        </w:rPr>
        <w:t xml:space="preserve"> – </w:t>
      </w:r>
      <w:r w:rsidR="00F015F1">
        <w:rPr>
          <w:bCs/>
        </w:rPr>
        <w:t xml:space="preserve">Mr. Weinstein </w:t>
      </w:r>
      <w:r w:rsidR="009F4AEC">
        <w:rPr>
          <w:bCs/>
        </w:rPr>
        <w:t>stated that he agreed with</w:t>
      </w:r>
      <w:r w:rsidR="00F015F1">
        <w:rPr>
          <w:bCs/>
        </w:rPr>
        <w:t xml:space="preserve"> the language as written.</w:t>
      </w:r>
    </w:p>
    <w:p w14:paraId="791A652C" w14:textId="79B23579" w:rsidR="009C55D0" w:rsidRPr="009C55D0" w:rsidRDefault="009C55D0" w:rsidP="009C55D0">
      <w:pPr>
        <w:widowControl w:val="0"/>
        <w:tabs>
          <w:tab w:val="left" w:pos="1440"/>
        </w:tabs>
        <w:spacing w:after="120"/>
        <w:jc w:val="both"/>
        <w:rPr>
          <w:bCs/>
        </w:rPr>
      </w:pPr>
      <w:r w:rsidRPr="009C55D0">
        <w:rPr>
          <w:bCs/>
          <w:i/>
          <w:iCs/>
          <w:u w:val="single"/>
        </w:rPr>
        <w:t>Section 3.4</w:t>
      </w:r>
      <w:r w:rsidR="00F015F1">
        <w:rPr>
          <w:bCs/>
        </w:rPr>
        <w:t xml:space="preserve"> – Mr. </w:t>
      </w:r>
      <w:r w:rsidRPr="009C55D0">
        <w:rPr>
          <w:bCs/>
        </w:rPr>
        <w:t>Weinstein</w:t>
      </w:r>
      <w:r w:rsidR="00F015F1">
        <w:rPr>
          <w:bCs/>
        </w:rPr>
        <w:t xml:space="preserve"> stated that </w:t>
      </w:r>
      <w:r w:rsidR="008624DB">
        <w:rPr>
          <w:bCs/>
        </w:rPr>
        <w:t xml:space="preserve">the termination of agreement </w:t>
      </w:r>
      <w:r w:rsidR="009F4AEC">
        <w:rPr>
          <w:bCs/>
        </w:rPr>
        <w:t xml:space="preserve">provision </w:t>
      </w:r>
      <w:r w:rsidR="00F015F1">
        <w:rPr>
          <w:bCs/>
        </w:rPr>
        <w:t xml:space="preserve">may </w:t>
      </w:r>
      <w:r w:rsidR="009F4AEC">
        <w:rPr>
          <w:bCs/>
        </w:rPr>
        <w:t>not be relevant</w:t>
      </w:r>
      <w:r w:rsidRPr="009C55D0">
        <w:rPr>
          <w:bCs/>
        </w:rPr>
        <w:t xml:space="preserve">, as RECs are not a critical commodity.  </w:t>
      </w:r>
      <w:r w:rsidR="008624DB">
        <w:rPr>
          <w:bCs/>
        </w:rPr>
        <w:t xml:space="preserve">Ms. </w:t>
      </w:r>
      <w:r w:rsidRPr="009C55D0">
        <w:rPr>
          <w:bCs/>
        </w:rPr>
        <w:t>Crockett</w:t>
      </w:r>
      <w:r w:rsidR="008624DB">
        <w:rPr>
          <w:bCs/>
        </w:rPr>
        <w:t xml:space="preserve"> asked whether there is a reason to not provide a termination agreement if </w:t>
      </w:r>
      <w:r w:rsidR="008624DB">
        <w:rPr>
          <w:bCs/>
        </w:rPr>
        <w:lastRenderedPageBreak/>
        <w:t>the parties agree.  Mr. Weinstein stated that the provision is unusual for the Master Agreement.  Ms. Crockett stated that RECs are currently settled on a monthly basis; however, in the future the frequency may increase to daily or hourly, if tied to generation sites.  She noted that the agreement is not mandated and suggested that the subcommittees retain the termination agreement</w:t>
      </w:r>
      <w:r w:rsidRPr="009C55D0">
        <w:rPr>
          <w:bCs/>
        </w:rPr>
        <w:t xml:space="preserve"> </w:t>
      </w:r>
      <w:r w:rsidR="008624DB">
        <w:rPr>
          <w:bCs/>
        </w:rPr>
        <w:t xml:space="preserve">for the Draft REC </w:t>
      </w:r>
      <w:r w:rsidRPr="009C55D0">
        <w:rPr>
          <w:bCs/>
        </w:rPr>
        <w:t>Master Agreement.</w:t>
      </w:r>
      <w:r w:rsidR="008624DB">
        <w:rPr>
          <w:bCs/>
        </w:rPr>
        <w:t xml:space="preserve">  </w:t>
      </w:r>
      <w:r w:rsidRPr="009C55D0">
        <w:rPr>
          <w:bCs/>
        </w:rPr>
        <w:t xml:space="preserve">Ms. Sieg </w:t>
      </w:r>
      <w:r w:rsidR="008624DB">
        <w:rPr>
          <w:bCs/>
        </w:rPr>
        <w:t xml:space="preserve">offered minor edits to the section and noted that the </w:t>
      </w:r>
      <w:r w:rsidR="009F4AEC">
        <w:rPr>
          <w:bCs/>
        </w:rPr>
        <w:t>provision does</w:t>
      </w:r>
      <w:r w:rsidR="008624DB">
        <w:rPr>
          <w:bCs/>
        </w:rPr>
        <w:t xml:space="preserve"> not </w:t>
      </w:r>
      <w:r w:rsidR="009F4AEC">
        <w:rPr>
          <w:bCs/>
        </w:rPr>
        <w:t xml:space="preserve">appear </w:t>
      </w:r>
      <w:r w:rsidR="008624DB">
        <w:rPr>
          <w:bCs/>
        </w:rPr>
        <w:t>in the GISB version</w:t>
      </w:r>
      <w:r w:rsidR="009F4AEC">
        <w:rPr>
          <w:bCs/>
        </w:rPr>
        <w:t xml:space="preserve"> of the NAESB Base Contract</w:t>
      </w:r>
      <w:r w:rsidR="008624DB">
        <w:rPr>
          <w:bCs/>
        </w:rPr>
        <w:t>.  Ms. Trum suggested an edit.</w:t>
      </w:r>
    </w:p>
    <w:p w14:paraId="04A83BEE" w14:textId="005C3CCC" w:rsidR="009C55D0" w:rsidRPr="009C55D0" w:rsidRDefault="009C55D0" w:rsidP="009C55D0">
      <w:pPr>
        <w:widowControl w:val="0"/>
        <w:tabs>
          <w:tab w:val="left" w:pos="1440"/>
        </w:tabs>
        <w:spacing w:after="120"/>
        <w:jc w:val="both"/>
        <w:rPr>
          <w:bCs/>
        </w:rPr>
      </w:pPr>
      <w:r w:rsidRPr="009C55D0">
        <w:rPr>
          <w:bCs/>
          <w:i/>
          <w:iCs/>
          <w:u w:val="single"/>
        </w:rPr>
        <w:t>Section 4.1</w:t>
      </w:r>
      <w:r w:rsidRPr="009C55D0">
        <w:rPr>
          <w:bCs/>
        </w:rPr>
        <w:t xml:space="preserve"> – </w:t>
      </w:r>
      <w:r w:rsidR="008624DB">
        <w:rPr>
          <w:bCs/>
        </w:rPr>
        <w:t>A typo was fixed, changing the word</w:t>
      </w:r>
      <w:r w:rsidRPr="009C55D0">
        <w:rPr>
          <w:bCs/>
        </w:rPr>
        <w:t xml:space="preserve"> “form” to “from</w:t>
      </w:r>
      <w:r w:rsidR="008624DB">
        <w:rPr>
          <w:bCs/>
        </w:rPr>
        <w:t>.</w:t>
      </w:r>
      <w:r w:rsidRPr="009C55D0">
        <w:rPr>
          <w:bCs/>
        </w:rPr>
        <w:t>”</w:t>
      </w:r>
    </w:p>
    <w:p w14:paraId="450FBF26" w14:textId="4C81C9DC" w:rsidR="009C55D0" w:rsidRPr="009C55D0" w:rsidRDefault="009C55D0" w:rsidP="009C55D0">
      <w:pPr>
        <w:widowControl w:val="0"/>
        <w:tabs>
          <w:tab w:val="left" w:pos="1440"/>
        </w:tabs>
        <w:spacing w:after="120"/>
        <w:jc w:val="both"/>
        <w:rPr>
          <w:bCs/>
        </w:rPr>
      </w:pPr>
      <w:r w:rsidRPr="009C55D0">
        <w:rPr>
          <w:bCs/>
          <w:i/>
          <w:iCs/>
          <w:u w:val="single"/>
        </w:rPr>
        <w:t>Section 4.2</w:t>
      </w:r>
      <w:r w:rsidRPr="009C55D0">
        <w:rPr>
          <w:bCs/>
        </w:rPr>
        <w:t xml:space="preserve"> – </w:t>
      </w:r>
      <w:r w:rsidR="008624DB">
        <w:rPr>
          <w:bCs/>
        </w:rPr>
        <w:t>A reference to a section was highlighted.</w:t>
      </w:r>
      <w:r w:rsidRPr="009C55D0">
        <w:rPr>
          <w:bCs/>
        </w:rPr>
        <w:t xml:space="preserve"> </w:t>
      </w:r>
    </w:p>
    <w:p w14:paraId="0824FCA9" w14:textId="77777777" w:rsidR="009C55D0" w:rsidRPr="009C55D0" w:rsidRDefault="009C55D0" w:rsidP="009C55D0">
      <w:pPr>
        <w:widowControl w:val="0"/>
        <w:tabs>
          <w:tab w:val="left" w:pos="1440"/>
        </w:tabs>
        <w:spacing w:after="120"/>
        <w:jc w:val="both"/>
        <w:rPr>
          <w:bCs/>
        </w:rPr>
      </w:pPr>
      <w:r w:rsidRPr="009C55D0">
        <w:rPr>
          <w:bCs/>
          <w:i/>
          <w:iCs/>
          <w:u w:val="single"/>
        </w:rPr>
        <w:t>Section 4.3</w:t>
      </w:r>
      <w:r w:rsidRPr="009C55D0">
        <w:rPr>
          <w:bCs/>
        </w:rPr>
        <w:t xml:space="preserve"> – No comments.</w:t>
      </w:r>
    </w:p>
    <w:p w14:paraId="0DFD896F" w14:textId="5CC078F3" w:rsidR="009C55D0" w:rsidRPr="009C55D0" w:rsidRDefault="009C55D0" w:rsidP="009C55D0">
      <w:pPr>
        <w:widowControl w:val="0"/>
        <w:tabs>
          <w:tab w:val="left" w:pos="1440"/>
        </w:tabs>
        <w:spacing w:after="120"/>
        <w:jc w:val="both"/>
        <w:rPr>
          <w:bCs/>
        </w:rPr>
      </w:pPr>
      <w:r w:rsidRPr="009C55D0">
        <w:rPr>
          <w:bCs/>
          <w:i/>
          <w:iCs/>
          <w:u w:val="single"/>
        </w:rPr>
        <w:t>Section 5</w:t>
      </w:r>
      <w:r w:rsidRPr="009C55D0">
        <w:rPr>
          <w:bCs/>
        </w:rPr>
        <w:t xml:space="preserve"> – Ms. Do noted that the title was changed to add “Fees</w:t>
      </w:r>
      <w:r w:rsidR="008624DB">
        <w:rPr>
          <w:bCs/>
        </w:rPr>
        <w:t>.</w:t>
      </w:r>
      <w:r w:rsidRPr="009C55D0">
        <w:rPr>
          <w:bCs/>
        </w:rPr>
        <w:t xml:space="preserve">” </w:t>
      </w:r>
      <w:r w:rsidR="008624DB">
        <w:rPr>
          <w:bCs/>
        </w:rPr>
        <w:t xml:space="preserve"> </w:t>
      </w:r>
      <w:r w:rsidRPr="009C55D0">
        <w:rPr>
          <w:bCs/>
        </w:rPr>
        <w:t>Mr. Weinstein asked to review the definition of the term “Transaction Cost</w:t>
      </w:r>
      <w:r w:rsidR="008624DB">
        <w:rPr>
          <w:bCs/>
        </w:rPr>
        <w:t>.</w:t>
      </w:r>
      <w:r w:rsidRPr="009C55D0">
        <w:rPr>
          <w:bCs/>
        </w:rPr>
        <w:t xml:space="preserve">”  </w:t>
      </w:r>
      <w:r w:rsidR="00FF434A">
        <w:rPr>
          <w:bCs/>
        </w:rPr>
        <w:t xml:space="preserve">The participants reviewed the definition.  </w:t>
      </w:r>
      <w:r w:rsidRPr="009C55D0">
        <w:rPr>
          <w:bCs/>
        </w:rPr>
        <w:t xml:space="preserve">Ms. Sieg noted that the definition includes the GIS fees and any tracking system fees.  </w:t>
      </w:r>
    </w:p>
    <w:p w14:paraId="528E16FA" w14:textId="77777777" w:rsidR="009C55D0" w:rsidRPr="009C55D0" w:rsidRDefault="009C55D0" w:rsidP="009C55D0">
      <w:pPr>
        <w:widowControl w:val="0"/>
        <w:tabs>
          <w:tab w:val="left" w:pos="1440"/>
        </w:tabs>
        <w:spacing w:after="120"/>
        <w:jc w:val="both"/>
        <w:rPr>
          <w:bCs/>
        </w:rPr>
      </w:pPr>
      <w:r w:rsidRPr="009C55D0">
        <w:rPr>
          <w:bCs/>
          <w:i/>
          <w:iCs/>
          <w:u w:val="single"/>
        </w:rPr>
        <w:t>Section 6.1</w:t>
      </w:r>
      <w:r w:rsidRPr="009C55D0">
        <w:rPr>
          <w:bCs/>
        </w:rPr>
        <w:t xml:space="preserve"> – The subcommittees rejected the deletion of the word “and” in the first sentence.</w:t>
      </w:r>
    </w:p>
    <w:p w14:paraId="301462BE" w14:textId="5EECEFE5" w:rsidR="009C55D0" w:rsidRPr="009C55D0" w:rsidRDefault="009C55D0" w:rsidP="009C55D0">
      <w:pPr>
        <w:widowControl w:val="0"/>
        <w:tabs>
          <w:tab w:val="left" w:pos="1440"/>
        </w:tabs>
        <w:spacing w:after="120"/>
        <w:jc w:val="both"/>
        <w:rPr>
          <w:bCs/>
        </w:rPr>
      </w:pPr>
      <w:r w:rsidRPr="009C55D0">
        <w:rPr>
          <w:bCs/>
          <w:i/>
          <w:iCs/>
          <w:u w:val="single"/>
        </w:rPr>
        <w:t>Section 6.2</w:t>
      </w:r>
      <w:r w:rsidRPr="009C55D0">
        <w:rPr>
          <w:bCs/>
        </w:rPr>
        <w:t xml:space="preserve"> – </w:t>
      </w:r>
      <w:r w:rsidR="008624DB">
        <w:rPr>
          <w:bCs/>
        </w:rPr>
        <w:t>References to two sections were highlighted.</w:t>
      </w:r>
    </w:p>
    <w:p w14:paraId="191CD869" w14:textId="77777777" w:rsidR="009C55D0" w:rsidRPr="009C55D0" w:rsidRDefault="009C55D0" w:rsidP="009C55D0">
      <w:pPr>
        <w:widowControl w:val="0"/>
        <w:tabs>
          <w:tab w:val="left" w:pos="1440"/>
        </w:tabs>
        <w:spacing w:after="120"/>
        <w:jc w:val="both"/>
        <w:rPr>
          <w:bCs/>
        </w:rPr>
      </w:pPr>
      <w:r w:rsidRPr="009C55D0">
        <w:rPr>
          <w:bCs/>
          <w:i/>
          <w:iCs/>
          <w:u w:val="single"/>
        </w:rPr>
        <w:t>Section 6.3</w:t>
      </w:r>
      <w:r w:rsidRPr="009C55D0">
        <w:rPr>
          <w:bCs/>
        </w:rPr>
        <w:t xml:space="preserve"> – Ms. Crockett suggested that the word “Prepayment” be lower-cased.</w:t>
      </w:r>
    </w:p>
    <w:p w14:paraId="02A6EF44" w14:textId="18A45397" w:rsidR="009C55D0" w:rsidRPr="009C55D0" w:rsidRDefault="009C55D0" w:rsidP="009C55D0">
      <w:pPr>
        <w:widowControl w:val="0"/>
        <w:tabs>
          <w:tab w:val="left" w:pos="1440"/>
        </w:tabs>
        <w:spacing w:after="120"/>
        <w:jc w:val="both"/>
        <w:rPr>
          <w:bCs/>
        </w:rPr>
      </w:pPr>
      <w:r w:rsidRPr="009C55D0">
        <w:rPr>
          <w:bCs/>
          <w:i/>
          <w:iCs/>
          <w:u w:val="single"/>
        </w:rPr>
        <w:t>Section 6.4</w:t>
      </w:r>
      <w:r w:rsidRPr="009C55D0">
        <w:rPr>
          <w:bCs/>
        </w:rPr>
        <w:t xml:space="preserve"> – </w:t>
      </w:r>
      <w:r w:rsidR="008624DB">
        <w:rPr>
          <w:bCs/>
        </w:rPr>
        <w:t>A reference to S</w:t>
      </w:r>
      <w:r w:rsidRPr="009C55D0">
        <w:rPr>
          <w:bCs/>
        </w:rPr>
        <w:t>ection 3.2 was highlighted</w:t>
      </w:r>
      <w:r w:rsidR="008624DB">
        <w:rPr>
          <w:bCs/>
        </w:rPr>
        <w:t>.</w:t>
      </w:r>
    </w:p>
    <w:p w14:paraId="5935C33E" w14:textId="7FEEBD6E" w:rsidR="009C55D0" w:rsidRPr="009C55D0" w:rsidRDefault="009C55D0" w:rsidP="009C55D0">
      <w:pPr>
        <w:widowControl w:val="0"/>
        <w:tabs>
          <w:tab w:val="left" w:pos="1440"/>
        </w:tabs>
        <w:spacing w:after="120"/>
        <w:jc w:val="both"/>
        <w:rPr>
          <w:bCs/>
        </w:rPr>
      </w:pPr>
      <w:r w:rsidRPr="009C55D0">
        <w:rPr>
          <w:bCs/>
          <w:i/>
          <w:iCs/>
          <w:u w:val="single"/>
        </w:rPr>
        <w:t>Section</w:t>
      </w:r>
      <w:r w:rsidR="00A00D12">
        <w:rPr>
          <w:bCs/>
          <w:i/>
          <w:iCs/>
          <w:u w:val="single"/>
        </w:rPr>
        <w:t>s</w:t>
      </w:r>
      <w:r w:rsidRPr="009C55D0">
        <w:rPr>
          <w:bCs/>
          <w:i/>
          <w:iCs/>
          <w:u w:val="single"/>
        </w:rPr>
        <w:t xml:space="preserve"> 6.5 and</w:t>
      </w:r>
      <w:r w:rsidR="00A00D12">
        <w:rPr>
          <w:bCs/>
          <w:i/>
          <w:iCs/>
          <w:u w:val="single"/>
        </w:rPr>
        <w:t xml:space="preserve"> </w:t>
      </w:r>
      <w:r w:rsidRPr="009C55D0">
        <w:rPr>
          <w:bCs/>
          <w:i/>
          <w:iCs/>
          <w:u w:val="single"/>
        </w:rPr>
        <w:t>6.6</w:t>
      </w:r>
      <w:r w:rsidRPr="00A00D12">
        <w:rPr>
          <w:bCs/>
          <w:i/>
          <w:iCs/>
        </w:rPr>
        <w:t xml:space="preserve"> </w:t>
      </w:r>
      <w:r w:rsidRPr="009C55D0">
        <w:rPr>
          <w:bCs/>
        </w:rPr>
        <w:t xml:space="preserve">– Ms. Crockett </w:t>
      </w:r>
      <w:r w:rsidR="00FF434A">
        <w:rPr>
          <w:bCs/>
        </w:rPr>
        <w:t>stated that she approved of</w:t>
      </w:r>
      <w:r w:rsidRPr="009C55D0">
        <w:rPr>
          <w:bCs/>
        </w:rPr>
        <w:t xml:space="preserve"> the language as written.</w:t>
      </w:r>
    </w:p>
    <w:p w14:paraId="7E8FFC8F" w14:textId="333BAE53" w:rsidR="009C55D0" w:rsidRPr="009C55D0" w:rsidRDefault="009C55D0" w:rsidP="009C55D0">
      <w:pPr>
        <w:widowControl w:val="0"/>
        <w:tabs>
          <w:tab w:val="left" w:pos="1440"/>
        </w:tabs>
        <w:spacing w:after="120"/>
        <w:jc w:val="both"/>
        <w:rPr>
          <w:bCs/>
        </w:rPr>
      </w:pPr>
      <w:r w:rsidRPr="009C55D0">
        <w:rPr>
          <w:bCs/>
          <w:i/>
          <w:iCs/>
          <w:u w:val="single"/>
        </w:rPr>
        <w:t>Section 6.7</w:t>
      </w:r>
      <w:r w:rsidRPr="009C55D0">
        <w:rPr>
          <w:bCs/>
        </w:rPr>
        <w:t xml:space="preserve"> – </w:t>
      </w:r>
      <w:r w:rsidR="00A00D12">
        <w:rPr>
          <w:bCs/>
        </w:rPr>
        <w:t>A</w:t>
      </w:r>
      <w:r w:rsidRPr="009C55D0">
        <w:rPr>
          <w:bCs/>
        </w:rPr>
        <w:t xml:space="preserve"> reference to Section 6 was highlighted. </w:t>
      </w:r>
      <w:r w:rsidR="00FF434A">
        <w:rPr>
          <w:bCs/>
        </w:rPr>
        <w:t xml:space="preserve"> </w:t>
      </w:r>
      <w:r w:rsidRPr="009C55D0">
        <w:rPr>
          <w:bCs/>
        </w:rPr>
        <w:t>The word “of” was removed</w:t>
      </w:r>
      <w:r w:rsidR="00A00D12">
        <w:rPr>
          <w:bCs/>
        </w:rPr>
        <w:t xml:space="preserve">, resulting in </w:t>
      </w:r>
      <w:r w:rsidRPr="009C55D0">
        <w:rPr>
          <w:bCs/>
        </w:rPr>
        <w:t xml:space="preserve">the </w:t>
      </w:r>
      <w:r w:rsidR="00FF434A">
        <w:rPr>
          <w:bCs/>
        </w:rPr>
        <w:t xml:space="preserve">corrected </w:t>
      </w:r>
      <w:r w:rsidRPr="009C55D0">
        <w:rPr>
          <w:bCs/>
        </w:rPr>
        <w:t>phrase “two years after the REC delivery.”</w:t>
      </w:r>
    </w:p>
    <w:p w14:paraId="74D90563" w14:textId="42021EFC" w:rsidR="009C55D0" w:rsidRPr="009C55D0" w:rsidRDefault="009C55D0" w:rsidP="009C55D0">
      <w:pPr>
        <w:widowControl w:val="0"/>
        <w:tabs>
          <w:tab w:val="left" w:pos="1440"/>
        </w:tabs>
        <w:spacing w:after="120"/>
        <w:jc w:val="both"/>
        <w:rPr>
          <w:bCs/>
        </w:rPr>
      </w:pPr>
      <w:r w:rsidRPr="009C55D0">
        <w:rPr>
          <w:bCs/>
          <w:i/>
          <w:iCs/>
          <w:u w:val="single"/>
        </w:rPr>
        <w:t>Section 6.8</w:t>
      </w:r>
      <w:r w:rsidRPr="009C55D0">
        <w:rPr>
          <w:bCs/>
        </w:rPr>
        <w:t xml:space="preserve"> – </w:t>
      </w:r>
      <w:r w:rsidR="00A00D12">
        <w:rPr>
          <w:bCs/>
        </w:rPr>
        <w:t>S</w:t>
      </w:r>
      <w:r w:rsidRPr="009C55D0">
        <w:rPr>
          <w:bCs/>
        </w:rPr>
        <w:t>ection references were highlighted.</w:t>
      </w:r>
    </w:p>
    <w:p w14:paraId="44B0A884" w14:textId="39DCB48C" w:rsidR="009C55D0" w:rsidRPr="009C55D0" w:rsidRDefault="009C55D0" w:rsidP="009C55D0">
      <w:pPr>
        <w:widowControl w:val="0"/>
        <w:tabs>
          <w:tab w:val="left" w:pos="1440"/>
        </w:tabs>
        <w:spacing w:after="120"/>
        <w:jc w:val="both"/>
        <w:rPr>
          <w:bCs/>
        </w:rPr>
      </w:pPr>
      <w:r w:rsidRPr="009C55D0">
        <w:rPr>
          <w:bCs/>
          <w:i/>
          <w:iCs/>
          <w:u w:val="single"/>
        </w:rPr>
        <w:t>Section 7.1</w:t>
      </w:r>
      <w:r w:rsidRPr="009C55D0">
        <w:rPr>
          <w:bCs/>
        </w:rPr>
        <w:t xml:space="preserve"> – </w:t>
      </w:r>
      <w:r w:rsidR="00A00D12">
        <w:rPr>
          <w:bCs/>
        </w:rPr>
        <w:t xml:space="preserve">A reference to </w:t>
      </w:r>
      <w:r w:rsidRPr="009C55D0">
        <w:rPr>
          <w:bCs/>
        </w:rPr>
        <w:t xml:space="preserve">Section 6 </w:t>
      </w:r>
      <w:r w:rsidR="00A00D12">
        <w:rPr>
          <w:bCs/>
        </w:rPr>
        <w:t xml:space="preserve">was </w:t>
      </w:r>
      <w:r w:rsidRPr="009C55D0">
        <w:rPr>
          <w:bCs/>
        </w:rPr>
        <w:t xml:space="preserve">highlighted. </w:t>
      </w:r>
    </w:p>
    <w:p w14:paraId="483DAC0A" w14:textId="6A5ECF50" w:rsidR="009C55D0" w:rsidRPr="009C55D0" w:rsidRDefault="009C55D0" w:rsidP="009C55D0">
      <w:pPr>
        <w:widowControl w:val="0"/>
        <w:tabs>
          <w:tab w:val="left" w:pos="1440"/>
        </w:tabs>
        <w:spacing w:after="120"/>
        <w:jc w:val="both"/>
        <w:rPr>
          <w:bCs/>
        </w:rPr>
      </w:pPr>
      <w:r w:rsidRPr="009C55D0">
        <w:rPr>
          <w:bCs/>
          <w:i/>
          <w:iCs/>
          <w:u w:val="single"/>
        </w:rPr>
        <w:t>Section 7.2</w:t>
      </w:r>
      <w:r w:rsidRPr="009C55D0">
        <w:rPr>
          <w:bCs/>
        </w:rPr>
        <w:t xml:space="preserve"> – Mr. Weinstein stated that the last sentence would need to be reviewed for accuracy.  He explained inclusions </w:t>
      </w:r>
      <w:r w:rsidR="00A00D12">
        <w:rPr>
          <w:bCs/>
        </w:rPr>
        <w:t xml:space="preserve">should be </w:t>
      </w:r>
      <w:r w:rsidRPr="009C55D0">
        <w:rPr>
          <w:bCs/>
        </w:rPr>
        <w:t>made</w:t>
      </w:r>
      <w:r w:rsidR="00A00D12">
        <w:rPr>
          <w:bCs/>
        </w:rPr>
        <w:t xml:space="preserve"> </w:t>
      </w:r>
      <w:r w:rsidRPr="009C55D0">
        <w:rPr>
          <w:bCs/>
        </w:rPr>
        <w:t xml:space="preserve">to the warranty language.  </w:t>
      </w:r>
      <w:r w:rsidR="00FF434A">
        <w:rPr>
          <w:bCs/>
        </w:rPr>
        <w:t xml:space="preserve">Mr. Weinstein </w:t>
      </w:r>
      <w:r w:rsidRPr="009C55D0">
        <w:rPr>
          <w:bCs/>
        </w:rPr>
        <w:t xml:space="preserve">asked whether the representation was considered to be made on the date thereof or the date of delivery. </w:t>
      </w:r>
      <w:r w:rsidR="00A00D12">
        <w:rPr>
          <w:bCs/>
        </w:rPr>
        <w:t xml:space="preserve"> In response, </w:t>
      </w:r>
      <w:r w:rsidRPr="009C55D0">
        <w:rPr>
          <w:bCs/>
        </w:rPr>
        <w:t xml:space="preserve">Ms. Sieg </w:t>
      </w:r>
      <w:r w:rsidR="00A00D12">
        <w:rPr>
          <w:bCs/>
        </w:rPr>
        <w:t>suggested</w:t>
      </w:r>
      <w:r w:rsidRPr="009C55D0">
        <w:rPr>
          <w:bCs/>
        </w:rPr>
        <w:t xml:space="preserve"> </w:t>
      </w:r>
      <w:r w:rsidR="00A00D12">
        <w:rPr>
          <w:bCs/>
        </w:rPr>
        <w:t xml:space="preserve">that the </w:t>
      </w:r>
      <w:r w:rsidRPr="009C55D0">
        <w:rPr>
          <w:bCs/>
        </w:rPr>
        <w:t>language</w:t>
      </w:r>
      <w:r w:rsidR="00A00D12">
        <w:rPr>
          <w:bCs/>
        </w:rPr>
        <w:t xml:space="preserve"> be modified to</w:t>
      </w:r>
      <w:r w:rsidRPr="009C55D0">
        <w:rPr>
          <w:bCs/>
        </w:rPr>
        <w:t xml:space="preserve"> state “in this Master Agreement” or this “in this Transaction Confirmation.”  Mr. Weinstein stated that it could not be the case that there are no representations or warranties.  He asked whether the term “Applicable Program” was used.  Ms. Crockett stated that the subcommittees have not answered the questions surrounding “Applicable Programs” in the </w:t>
      </w:r>
      <w:r w:rsidR="00A00D12">
        <w:rPr>
          <w:bCs/>
        </w:rPr>
        <w:t>P</w:t>
      </w:r>
      <w:r w:rsidRPr="009C55D0">
        <w:rPr>
          <w:bCs/>
        </w:rPr>
        <w:t xml:space="preserve">arking </w:t>
      </w:r>
      <w:r w:rsidR="00A00D12">
        <w:rPr>
          <w:bCs/>
        </w:rPr>
        <w:t>L</w:t>
      </w:r>
      <w:r w:rsidRPr="009C55D0">
        <w:rPr>
          <w:bCs/>
        </w:rPr>
        <w:t xml:space="preserve">ot.  </w:t>
      </w:r>
      <w:r w:rsidR="00A00D12">
        <w:rPr>
          <w:bCs/>
        </w:rPr>
        <w:t>Ms. Sieg suggested adding language</w:t>
      </w:r>
      <w:r w:rsidRPr="009C55D0">
        <w:rPr>
          <w:bCs/>
        </w:rPr>
        <w:t xml:space="preserve"> </w:t>
      </w:r>
      <w:r w:rsidR="00A00D12">
        <w:rPr>
          <w:bCs/>
        </w:rPr>
        <w:t>stating “</w:t>
      </w:r>
      <w:r w:rsidRPr="009C55D0">
        <w:rPr>
          <w:bCs/>
        </w:rPr>
        <w:t>except as provided in the Master Agreement and Transaction Confirmation</w:t>
      </w:r>
      <w:r w:rsidR="00A00D12">
        <w:rPr>
          <w:bCs/>
        </w:rPr>
        <w:t xml:space="preserve">.”  </w:t>
      </w:r>
      <w:r w:rsidR="00FF434A">
        <w:rPr>
          <w:bCs/>
        </w:rPr>
        <w:t xml:space="preserve">Mr. Weinstein and </w:t>
      </w:r>
      <w:r w:rsidRPr="009C55D0">
        <w:rPr>
          <w:bCs/>
        </w:rPr>
        <w:t>Ms. Crockett agreed</w:t>
      </w:r>
      <w:r w:rsidR="00A00D12">
        <w:rPr>
          <w:bCs/>
        </w:rPr>
        <w:t xml:space="preserve"> with the </w:t>
      </w:r>
      <w:r w:rsidR="00FF434A">
        <w:rPr>
          <w:bCs/>
        </w:rPr>
        <w:t xml:space="preserve">proposed </w:t>
      </w:r>
      <w:r w:rsidR="00A00D12">
        <w:rPr>
          <w:bCs/>
        </w:rPr>
        <w:t>modification</w:t>
      </w:r>
      <w:r w:rsidRPr="009C55D0">
        <w:rPr>
          <w:bCs/>
        </w:rPr>
        <w:t xml:space="preserve">. </w:t>
      </w:r>
      <w:r w:rsidR="00FF434A">
        <w:rPr>
          <w:bCs/>
        </w:rPr>
        <w:t xml:space="preserve"> </w:t>
      </w:r>
      <w:r w:rsidR="00A00D12">
        <w:rPr>
          <w:bCs/>
        </w:rPr>
        <w:t xml:space="preserve">The term </w:t>
      </w:r>
      <w:r w:rsidRPr="009C55D0">
        <w:rPr>
          <w:bCs/>
        </w:rPr>
        <w:t>“security interest” was plural</w:t>
      </w:r>
      <w:r w:rsidR="00A00D12">
        <w:rPr>
          <w:bCs/>
        </w:rPr>
        <w:t>ized</w:t>
      </w:r>
      <w:r w:rsidRPr="009C55D0">
        <w:rPr>
          <w:bCs/>
        </w:rPr>
        <w:t>.</w:t>
      </w:r>
    </w:p>
    <w:p w14:paraId="00FDDE8B" w14:textId="101513AC" w:rsidR="009C55D0" w:rsidRPr="009C55D0" w:rsidRDefault="009C55D0" w:rsidP="009C55D0">
      <w:pPr>
        <w:widowControl w:val="0"/>
        <w:tabs>
          <w:tab w:val="left" w:pos="1440"/>
        </w:tabs>
        <w:spacing w:after="120"/>
        <w:jc w:val="both"/>
        <w:rPr>
          <w:bCs/>
        </w:rPr>
      </w:pPr>
      <w:r w:rsidRPr="009C55D0">
        <w:rPr>
          <w:bCs/>
          <w:i/>
          <w:iCs/>
          <w:u w:val="single"/>
        </w:rPr>
        <w:t>Section 7.3</w:t>
      </w:r>
      <w:r w:rsidRPr="009C55D0">
        <w:rPr>
          <w:bCs/>
          <w:i/>
          <w:iCs/>
        </w:rPr>
        <w:t xml:space="preserve"> – </w:t>
      </w:r>
      <w:r w:rsidR="00A00D12">
        <w:rPr>
          <w:bCs/>
        </w:rPr>
        <w:t>Ms. Trum stated that t</w:t>
      </w:r>
      <w:r w:rsidRPr="009C55D0">
        <w:rPr>
          <w:bCs/>
        </w:rPr>
        <w:t>he deletion of the number 7.3 will be rejected offline.</w:t>
      </w:r>
    </w:p>
    <w:p w14:paraId="264F24FB" w14:textId="1D4CB1E5" w:rsidR="009C55D0" w:rsidRPr="009C55D0" w:rsidRDefault="009C55D0" w:rsidP="009C55D0">
      <w:pPr>
        <w:widowControl w:val="0"/>
        <w:tabs>
          <w:tab w:val="left" w:pos="1440"/>
        </w:tabs>
        <w:spacing w:after="120"/>
        <w:jc w:val="both"/>
        <w:rPr>
          <w:bCs/>
        </w:rPr>
      </w:pPr>
      <w:r w:rsidRPr="009C55D0">
        <w:rPr>
          <w:bCs/>
          <w:i/>
          <w:iCs/>
          <w:u w:val="single"/>
        </w:rPr>
        <w:t>Section 8.1</w:t>
      </w:r>
      <w:r w:rsidRPr="009C55D0">
        <w:rPr>
          <w:bCs/>
        </w:rPr>
        <w:t xml:space="preserve"> – Ms. Sieg noted that changes to the </w:t>
      </w:r>
      <w:r w:rsidR="00A00D12">
        <w:rPr>
          <w:bCs/>
        </w:rPr>
        <w:t>language concerning Secured Electronic Communications (</w:t>
      </w:r>
      <w:r w:rsidRPr="009C55D0">
        <w:rPr>
          <w:bCs/>
        </w:rPr>
        <w:t>ECS</w:t>
      </w:r>
      <w:r w:rsidR="00A00D12">
        <w:rPr>
          <w:bCs/>
        </w:rPr>
        <w:t>)</w:t>
      </w:r>
      <w:r w:rsidRPr="009C55D0">
        <w:rPr>
          <w:bCs/>
        </w:rPr>
        <w:t xml:space="preserve"> were made in this section.  The participants reviewed Section 9 of the NAESB Base Contract for any potential modifications.</w:t>
      </w:r>
    </w:p>
    <w:p w14:paraId="454A8AA6" w14:textId="3CE99904" w:rsidR="009C55D0" w:rsidRPr="009C55D0" w:rsidRDefault="009C55D0" w:rsidP="009C55D0">
      <w:pPr>
        <w:widowControl w:val="0"/>
        <w:tabs>
          <w:tab w:val="left" w:pos="1440"/>
        </w:tabs>
        <w:spacing w:after="120"/>
        <w:jc w:val="both"/>
        <w:rPr>
          <w:bCs/>
        </w:rPr>
      </w:pPr>
      <w:r w:rsidRPr="009C55D0">
        <w:rPr>
          <w:bCs/>
          <w:i/>
          <w:iCs/>
          <w:u w:val="single"/>
        </w:rPr>
        <w:t>Section 8.2</w:t>
      </w:r>
      <w:r w:rsidRPr="009C55D0">
        <w:rPr>
          <w:bCs/>
        </w:rPr>
        <w:t xml:space="preserve"> – The subcommittees reviewed Section 9.2 in the NAESB Base Contract, as modified in </w:t>
      </w:r>
      <w:r w:rsidR="00A00D12">
        <w:rPr>
          <w:bCs/>
        </w:rPr>
        <w:t xml:space="preserve">the </w:t>
      </w:r>
      <w:r w:rsidRPr="009C55D0">
        <w:rPr>
          <w:bCs/>
        </w:rPr>
        <w:t xml:space="preserve">Version 3.2 </w:t>
      </w:r>
      <w:r w:rsidR="00A00D12">
        <w:rPr>
          <w:bCs/>
        </w:rPr>
        <w:t xml:space="preserve">publication </w:t>
      </w:r>
      <w:r w:rsidRPr="009C55D0">
        <w:rPr>
          <w:bCs/>
        </w:rPr>
        <w:t>of the WGQ Business Practice Standards</w:t>
      </w:r>
      <w:r w:rsidR="00A00D12">
        <w:rPr>
          <w:bCs/>
        </w:rPr>
        <w:t xml:space="preserve">.  </w:t>
      </w:r>
      <w:r w:rsidRPr="009C55D0">
        <w:rPr>
          <w:bCs/>
        </w:rPr>
        <w:t xml:space="preserve">Section 8.2 of the </w:t>
      </w:r>
      <w:r w:rsidR="00A00D12">
        <w:rPr>
          <w:bCs/>
        </w:rPr>
        <w:t>D</w:t>
      </w:r>
      <w:r w:rsidRPr="009C55D0">
        <w:rPr>
          <w:bCs/>
        </w:rPr>
        <w:t xml:space="preserve">raft </w:t>
      </w:r>
      <w:r w:rsidR="00A00D12">
        <w:rPr>
          <w:bCs/>
        </w:rPr>
        <w:t xml:space="preserve">NAESB REC </w:t>
      </w:r>
      <w:r w:rsidRPr="009C55D0">
        <w:rPr>
          <w:bCs/>
        </w:rPr>
        <w:t xml:space="preserve">Master Agreement </w:t>
      </w:r>
      <w:r w:rsidR="00A00D12">
        <w:rPr>
          <w:bCs/>
        </w:rPr>
        <w:t>was modified for parallel construction.</w:t>
      </w:r>
      <w:r w:rsidRPr="009C55D0">
        <w:rPr>
          <w:bCs/>
        </w:rPr>
        <w:t xml:space="preserve">  The sections referenced within were highlighted for further review.</w:t>
      </w:r>
    </w:p>
    <w:p w14:paraId="57B5E300" w14:textId="55BE2116" w:rsidR="009C55D0" w:rsidRPr="009C55D0" w:rsidRDefault="009C55D0" w:rsidP="009C55D0">
      <w:pPr>
        <w:widowControl w:val="0"/>
        <w:tabs>
          <w:tab w:val="left" w:pos="1440"/>
        </w:tabs>
        <w:spacing w:after="120"/>
        <w:jc w:val="both"/>
        <w:rPr>
          <w:bCs/>
        </w:rPr>
      </w:pPr>
      <w:r w:rsidRPr="009C55D0">
        <w:rPr>
          <w:bCs/>
          <w:i/>
          <w:iCs/>
          <w:u w:val="single"/>
        </w:rPr>
        <w:t>Section 8.3</w:t>
      </w:r>
      <w:r w:rsidRPr="009C55D0">
        <w:rPr>
          <w:bCs/>
        </w:rPr>
        <w:t xml:space="preserve"> – The updated language concerning ECS from Section 9.3 of the NAESB Base Contract was added </w:t>
      </w:r>
      <w:r w:rsidR="00FF434A">
        <w:rPr>
          <w:bCs/>
        </w:rPr>
        <w:t>to achieve parallel construction</w:t>
      </w:r>
      <w:r w:rsidRPr="009C55D0">
        <w:rPr>
          <w:bCs/>
        </w:rPr>
        <w:t xml:space="preserve">.  Ms. Crockett </w:t>
      </w:r>
      <w:r w:rsidR="009F4AEC">
        <w:rPr>
          <w:bCs/>
        </w:rPr>
        <w:t>offered a minor edit</w:t>
      </w:r>
      <w:r w:rsidRPr="009C55D0">
        <w:rPr>
          <w:bCs/>
        </w:rPr>
        <w:t>.</w:t>
      </w:r>
    </w:p>
    <w:p w14:paraId="77D24D50" w14:textId="7A08260D" w:rsidR="009C55D0" w:rsidRPr="009C55D0" w:rsidRDefault="009C55D0" w:rsidP="009C55D0">
      <w:pPr>
        <w:widowControl w:val="0"/>
        <w:tabs>
          <w:tab w:val="left" w:pos="1440"/>
        </w:tabs>
        <w:spacing w:after="120"/>
        <w:jc w:val="both"/>
        <w:rPr>
          <w:bCs/>
          <w:i/>
          <w:iCs/>
        </w:rPr>
      </w:pPr>
      <w:r w:rsidRPr="009C55D0">
        <w:rPr>
          <w:bCs/>
          <w:i/>
          <w:iCs/>
          <w:u w:val="single"/>
        </w:rPr>
        <w:t>Section 9.1</w:t>
      </w:r>
      <w:r w:rsidRPr="009C55D0">
        <w:rPr>
          <w:bCs/>
          <w:i/>
          <w:iCs/>
        </w:rPr>
        <w:t xml:space="preserve"> – </w:t>
      </w:r>
      <w:r w:rsidRPr="009C55D0">
        <w:rPr>
          <w:bCs/>
        </w:rPr>
        <w:t>No comments.</w:t>
      </w:r>
    </w:p>
    <w:p w14:paraId="59ECFFDB" w14:textId="77777777" w:rsidR="009C55D0" w:rsidRPr="009C55D0" w:rsidRDefault="009C55D0" w:rsidP="009C55D0">
      <w:pPr>
        <w:widowControl w:val="0"/>
        <w:tabs>
          <w:tab w:val="left" w:pos="1440"/>
        </w:tabs>
        <w:spacing w:after="120"/>
        <w:jc w:val="both"/>
        <w:rPr>
          <w:bCs/>
          <w:u w:val="single"/>
        </w:rPr>
      </w:pPr>
      <w:r w:rsidRPr="009C55D0">
        <w:rPr>
          <w:bCs/>
          <w:i/>
          <w:iCs/>
          <w:u w:val="single"/>
        </w:rPr>
        <w:t>Section 9.2</w:t>
      </w:r>
      <w:r w:rsidRPr="009C55D0">
        <w:rPr>
          <w:bCs/>
          <w:i/>
          <w:iCs/>
        </w:rPr>
        <w:t xml:space="preserve"> – </w:t>
      </w:r>
      <w:r w:rsidRPr="009C55D0">
        <w:rPr>
          <w:bCs/>
        </w:rPr>
        <w:t>No comments.</w:t>
      </w:r>
    </w:p>
    <w:p w14:paraId="74204FE5" w14:textId="25A8B17E" w:rsidR="009C55D0" w:rsidRPr="009C55D0" w:rsidRDefault="009C55D0" w:rsidP="009C55D0">
      <w:pPr>
        <w:widowControl w:val="0"/>
        <w:tabs>
          <w:tab w:val="left" w:pos="1440"/>
        </w:tabs>
        <w:spacing w:after="120"/>
        <w:jc w:val="both"/>
        <w:rPr>
          <w:bCs/>
        </w:rPr>
      </w:pPr>
      <w:r w:rsidRPr="009C55D0">
        <w:rPr>
          <w:bCs/>
          <w:i/>
          <w:iCs/>
          <w:u w:val="single"/>
        </w:rPr>
        <w:lastRenderedPageBreak/>
        <w:t>Section 9.3</w:t>
      </w:r>
      <w:r w:rsidRPr="009C55D0">
        <w:rPr>
          <w:bCs/>
        </w:rPr>
        <w:t xml:space="preserve"> – No comments.</w:t>
      </w:r>
    </w:p>
    <w:p w14:paraId="16A5EE25" w14:textId="77777777" w:rsidR="009C55D0" w:rsidRPr="009C55D0" w:rsidRDefault="009C55D0" w:rsidP="009C55D0">
      <w:pPr>
        <w:widowControl w:val="0"/>
        <w:tabs>
          <w:tab w:val="left" w:pos="1440"/>
        </w:tabs>
        <w:spacing w:after="120"/>
        <w:jc w:val="both"/>
        <w:rPr>
          <w:bCs/>
        </w:rPr>
      </w:pPr>
      <w:r w:rsidRPr="009C55D0">
        <w:rPr>
          <w:bCs/>
          <w:i/>
          <w:iCs/>
          <w:u w:val="single"/>
        </w:rPr>
        <w:t>Section 9.3.1</w:t>
      </w:r>
      <w:r w:rsidRPr="009C55D0">
        <w:rPr>
          <w:bCs/>
        </w:rPr>
        <w:t xml:space="preserve"> – No comments.</w:t>
      </w:r>
    </w:p>
    <w:p w14:paraId="76ADAEEB" w14:textId="3AB19D0F" w:rsidR="009C55D0" w:rsidRPr="009C55D0" w:rsidRDefault="009C55D0" w:rsidP="009C55D0">
      <w:pPr>
        <w:widowControl w:val="0"/>
        <w:tabs>
          <w:tab w:val="left" w:pos="1440"/>
        </w:tabs>
        <w:spacing w:after="120"/>
        <w:jc w:val="both"/>
        <w:rPr>
          <w:bCs/>
        </w:rPr>
      </w:pPr>
      <w:r w:rsidRPr="009C55D0">
        <w:rPr>
          <w:bCs/>
          <w:i/>
          <w:iCs/>
          <w:u w:val="single"/>
        </w:rPr>
        <w:t>Section 9.3.2</w:t>
      </w:r>
      <w:r w:rsidRPr="009C55D0">
        <w:rPr>
          <w:bCs/>
        </w:rPr>
        <w:t xml:space="preserve"> – Ms. Crockett asked whether the numbering for the Bilateral and Trilateral </w:t>
      </w:r>
      <w:r w:rsidR="00FF434A">
        <w:rPr>
          <w:bCs/>
        </w:rPr>
        <w:t>S</w:t>
      </w:r>
      <w:r w:rsidRPr="009C55D0">
        <w:rPr>
          <w:bCs/>
        </w:rPr>
        <w:t xml:space="preserve">et </w:t>
      </w:r>
      <w:r w:rsidR="00FF434A">
        <w:rPr>
          <w:bCs/>
        </w:rPr>
        <w:t>O</w:t>
      </w:r>
      <w:r w:rsidRPr="009C55D0">
        <w:rPr>
          <w:bCs/>
        </w:rPr>
        <w:t xml:space="preserve">ff provisions should be reconsidered. </w:t>
      </w:r>
      <w:r w:rsidR="00FF434A">
        <w:rPr>
          <w:bCs/>
        </w:rPr>
        <w:t xml:space="preserve"> </w:t>
      </w:r>
      <w:r w:rsidRPr="009C55D0">
        <w:rPr>
          <w:bCs/>
        </w:rPr>
        <w:t xml:space="preserve">Ms. Sieg stated that she left </w:t>
      </w:r>
      <w:r w:rsidR="009F4AEC">
        <w:rPr>
          <w:bCs/>
        </w:rPr>
        <w:t>the provisions in the Draft REC Model Agreement as</w:t>
      </w:r>
      <w:r w:rsidRPr="009C55D0">
        <w:rPr>
          <w:bCs/>
        </w:rPr>
        <w:t xml:space="preserve"> the</w:t>
      </w:r>
      <w:r w:rsidR="009F4AEC">
        <w:rPr>
          <w:bCs/>
        </w:rPr>
        <w:t>y</w:t>
      </w:r>
      <w:r w:rsidRPr="009C55D0">
        <w:rPr>
          <w:bCs/>
        </w:rPr>
        <w:t xml:space="preserve"> </w:t>
      </w:r>
      <w:r w:rsidR="009F4AEC">
        <w:rPr>
          <w:bCs/>
        </w:rPr>
        <w:t>appeared in</w:t>
      </w:r>
      <w:r w:rsidRPr="009C55D0">
        <w:rPr>
          <w:bCs/>
        </w:rPr>
        <w:t xml:space="preserve"> the NAESB Base Contract, with both paragraphs having the same number.  No modifications were made to the numbering.</w:t>
      </w:r>
    </w:p>
    <w:p w14:paraId="5F1D0148" w14:textId="0448BDD9" w:rsidR="009C55D0" w:rsidRPr="009C55D0" w:rsidRDefault="009C55D0" w:rsidP="009C55D0">
      <w:pPr>
        <w:widowControl w:val="0"/>
        <w:tabs>
          <w:tab w:val="left" w:pos="1440"/>
        </w:tabs>
        <w:spacing w:after="120"/>
        <w:jc w:val="both"/>
        <w:rPr>
          <w:bCs/>
        </w:rPr>
      </w:pPr>
      <w:r w:rsidRPr="009C55D0">
        <w:rPr>
          <w:bCs/>
          <w:i/>
          <w:iCs/>
          <w:u w:val="single"/>
        </w:rPr>
        <w:t>Sections</w:t>
      </w:r>
      <w:r w:rsidR="009F4AEC">
        <w:rPr>
          <w:bCs/>
          <w:i/>
          <w:iCs/>
          <w:u w:val="single"/>
        </w:rPr>
        <w:t>9.4,</w:t>
      </w:r>
      <w:r w:rsidRPr="009C55D0">
        <w:rPr>
          <w:bCs/>
          <w:i/>
          <w:iCs/>
          <w:u w:val="single"/>
        </w:rPr>
        <w:t xml:space="preserve"> 9.5, 9.6, and 9.7</w:t>
      </w:r>
      <w:r w:rsidRPr="009C55D0">
        <w:rPr>
          <w:bCs/>
        </w:rPr>
        <w:t xml:space="preserve"> – Ms. Crockett stated that she agree</w:t>
      </w:r>
      <w:r w:rsidR="00FF434A">
        <w:rPr>
          <w:bCs/>
        </w:rPr>
        <w:t>d</w:t>
      </w:r>
      <w:r w:rsidRPr="009C55D0">
        <w:rPr>
          <w:bCs/>
        </w:rPr>
        <w:t xml:space="preserve"> with the language</w:t>
      </w:r>
      <w:r w:rsidR="009F4AEC">
        <w:rPr>
          <w:bCs/>
        </w:rPr>
        <w:t xml:space="preserve"> within the sections</w:t>
      </w:r>
      <w:r w:rsidRPr="009C55D0">
        <w:rPr>
          <w:bCs/>
        </w:rPr>
        <w:t>.</w:t>
      </w:r>
    </w:p>
    <w:p w14:paraId="74CA7807" w14:textId="77777777" w:rsidR="003A1610" w:rsidRPr="00F015F1" w:rsidRDefault="003A1610" w:rsidP="004601BF">
      <w:pPr>
        <w:widowControl w:val="0"/>
        <w:numPr>
          <w:ilvl w:val="0"/>
          <w:numId w:val="11"/>
        </w:numPr>
        <w:tabs>
          <w:tab w:val="num" w:pos="720"/>
          <w:tab w:val="left" w:pos="1440"/>
        </w:tabs>
        <w:spacing w:after="120"/>
        <w:ind w:left="720"/>
        <w:jc w:val="both"/>
        <w:rPr>
          <w:bCs/>
        </w:rPr>
      </w:pPr>
      <w:r w:rsidRPr="00F015F1">
        <w:rPr>
          <w:b/>
          <w:bCs/>
        </w:rPr>
        <w:t xml:space="preserve">Discuss </w:t>
      </w:r>
      <w:r w:rsidR="0026341B" w:rsidRPr="00F015F1">
        <w:rPr>
          <w:b/>
          <w:bCs/>
        </w:rPr>
        <w:t>Next Steps</w:t>
      </w:r>
      <w:r w:rsidRPr="00F015F1">
        <w:rPr>
          <w:b/>
          <w:bCs/>
        </w:rPr>
        <w:t xml:space="preserve"> and Future Meetings</w:t>
      </w:r>
    </w:p>
    <w:p w14:paraId="5ED899D1" w14:textId="79C1BCDB" w:rsidR="00E55A1E" w:rsidRPr="00F015F1" w:rsidRDefault="00C73C2A" w:rsidP="004601BF">
      <w:pPr>
        <w:widowControl w:val="0"/>
        <w:tabs>
          <w:tab w:val="left" w:pos="1440"/>
        </w:tabs>
        <w:spacing w:after="120"/>
        <w:jc w:val="both"/>
        <w:rPr>
          <w:bCs/>
        </w:rPr>
      </w:pPr>
      <w:r w:rsidRPr="00F015F1">
        <w:rPr>
          <w:bCs/>
        </w:rPr>
        <w:t xml:space="preserve">The </w:t>
      </w:r>
      <w:r w:rsidR="00DA34FF" w:rsidRPr="00F015F1">
        <w:rPr>
          <w:bCs/>
        </w:rPr>
        <w:t xml:space="preserve">next joint RMQ BPS and WEQ BPS conference call </w:t>
      </w:r>
      <w:r w:rsidR="00A535AD" w:rsidRPr="00F015F1">
        <w:rPr>
          <w:bCs/>
        </w:rPr>
        <w:t xml:space="preserve">has been scheduled for </w:t>
      </w:r>
      <w:r w:rsidR="009C55D0" w:rsidRPr="00F015F1">
        <w:rPr>
          <w:bCs/>
        </w:rPr>
        <w:t>Tuesday</w:t>
      </w:r>
      <w:r w:rsidR="00A535AD" w:rsidRPr="00F015F1">
        <w:rPr>
          <w:bCs/>
        </w:rPr>
        <w:t>,</w:t>
      </w:r>
      <w:r w:rsidR="009C55D0" w:rsidRPr="00F015F1">
        <w:rPr>
          <w:bCs/>
        </w:rPr>
        <w:t xml:space="preserve"> September 29</w:t>
      </w:r>
      <w:r w:rsidR="00A535AD" w:rsidRPr="00F015F1">
        <w:rPr>
          <w:bCs/>
        </w:rPr>
        <w:t>, 2020 from 10:30 AM to 12:</w:t>
      </w:r>
      <w:r w:rsidR="009C55D0" w:rsidRPr="00F015F1">
        <w:rPr>
          <w:bCs/>
        </w:rPr>
        <w:t>0</w:t>
      </w:r>
      <w:r w:rsidR="00A535AD" w:rsidRPr="00F015F1">
        <w:rPr>
          <w:bCs/>
        </w:rPr>
        <w:t>0 PM Central.  During the call</w:t>
      </w:r>
      <w:r w:rsidR="001F4076" w:rsidRPr="00F015F1">
        <w:rPr>
          <w:bCs/>
        </w:rPr>
        <w:t>,</w:t>
      </w:r>
      <w:r w:rsidR="00A535AD" w:rsidRPr="00F015F1">
        <w:rPr>
          <w:bCs/>
        </w:rPr>
        <w:t xml:space="preserve"> the </w:t>
      </w:r>
      <w:r w:rsidR="001F4076" w:rsidRPr="00F015F1">
        <w:rPr>
          <w:bCs/>
        </w:rPr>
        <w:t xml:space="preserve">subcommittees </w:t>
      </w:r>
      <w:r w:rsidR="00A535AD" w:rsidRPr="00F015F1">
        <w:rPr>
          <w:bCs/>
        </w:rPr>
        <w:t xml:space="preserve">will continue </w:t>
      </w:r>
      <w:r w:rsidR="00330191" w:rsidRPr="00F015F1">
        <w:rPr>
          <w:bCs/>
        </w:rPr>
        <w:t xml:space="preserve">to </w:t>
      </w:r>
      <w:r w:rsidR="001F4076" w:rsidRPr="00F015F1">
        <w:rPr>
          <w:bCs/>
        </w:rPr>
        <w:t xml:space="preserve">address </w:t>
      </w:r>
      <w:r w:rsidR="00330191" w:rsidRPr="00F015F1">
        <w:t xml:space="preserve">2020 RMQ Annual Plan Item </w:t>
      </w:r>
      <w:proofErr w:type="gramStart"/>
      <w:r w:rsidR="00330191" w:rsidRPr="00F015F1">
        <w:t>6.b</w:t>
      </w:r>
      <w:proofErr w:type="gramEnd"/>
      <w:r w:rsidR="00330191" w:rsidRPr="00F015F1">
        <w:t xml:space="preserve"> and 2020 WEQ Annual Plan Item 7.b.ii, </w:t>
      </w:r>
      <w:r w:rsidR="001F4076" w:rsidRPr="00F015F1">
        <w:rPr>
          <w:bCs/>
        </w:rPr>
        <w:t xml:space="preserve">beginning with a discussion on </w:t>
      </w:r>
      <w:r w:rsidR="009C55D0" w:rsidRPr="00F015F1">
        <w:rPr>
          <w:bCs/>
        </w:rPr>
        <w:t>Section 10.</w:t>
      </w:r>
    </w:p>
    <w:p w14:paraId="3691BDEB" w14:textId="77777777" w:rsidR="00171CE0" w:rsidRPr="00F015F1" w:rsidRDefault="00C44C62" w:rsidP="004601BF">
      <w:pPr>
        <w:widowControl w:val="0"/>
        <w:numPr>
          <w:ilvl w:val="0"/>
          <w:numId w:val="11"/>
        </w:numPr>
        <w:tabs>
          <w:tab w:val="num" w:pos="720"/>
          <w:tab w:val="left" w:pos="1440"/>
        </w:tabs>
        <w:spacing w:after="120"/>
        <w:ind w:left="0" w:firstLine="0"/>
        <w:jc w:val="both"/>
        <w:rPr>
          <w:b/>
          <w:bCs/>
        </w:rPr>
      </w:pPr>
      <w:r w:rsidRPr="00F015F1">
        <w:rPr>
          <w:b/>
          <w:bCs/>
        </w:rPr>
        <w:t>Adjourn</w:t>
      </w:r>
    </w:p>
    <w:p w14:paraId="12379EB5" w14:textId="2D50CA67" w:rsidR="000D609A" w:rsidRPr="00F015F1" w:rsidRDefault="00D36253" w:rsidP="004601BF">
      <w:pPr>
        <w:widowControl w:val="0"/>
        <w:tabs>
          <w:tab w:val="left" w:pos="1440"/>
        </w:tabs>
        <w:spacing w:after="120"/>
        <w:jc w:val="both"/>
        <w:rPr>
          <w:bCs/>
        </w:rPr>
      </w:pPr>
      <w:r w:rsidRPr="00F015F1">
        <w:rPr>
          <w:bCs/>
        </w:rPr>
        <w:t xml:space="preserve">Ms. </w:t>
      </w:r>
      <w:r w:rsidR="00A535AD" w:rsidRPr="00F015F1">
        <w:rPr>
          <w:bCs/>
        </w:rPr>
        <w:t>Crockett</w:t>
      </w:r>
      <w:r w:rsidRPr="00F015F1">
        <w:rPr>
          <w:bCs/>
        </w:rPr>
        <w:t xml:space="preserve"> moved to adjourn the meeting</w:t>
      </w:r>
      <w:r w:rsidR="009C55D0" w:rsidRPr="00F015F1">
        <w:rPr>
          <w:bCs/>
        </w:rPr>
        <w:t xml:space="preserve"> at 11:58 AM Central</w:t>
      </w:r>
      <w:r w:rsidRPr="00F015F1">
        <w:rPr>
          <w:bCs/>
        </w:rPr>
        <w:t xml:space="preserve">.  Ms. </w:t>
      </w:r>
      <w:r w:rsidR="009C55D0" w:rsidRPr="00F015F1">
        <w:rPr>
          <w:bCs/>
        </w:rPr>
        <w:t>Sieg</w:t>
      </w:r>
      <w:r w:rsidRPr="00F015F1">
        <w:rPr>
          <w:bCs/>
        </w:rPr>
        <w:t xml:space="preserve"> seconded the motion.  </w:t>
      </w:r>
      <w:r w:rsidR="00A535AD" w:rsidRPr="00F015F1">
        <w:rPr>
          <w:bCs/>
        </w:rPr>
        <w:t>The motion passed without opposition</w:t>
      </w:r>
      <w:r w:rsidR="00995E5B" w:rsidRPr="00F015F1">
        <w:rPr>
          <w:bCs/>
        </w:rPr>
        <w:t>.</w:t>
      </w:r>
    </w:p>
    <w:p w14:paraId="115DE2EC" w14:textId="2A5BD13E" w:rsidR="00492BAD" w:rsidRPr="00F015F1" w:rsidRDefault="00C44C62" w:rsidP="004601BF">
      <w:pPr>
        <w:widowControl w:val="0"/>
        <w:numPr>
          <w:ilvl w:val="0"/>
          <w:numId w:val="11"/>
        </w:numPr>
        <w:tabs>
          <w:tab w:val="num" w:pos="720"/>
          <w:tab w:val="left" w:pos="1440"/>
        </w:tabs>
        <w:spacing w:before="120"/>
        <w:ind w:left="0" w:firstLine="0"/>
        <w:jc w:val="both"/>
        <w:rPr>
          <w:b/>
          <w:bCs/>
        </w:rPr>
      </w:pPr>
      <w:r w:rsidRPr="00F015F1">
        <w:rPr>
          <w:b/>
          <w:bCs/>
        </w:rPr>
        <w:t>Attendance</w:t>
      </w:r>
    </w:p>
    <w:p w14:paraId="1F76EEAC" w14:textId="77777777" w:rsidR="000A4BFF" w:rsidRPr="00321771" w:rsidRDefault="000A4BFF" w:rsidP="000A4BFF">
      <w:pPr>
        <w:widowControl w:val="0"/>
        <w:tabs>
          <w:tab w:val="left" w:pos="1440"/>
        </w:tabs>
        <w:spacing w:before="120"/>
        <w:jc w:val="both"/>
        <w:rPr>
          <w:b/>
          <w:bCs/>
        </w:rPr>
      </w:pP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4601BF">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601BF">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601BF">
            <w:pPr>
              <w:spacing w:before="120"/>
              <w:rPr>
                <w:rFonts w:ascii="Calibri" w:eastAsiaTheme="minorHAnsi" w:hAnsi="Calibri" w:cs="Calibri"/>
                <w:sz w:val="22"/>
                <w:szCs w:val="22"/>
              </w:rPr>
            </w:pPr>
            <w:r w:rsidRPr="003A33E1">
              <w:rPr>
                <w:b/>
                <w:bCs/>
              </w:rPr>
              <w:t>Organization</w:t>
            </w:r>
          </w:p>
        </w:tc>
      </w:tr>
      <w:tr w:rsidR="009C55D0" w:rsidRPr="00286562" w14:paraId="705EE3F2" w14:textId="77777777" w:rsidTr="001262CB">
        <w:tc>
          <w:tcPr>
            <w:tcW w:w="1998" w:type="dxa"/>
            <w:tcMar>
              <w:top w:w="0" w:type="dxa"/>
              <w:left w:w="108" w:type="dxa"/>
              <w:bottom w:w="0" w:type="dxa"/>
              <w:right w:w="108" w:type="dxa"/>
            </w:tcMar>
          </w:tcPr>
          <w:p w14:paraId="3E60CD02" w14:textId="125A0563" w:rsidR="009C55D0" w:rsidRDefault="009C55D0" w:rsidP="00AE3183">
            <w:pPr>
              <w:spacing w:before="120"/>
              <w:rPr>
                <w:bCs/>
              </w:rPr>
            </w:pPr>
            <w:proofErr w:type="spellStart"/>
            <w:r>
              <w:rPr>
                <w:bCs/>
              </w:rPr>
              <w:t>Kokou</w:t>
            </w:r>
            <w:proofErr w:type="spellEnd"/>
          </w:p>
        </w:tc>
        <w:tc>
          <w:tcPr>
            <w:tcW w:w="3240" w:type="dxa"/>
            <w:tcMar>
              <w:top w:w="0" w:type="dxa"/>
              <w:left w:w="108" w:type="dxa"/>
              <w:bottom w:w="0" w:type="dxa"/>
              <w:right w:w="108" w:type="dxa"/>
            </w:tcMar>
          </w:tcPr>
          <w:p w14:paraId="22A58CE9" w14:textId="703D471C" w:rsidR="009C55D0" w:rsidRDefault="009C55D0" w:rsidP="004601BF">
            <w:pPr>
              <w:spacing w:before="120"/>
              <w:rPr>
                <w:bCs/>
              </w:rPr>
            </w:pPr>
            <w:proofErr w:type="spellStart"/>
            <w:r>
              <w:rPr>
                <w:bCs/>
              </w:rPr>
              <w:t>Agbass</w:t>
            </w:r>
            <w:r w:rsidR="00B65B3D">
              <w:rPr>
                <w:bCs/>
              </w:rPr>
              <w:t>e</w:t>
            </w:r>
            <w:r>
              <w:rPr>
                <w:bCs/>
              </w:rPr>
              <w:t>kou</w:t>
            </w:r>
            <w:proofErr w:type="spellEnd"/>
          </w:p>
        </w:tc>
        <w:tc>
          <w:tcPr>
            <w:tcW w:w="3870" w:type="dxa"/>
            <w:tcMar>
              <w:top w:w="0" w:type="dxa"/>
              <w:left w:w="108" w:type="dxa"/>
              <w:bottom w:w="0" w:type="dxa"/>
              <w:right w:w="108" w:type="dxa"/>
            </w:tcMar>
          </w:tcPr>
          <w:p w14:paraId="441B8F8D" w14:textId="21F86BE8" w:rsidR="009C55D0" w:rsidRDefault="009C55D0" w:rsidP="004601BF">
            <w:pPr>
              <w:spacing w:before="120"/>
              <w:rPr>
                <w:bCs/>
              </w:rPr>
            </w:pPr>
            <w:r>
              <w:rPr>
                <w:bCs/>
              </w:rPr>
              <w:t>CAL ISO</w:t>
            </w:r>
          </w:p>
        </w:tc>
      </w:tr>
      <w:tr w:rsidR="00752DD4" w:rsidRPr="00286562" w14:paraId="3516120E" w14:textId="77777777" w:rsidTr="001262CB">
        <w:tc>
          <w:tcPr>
            <w:tcW w:w="1998" w:type="dxa"/>
            <w:tcMar>
              <w:top w:w="0" w:type="dxa"/>
              <w:left w:w="108" w:type="dxa"/>
              <w:bottom w:w="0" w:type="dxa"/>
              <w:right w:w="108" w:type="dxa"/>
            </w:tcMar>
          </w:tcPr>
          <w:p w14:paraId="5D6B2624" w14:textId="7B47F39F" w:rsidR="00752DD4" w:rsidRDefault="00752DD4" w:rsidP="00AE3183">
            <w:pPr>
              <w:spacing w:before="120"/>
              <w:rPr>
                <w:bCs/>
              </w:rPr>
            </w:pPr>
            <w:r>
              <w:rPr>
                <w:bCs/>
              </w:rPr>
              <w:t>Dawna</w:t>
            </w:r>
          </w:p>
        </w:tc>
        <w:tc>
          <w:tcPr>
            <w:tcW w:w="3240" w:type="dxa"/>
            <w:tcMar>
              <w:top w:w="0" w:type="dxa"/>
              <w:left w:w="108" w:type="dxa"/>
              <w:bottom w:w="0" w:type="dxa"/>
              <w:right w:w="108" w:type="dxa"/>
            </w:tcMar>
          </w:tcPr>
          <w:p w14:paraId="72A32471" w14:textId="2ACE786C" w:rsidR="00752DD4" w:rsidRDefault="00752DD4" w:rsidP="004601BF">
            <w:pPr>
              <w:spacing w:before="120"/>
              <w:rPr>
                <w:bCs/>
              </w:rPr>
            </w:pPr>
            <w:r>
              <w:rPr>
                <w:bCs/>
              </w:rPr>
              <w:t>Aragon</w:t>
            </w:r>
          </w:p>
        </w:tc>
        <w:tc>
          <w:tcPr>
            <w:tcW w:w="3870" w:type="dxa"/>
            <w:tcMar>
              <w:top w:w="0" w:type="dxa"/>
              <w:left w:w="108" w:type="dxa"/>
              <w:bottom w:w="0" w:type="dxa"/>
              <w:right w:w="108" w:type="dxa"/>
            </w:tcMar>
          </w:tcPr>
          <w:p w14:paraId="77B9FC6E" w14:textId="2F5E7EB6" w:rsidR="00752DD4" w:rsidRDefault="00752DD4" w:rsidP="004601BF">
            <w:pPr>
              <w:spacing w:before="120"/>
              <w:rPr>
                <w:bCs/>
              </w:rPr>
            </w:pPr>
            <w:r>
              <w:rPr>
                <w:bCs/>
              </w:rPr>
              <w:t>Tennessee Valley Authority</w:t>
            </w:r>
          </w:p>
        </w:tc>
      </w:tr>
      <w:tr w:rsidR="009C55D0" w:rsidRPr="00286562" w14:paraId="44377ECB" w14:textId="77777777" w:rsidTr="001262CB">
        <w:tc>
          <w:tcPr>
            <w:tcW w:w="1998" w:type="dxa"/>
            <w:tcMar>
              <w:top w:w="0" w:type="dxa"/>
              <w:left w:w="108" w:type="dxa"/>
              <w:bottom w:w="0" w:type="dxa"/>
              <w:right w:w="108" w:type="dxa"/>
            </w:tcMar>
          </w:tcPr>
          <w:p w14:paraId="21103C1D" w14:textId="5C27BB43" w:rsidR="009C55D0" w:rsidRDefault="009C55D0" w:rsidP="00AE3183">
            <w:pPr>
              <w:spacing w:before="120"/>
              <w:rPr>
                <w:bCs/>
              </w:rPr>
            </w:pPr>
            <w:r>
              <w:rPr>
                <w:bCs/>
              </w:rPr>
              <w:t>Tim</w:t>
            </w:r>
          </w:p>
        </w:tc>
        <w:tc>
          <w:tcPr>
            <w:tcW w:w="3240" w:type="dxa"/>
            <w:tcMar>
              <w:top w:w="0" w:type="dxa"/>
              <w:left w:w="108" w:type="dxa"/>
              <w:bottom w:w="0" w:type="dxa"/>
              <w:right w:w="108" w:type="dxa"/>
            </w:tcMar>
          </w:tcPr>
          <w:p w14:paraId="06DEDD1C" w14:textId="283A1958" w:rsidR="009C55D0" w:rsidRDefault="009C55D0" w:rsidP="004601BF">
            <w:pPr>
              <w:spacing w:before="120"/>
              <w:rPr>
                <w:bCs/>
              </w:rPr>
            </w:pPr>
            <w:r>
              <w:rPr>
                <w:bCs/>
              </w:rPr>
              <w:t>Beach</w:t>
            </w:r>
          </w:p>
        </w:tc>
        <w:tc>
          <w:tcPr>
            <w:tcW w:w="3870" w:type="dxa"/>
            <w:tcMar>
              <w:top w:w="0" w:type="dxa"/>
              <w:left w:w="108" w:type="dxa"/>
              <w:bottom w:w="0" w:type="dxa"/>
              <w:right w:w="108" w:type="dxa"/>
            </w:tcMar>
          </w:tcPr>
          <w:p w14:paraId="2ED533F8" w14:textId="1E6C5E04" w:rsidR="009C55D0" w:rsidRDefault="009C55D0" w:rsidP="004601BF">
            <w:pPr>
              <w:spacing w:before="120"/>
              <w:rPr>
                <w:bCs/>
              </w:rPr>
            </w:pPr>
            <w:r>
              <w:rPr>
                <w:bCs/>
              </w:rPr>
              <w:t>CAL ISO/ RC West</w:t>
            </w:r>
          </w:p>
        </w:tc>
      </w:tr>
      <w:tr w:rsidR="001262CB" w:rsidRPr="00286562" w14:paraId="49600B03" w14:textId="77777777" w:rsidTr="001262CB">
        <w:tc>
          <w:tcPr>
            <w:tcW w:w="1998" w:type="dxa"/>
            <w:tcMar>
              <w:top w:w="0" w:type="dxa"/>
              <w:left w:w="108" w:type="dxa"/>
              <w:bottom w:w="0" w:type="dxa"/>
              <w:right w:w="108" w:type="dxa"/>
            </w:tcMar>
          </w:tcPr>
          <w:p w14:paraId="5B3A4ABF" w14:textId="1A0C1253" w:rsidR="001262CB" w:rsidRPr="00995E5B" w:rsidRDefault="00F1330C" w:rsidP="004601BF">
            <w:pPr>
              <w:spacing w:before="120"/>
              <w:rPr>
                <w:bCs/>
              </w:rPr>
            </w:pPr>
            <w:r>
              <w:rPr>
                <w:bCs/>
              </w:rPr>
              <w:t>Scott</w:t>
            </w:r>
          </w:p>
        </w:tc>
        <w:tc>
          <w:tcPr>
            <w:tcW w:w="3240" w:type="dxa"/>
            <w:tcMar>
              <w:top w:w="0" w:type="dxa"/>
              <w:left w:w="108" w:type="dxa"/>
              <w:bottom w:w="0" w:type="dxa"/>
              <w:right w:w="108" w:type="dxa"/>
            </w:tcMar>
          </w:tcPr>
          <w:p w14:paraId="66526677" w14:textId="624D7FB2" w:rsidR="001262CB" w:rsidRPr="00995E5B" w:rsidRDefault="001262CB" w:rsidP="004601BF">
            <w:pPr>
              <w:spacing w:before="120"/>
              <w:rPr>
                <w:bCs/>
              </w:rPr>
            </w:pPr>
            <w:r w:rsidRPr="00995E5B">
              <w:rPr>
                <w:bCs/>
              </w:rPr>
              <w:t>Bro</w:t>
            </w:r>
            <w:r w:rsidR="00F1330C">
              <w:rPr>
                <w:bCs/>
              </w:rPr>
              <w:t>wn</w:t>
            </w:r>
          </w:p>
        </w:tc>
        <w:tc>
          <w:tcPr>
            <w:tcW w:w="3870" w:type="dxa"/>
            <w:tcMar>
              <w:top w:w="0" w:type="dxa"/>
              <w:left w:w="108" w:type="dxa"/>
              <w:bottom w:w="0" w:type="dxa"/>
              <w:right w:w="108" w:type="dxa"/>
            </w:tcMar>
          </w:tcPr>
          <w:p w14:paraId="0231BE59" w14:textId="3D733C87" w:rsidR="001262CB" w:rsidRPr="00995E5B" w:rsidRDefault="00F1330C" w:rsidP="004601BF">
            <w:pPr>
              <w:spacing w:before="120"/>
              <w:rPr>
                <w:bCs/>
              </w:rPr>
            </w:pPr>
            <w:r>
              <w:rPr>
                <w:bCs/>
              </w:rPr>
              <w:t>Southwest Power Pool</w:t>
            </w:r>
          </w:p>
        </w:tc>
      </w:tr>
      <w:tr w:rsidR="001F703B" w:rsidRPr="00286562" w14:paraId="44B6B740" w14:textId="77777777" w:rsidTr="001262CB">
        <w:tc>
          <w:tcPr>
            <w:tcW w:w="1998" w:type="dxa"/>
            <w:tcMar>
              <w:top w:w="0" w:type="dxa"/>
              <w:left w:w="108" w:type="dxa"/>
              <w:bottom w:w="0" w:type="dxa"/>
              <w:right w:w="108" w:type="dxa"/>
            </w:tcMar>
          </w:tcPr>
          <w:p w14:paraId="0DDD832B" w14:textId="5BCB1C5D" w:rsidR="001F703B" w:rsidRDefault="00197F22" w:rsidP="004601BF">
            <w:pPr>
              <w:spacing w:before="120"/>
              <w:rPr>
                <w:bCs/>
              </w:rPr>
            </w:pPr>
            <w:r>
              <w:rPr>
                <w:bCs/>
              </w:rPr>
              <w:t>V</w:t>
            </w:r>
            <w:r w:rsidR="001F703B">
              <w:rPr>
                <w:bCs/>
              </w:rPr>
              <w:t>alerie</w:t>
            </w:r>
          </w:p>
        </w:tc>
        <w:tc>
          <w:tcPr>
            <w:tcW w:w="3240" w:type="dxa"/>
            <w:tcMar>
              <w:top w:w="0" w:type="dxa"/>
              <w:left w:w="108" w:type="dxa"/>
              <w:bottom w:w="0" w:type="dxa"/>
              <w:right w:w="108" w:type="dxa"/>
            </w:tcMar>
          </w:tcPr>
          <w:p w14:paraId="05FDD234" w14:textId="07E8C3B9" w:rsidR="001F703B" w:rsidRDefault="001F703B" w:rsidP="004601BF">
            <w:pPr>
              <w:spacing w:before="120"/>
              <w:rPr>
                <w:bCs/>
              </w:rPr>
            </w:pPr>
            <w:r>
              <w:rPr>
                <w:bCs/>
              </w:rPr>
              <w:t>Crockett</w:t>
            </w:r>
          </w:p>
        </w:tc>
        <w:tc>
          <w:tcPr>
            <w:tcW w:w="3870" w:type="dxa"/>
            <w:tcMar>
              <w:top w:w="0" w:type="dxa"/>
              <w:left w:w="108" w:type="dxa"/>
              <w:bottom w:w="0" w:type="dxa"/>
              <w:right w:w="108" w:type="dxa"/>
            </w:tcMar>
          </w:tcPr>
          <w:p w14:paraId="7575D69A" w14:textId="1D5B2F90" w:rsidR="001F703B" w:rsidRDefault="001F703B" w:rsidP="004601BF">
            <w:pPr>
              <w:spacing w:before="120"/>
              <w:rPr>
                <w:bCs/>
              </w:rPr>
            </w:pPr>
            <w:r>
              <w:rPr>
                <w:bCs/>
              </w:rPr>
              <w:t>Tennessee Valley Authority</w:t>
            </w:r>
          </w:p>
        </w:tc>
      </w:tr>
      <w:tr w:rsidR="00F1330C" w:rsidRPr="00286562" w14:paraId="4759E3C2" w14:textId="77777777" w:rsidTr="001262CB">
        <w:tc>
          <w:tcPr>
            <w:tcW w:w="1998" w:type="dxa"/>
            <w:tcMar>
              <w:top w:w="0" w:type="dxa"/>
              <w:left w:w="108" w:type="dxa"/>
              <w:bottom w:w="0" w:type="dxa"/>
              <w:right w:w="108" w:type="dxa"/>
            </w:tcMar>
          </w:tcPr>
          <w:p w14:paraId="326A0E87" w14:textId="33E46388" w:rsidR="00F1330C" w:rsidRDefault="00F1330C" w:rsidP="004601BF">
            <w:pPr>
              <w:spacing w:before="120"/>
              <w:rPr>
                <w:bCs/>
              </w:rPr>
            </w:pPr>
            <w:r>
              <w:rPr>
                <w:bCs/>
              </w:rPr>
              <w:t>David</w:t>
            </w:r>
          </w:p>
        </w:tc>
        <w:tc>
          <w:tcPr>
            <w:tcW w:w="3240" w:type="dxa"/>
            <w:tcMar>
              <w:top w:w="0" w:type="dxa"/>
              <w:left w:w="108" w:type="dxa"/>
              <w:bottom w:w="0" w:type="dxa"/>
              <w:right w:w="108" w:type="dxa"/>
            </w:tcMar>
          </w:tcPr>
          <w:p w14:paraId="29BC2F61" w14:textId="777A9881" w:rsidR="00F1330C" w:rsidRDefault="00F1330C" w:rsidP="004601BF">
            <w:pPr>
              <w:spacing w:before="120"/>
              <w:rPr>
                <w:bCs/>
              </w:rPr>
            </w:pPr>
            <w:proofErr w:type="spellStart"/>
            <w:r>
              <w:rPr>
                <w:bCs/>
              </w:rPr>
              <w:t>Delparte</w:t>
            </w:r>
            <w:proofErr w:type="spellEnd"/>
          </w:p>
        </w:tc>
        <w:tc>
          <w:tcPr>
            <w:tcW w:w="3870" w:type="dxa"/>
            <w:tcMar>
              <w:top w:w="0" w:type="dxa"/>
              <w:left w:w="108" w:type="dxa"/>
              <w:bottom w:w="0" w:type="dxa"/>
              <w:right w:w="108" w:type="dxa"/>
            </w:tcMar>
          </w:tcPr>
          <w:p w14:paraId="33726A04" w14:textId="40C18BBB" w:rsidR="00F1330C" w:rsidRDefault="00F1330C" w:rsidP="004601BF">
            <w:pPr>
              <w:spacing w:before="120"/>
              <w:rPr>
                <w:bCs/>
              </w:rPr>
            </w:pPr>
            <w:r>
              <w:rPr>
                <w:bCs/>
              </w:rPr>
              <w:t>CAL ISO</w:t>
            </w:r>
          </w:p>
        </w:tc>
      </w:tr>
      <w:tr w:rsidR="00AE3183" w:rsidRPr="00286562" w14:paraId="540210AC" w14:textId="77777777" w:rsidTr="001262CB">
        <w:tc>
          <w:tcPr>
            <w:tcW w:w="1998" w:type="dxa"/>
            <w:tcMar>
              <w:top w:w="0" w:type="dxa"/>
              <w:left w:w="108" w:type="dxa"/>
              <w:bottom w:w="0" w:type="dxa"/>
              <w:right w:w="108" w:type="dxa"/>
            </w:tcMar>
          </w:tcPr>
          <w:p w14:paraId="51ED58C2" w14:textId="799067A0" w:rsidR="00AE3183" w:rsidRPr="00995E5B" w:rsidRDefault="00AE3183" w:rsidP="004601BF">
            <w:pPr>
              <w:spacing w:before="120"/>
              <w:rPr>
                <w:bCs/>
              </w:rPr>
            </w:pPr>
            <w:r>
              <w:rPr>
                <w:bCs/>
              </w:rPr>
              <w:t>Mary</w:t>
            </w:r>
          </w:p>
        </w:tc>
        <w:tc>
          <w:tcPr>
            <w:tcW w:w="3240" w:type="dxa"/>
            <w:tcMar>
              <w:top w:w="0" w:type="dxa"/>
              <w:left w:w="108" w:type="dxa"/>
              <w:bottom w:w="0" w:type="dxa"/>
              <w:right w:w="108" w:type="dxa"/>
            </w:tcMar>
          </w:tcPr>
          <w:p w14:paraId="1972E37E" w14:textId="22B40AC5" w:rsidR="00AE3183" w:rsidRPr="00995E5B" w:rsidRDefault="00AE3183" w:rsidP="004601BF">
            <w:pPr>
              <w:spacing w:before="120"/>
              <w:rPr>
                <w:bCs/>
              </w:rPr>
            </w:pPr>
            <w:r>
              <w:rPr>
                <w:bCs/>
              </w:rPr>
              <w:t>Do</w:t>
            </w:r>
          </w:p>
        </w:tc>
        <w:tc>
          <w:tcPr>
            <w:tcW w:w="3870" w:type="dxa"/>
            <w:tcMar>
              <w:top w:w="0" w:type="dxa"/>
              <w:left w:w="108" w:type="dxa"/>
              <w:bottom w:w="0" w:type="dxa"/>
              <w:right w:w="108" w:type="dxa"/>
            </w:tcMar>
          </w:tcPr>
          <w:p w14:paraId="678E2A85" w14:textId="700DF005" w:rsidR="00AE3183" w:rsidRPr="00995E5B" w:rsidRDefault="00AE3183" w:rsidP="004601BF">
            <w:pPr>
              <w:spacing w:before="120"/>
              <w:rPr>
                <w:bCs/>
              </w:rPr>
            </w:pPr>
            <w:r>
              <w:rPr>
                <w:bCs/>
              </w:rPr>
              <w:t>Znalytics</w:t>
            </w:r>
          </w:p>
        </w:tc>
      </w:tr>
      <w:tr w:rsidR="009C55D0" w:rsidRPr="00286562" w14:paraId="5094BB6E" w14:textId="77777777" w:rsidTr="001262CB">
        <w:tc>
          <w:tcPr>
            <w:tcW w:w="1998" w:type="dxa"/>
            <w:tcMar>
              <w:top w:w="0" w:type="dxa"/>
              <w:left w:w="108" w:type="dxa"/>
              <w:bottom w:w="0" w:type="dxa"/>
              <w:right w:w="108" w:type="dxa"/>
            </w:tcMar>
          </w:tcPr>
          <w:p w14:paraId="6177B785" w14:textId="6F50606F" w:rsidR="009C55D0" w:rsidRDefault="009C55D0" w:rsidP="004601BF">
            <w:pPr>
              <w:spacing w:before="120"/>
              <w:rPr>
                <w:bCs/>
              </w:rPr>
            </w:pPr>
            <w:r>
              <w:rPr>
                <w:bCs/>
              </w:rPr>
              <w:t>Cory</w:t>
            </w:r>
          </w:p>
        </w:tc>
        <w:tc>
          <w:tcPr>
            <w:tcW w:w="3240" w:type="dxa"/>
            <w:tcMar>
              <w:top w:w="0" w:type="dxa"/>
              <w:left w:w="108" w:type="dxa"/>
              <w:bottom w:w="0" w:type="dxa"/>
              <w:right w:w="108" w:type="dxa"/>
            </w:tcMar>
          </w:tcPr>
          <w:p w14:paraId="48C8579C" w14:textId="780C3FC7" w:rsidR="009C55D0" w:rsidRDefault="009C55D0" w:rsidP="004601BF">
            <w:pPr>
              <w:spacing w:before="120"/>
              <w:rPr>
                <w:bCs/>
              </w:rPr>
            </w:pPr>
            <w:r>
              <w:rPr>
                <w:bCs/>
              </w:rPr>
              <w:t>Herbolsheimer</w:t>
            </w:r>
          </w:p>
        </w:tc>
        <w:tc>
          <w:tcPr>
            <w:tcW w:w="3870" w:type="dxa"/>
            <w:tcMar>
              <w:top w:w="0" w:type="dxa"/>
              <w:left w:w="108" w:type="dxa"/>
              <w:bottom w:w="0" w:type="dxa"/>
              <w:right w:w="108" w:type="dxa"/>
            </w:tcMar>
          </w:tcPr>
          <w:p w14:paraId="48D5E3E6" w14:textId="527BE823" w:rsidR="009C55D0" w:rsidRDefault="009C55D0" w:rsidP="004601BF">
            <w:pPr>
              <w:spacing w:before="120"/>
              <w:rPr>
                <w:bCs/>
              </w:rPr>
            </w:pPr>
            <w:r>
              <w:rPr>
                <w:bCs/>
              </w:rPr>
              <w:t>NV Energy</w:t>
            </w:r>
          </w:p>
        </w:tc>
      </w:tr>
      <w:tr w:rsidR="009C55D0" w:rsidRPr="00286562" w14:paraId="08800349" w14:textId="77777777" w:rsidTr="001262CB">
        <w:tc>
          <w:tcPr>
            <w:tcW w:w="1998" w:type="dxa"/>
            <w:tcMar>
              <w:top w:w="0" w:type="dxa"/>
              <w:left w:w="108" w:type="dxa"/>
              <w:bottom w:w="0" w:type="dxa"/>
              <w:right w:w="108" w:type="dxa"/>
            </w:tcMar>
          </w:tcPr>
          <w:p w14:paraId="1FAD3C3A" w14:textId="00559C0D" w:rsidR="009C55D0" w:rsidRDefault="009C55D0" w:rsidP="004601BF">
            <w:pPr>
              <w:spacing w:before="120"/>
              <w:rPr>
                <w:bCs/>
              </w:rPr>
            </w:pPr>
            <w:r>
              <w:rPr>
                <w:bCs/>
              </w:rPr>
              <w:t>Shauna</w:t>
            </w:r>
          </w:p>
        </w:tc>
        <w:tc>
          <w:tcPr>
            <w:tcW w:w="3240" w:type="dxa"/>
            <w:tcMar>
              <w:top w:w="0" w:type="dxa"/>
              <w:left w:w="108" w:type="dxa"/>
              <w:bottom w:w="0" w:type="dxa"/>
              <w:right w:w="108" w:type="dxa"/>
            </w:tcMar>
          </w:tcPr>
          <w:p w14:paraId="53EC3710" w14:textId="29354B46" w:rsidR="009C55D0" w:rsidRDefault="009C55D0" w:rsidP="004601BF">
            <w:pPr>
              <w:spacing w:before="120"/>
              <w:rPr>
                <w:bCs/>
              </w:rPr>
            </w:pPr>
            <w:r>
              <w:rPr>
                <w:bCs/>
              </w:rPr>
              <w:t>House</w:t>
            </w:r>
          </w:p>
        </w:tc>
        <w:tc>
          <w:tcPr>
            <w:tcW w:w="3870" w:type="dxa"/>
            <w:tcMar>
              <w:top w:w="0" w:type="dxa"/>
              <w:left w:w="108" w:type="dxa"/>
              <w:bottom w:w="0" w:type="dxa"/>
              <w:right w:w="108" w:type="dxa"/>
            </w:tcMar>
          </w:tcPr>
          <w:p w14:paraId="28095148" w14:textId="51BE0A52" w:rsidR="009C55D0" w:rsidRDefault="009C55D0" w:rsidP="004601BF">
            <w:pPr>
              <w:spacing w:before="120"/>
              <w:rPr>
                <w:bCs/>
              </w:rPr>
            </w:pPr>
            <w:r>
              <w:rPr>
                <w:bCs/>
              </w:rPr>
              <w:t>Tennessee Valley Authority</w:t>
            </w:r>
          </w:p>
        </w:tc>
      </w:tr>
      <w:tr w:rsidR="009C55D0" w:rsidRPr="00286562" w14:paraId="380C6537" w14:textId="77777777" w:rsidTr="001262CB">
        <w:tc>
          <w:tcPr>
            <w:tcW w:w="1998" w:type="dxa"/>
            <w:tcMar>
              <w:top w:w="0" w:type="dxa"/>
              <w:left w:w="108" w:type="dxa"/>
              <w:bottom w:w="0" w:type="dxa"/>
              <w:right w:w="108" w:type="dxa"/>
            </w:tcMar>
          </w:tcPr>
          <w:p w14:paraId="546B9ED5" w14:textId="2FDB04D8" w:rsidR="009C55D0" w:rsidRDefault="009C55D0" w:rsidP="004601BF">
            <w:pPr>
              <w:spacing w:before="120"/>
              <w:rPr>
                <w:bCs/>
              </w:rPr>
            </w:pPr>
            <w:r>
              <w:rPr>
                <w:bCs/>
              </w:rPr>
              <w:t>Jo</w:t>
            </w:r>
          </w:p>
        </w:tc>
        <w:tc>
          <w:tcPr>
            <w:tcW w:w="3240" w:type="dxa"/>
            <w:tcMar>
              <w:top w:w="0" w:type="dxa"/>
              <w:left w:w="108" w:type="dxa"/>
              <w:bottom w:w="0" w:type="dxa"/>
              <w:right w:w="108" w:type="dxa"/>
            </w:tcMar>
          </w:tcPr>
          <w:p w14:paraId="3FB94452" w14:textId="1EB2A985" w:rsidR="009C55D0" w:rsidRDefault="009C55D0" w:rsidP="004601BF">
            <w:pPr>
              <w:spacing w:before="120"/>
              <w:rPr>
                <w:bCs/>
              </w:rPr>
            </w:pPr>
            <w:r>
              <w:rPr>
                <w:bCs/>
              </w:rPr>
              <w:t>Johnson</w:t>
            </w:r>
          </w:p>
        </w:tc>
        <w:tc>
          <w:tcPr>
            <w:tcW w:w="3870" w:type="dxa"/>
            <w:tcMar>
              <w:top w:w="0" w:type="dxa"/>
              <w:left w:w="108" w:type="dxa"/>
              <w:bottom w:w="0" w:type="dxa"/>
              <w:right w:w="108" w:type="dxa"/>
            </w:tcMar>
          </w:tcPr>
          <w:p w14:paraId="417EC9B1" w14:textId="2291A504" w:rsidR="009C55D0" w:rsidRDefault="009C55D0" w:rsidP="004601BF">
            <w:pPr>
              <w:spacing w:before="120"/>
              <w:rPr>
                <w:bCs/>
              </w:rPr>
            </w:pPr>
            <w:r>
              <w:rPr>
                <w:bCs/>
              </w:rPr>
              <w:t>Portland General Electric</w:t>
            </w:r>
          </w:p>
        </w:tc>
      </w:tr>
      <w:tr w:rsidR="009C55D0" w:rsidRPr="00286562" w14:paraId="742FB582" w14:textId="77777777" w:rsidTr="001262CB">
        <w:tc>
          <w:tcPr>
            <w:tcW w:w="1998" w:type="dxa"/>
            <w:tcMar>
              <w:top w:w="0" w:type="dxa"/>
              <w:left w:w="108" w:type="dxa"/>
              <w:bottom w:w="0" w:type="dxa"/>
              <w:right w:w="108" w:type="dxa"/>
            </w:tcMar>
          </w:tcPr>
          <w:p w14:paraId="2D31F669" w14:textId="2D9E6024" w:rsidR="009C55D0" w:rsidRDefault="009C55D0" w:rsidP="004601BF">
            <w:pPr>
              <w:spacing w:before="120"/>
              <w:rPr>
                <w:bCs/>
              </w:rPr>
            </w:pPr>
            <w:r>
              <w:rPr>
                <w:bCs/>
              </w:rPr>
              <w:t>Kim</w:t>
            </w:r>
          </w:p>
        </w:tc>
        <w:tc>
          <w:tcPr>
            <w:tcW w:w="3240" w:type="dxa"/>
            <w:tcMar>
              <w:top w:w="0" w:type="dxa"/>
              <w:left w:w="108" w:type="dxa"/>
              <w:bottom w:w="0" w:type="dxa"/>
              <w:right w:w="108" w:type="dxa"/>
            </w:tcMar>
          </w:tcPr>
          <w:p w14:paraId="70C6F6FA" w14:textId="55E6091C" w:rsidR="009C55D0" w:rsidRDefault="009C55D0" w:rsidP="004601BF">
            <w:pPr>
              <w:spacing w:before="120"/>
              <w:rPr>
                <w:bCs/>
              </w:rPr>
            </w:pPr>
            <w:r>
              <w:rPr>
                <w:bCs/>
              </w:rPr>
              <w:t>Kramer</w:t>
            </w:r>
          </w:p>
        </w:tc>
        <w:tc>
          <w:tcPr>
            <w:tcW w:w="3870" w:type="dxa"/>
            <w:tcMar>
              <w:top w:w="0" w:type="dxa"/>
              <w:left w:w="108" w:type="dxa"/>
              <w:bottom w:w="0" w:type="dxa"/>
              <w:right w:w="108" w:type="dxa"/>
            </w:tcMar>
          </w:tcPr>
          <w:p w14:paraId="1BFDD70C" w14:textId="361F8E7C" w:rsidR="009C55D0" w:rsidRDefault="009C55D0" w:rsidP="004601BF">
            <w:pPr>
              <w:spacing w:before="120"/>
              <w:rPr>
                <w:bCs/>
              </w:rPr>
            </w:pPr>
            <w:r>
              <w:rPr>
                <w:bCs/>
              </w:rPr>
              <w:t>WEQ Energy Group</w:t>
            </w:r>
          </w:p>
        </w:tc>
      </w:tr>
      <w:tr w:rsidR="00672DA9" w:rsidRPr="00286562" w14:paraId="7D1FE563" w14:textId="77777777" w:rsidTr="001262CB">
        <w:tc>
          <w:tcPr>
            <w:tcW w:w="1998" w:type="dxa"/>
            <w:tcMar>
              <w:top w:w="0" w:type="dxa"/>
              <w:left w:w="108" w:type="dxa"/>
              <w:bottom w:w="0" w:type="dxa"/>
              <w:right w:w="108" w:type="dxa"/>
            </w:tcMar>
          </w:tcPr>
          <w:p w14:paraId="6CB2C439" w14:textId="6F9120A5" w:rsidR="00672DA9" w:rsidRDefault="00672DA9" w:rsidP="004601BF">
            <w:pPr>
              <w:spacing w:before="120"/>
              <w:rPr>
                <w:bCs/>
              </w:rPr>
            </w:pPr>
            <w:r>
              <w:rPr>
                <w:bCs/>
              </w:rPr>
              <w:t>Elizabeth</w:t>
            </w:r>
          </w:p>
        </w:tc>
        <w:tc>
          <w:tcPr>
            <w:tcW w:w="3240" w:type="dxa"/>
            <w:tcMar>
              <w:top w:w="0" w:type="dxa"/>
              <w:left w:w="108" w:type="dxa"/>
              <w:bottom w:w="0" w:type="dxa"/>
              <w:right w:w="108" w:type="dxa"/>
            </w:tcMar>
          </w:tcPr>
          <w:p w14:paraId="211EB64B" w14:textId="78B50C9B" w:rsidR="00672DA9" w:rsidRDefault="00672DA9" w:rsidP="004601BF">
            <w:pPr>
              <w:spacing w:before="120"/>
              <w:rPr>
                <w:bCs/>
              </w:rPr>
            </w:pPr>
            <w:r>
              <w:rPr>
                <w:bCs/>
              </w:rPr>
              <w:t>Mallett</w:t>
            </w:r>
          </w:p>
        </w:tc>
        <w:tc>
          <w:tcPr>
            <w:tcW w:w="3870" w:type="dxa"/>
            <w:tcMar>
              <w:top w:w="0" w:type="dxa"/>
              <w:left w:w="108" w:type="dxa"/>
              <w:bottom w:w="0" w:type="dxa"/>
              <w:right w:w="108" w:type="dxa"/>
            </w:tcMar>
          </w:tcPr>
          <w:p w14:paraId="32443131" w14:textId="56A71648" w:rsidR="00672DA9" w:rsidRDefault="00672DA9" w:rsidP="004601BF">
            <w:pPr>
              <w:spacing w:before="120"/>
              <w:rPr>
                <w:bCs/>
              </w:rPr>
            </w:pPr>
            <w:r>
              <w:rPr>
                <w:bCs/>
              </w:rPr>
              <w:t>North American Energy Standards Board</w:t>
            </w:r>
          </w:p>
        </w:tc>
      </w:tr>
      <w:tr w:rsidR="009C55D0" w:rsidRPr="00286562" w14:paraId="0C21BE88" w14:textId="77777777" w:rsidTr="001262CB">
        <w:tc>
          <w:tcPr>
            <w:tcW w:w="1998" w:type="dxa"/>
            <w:tcMar>
              <w:top w:w="0" w:type="dxa"/>
              <w:left w:w="108" w:type="dxa"/>
              <w:bottom w:w="0" w:type="dxa"/>
              <w:right w:w="108" w:type="dxa"/>
            </w:tcMar>
          </w:tcPr>
          <w:p w14:paraId="54BAC0AA" w14:textId="629E5789" w:rsidR="009C55D0" w:rsidRDefault="009C55D0" w:rsidP="004601BF">
            <w:pPr>
              <w:spacing w:before="120"/>
              <w:rPr>
                <w:bCs/>
              </w:rPr>
            </w:pPr>
            <w:r>
              <w:rPr>
                <w:bCs/>
              </w:rPr>
              <w:t>Jim</w:t>
            </w:r>
          </w:p>
        </w:tc>
        <w:tc>
          <w:tcPr>
            <w:tcW w:w="3240" w:type="dxa"/>
            <w:tcMar>
              <w:top w:w="0" w:type="dxa"/>
              <w:left w:w="108" w:type="dxa"/>
              <w:bottom w:w="0" w:type="dxa"/>
              <w:right w:w="108" w:type="dxa"/>
            </w:tcMar>
          </w:tcPr>
          <w:p w14:paraId="1B7E29DA" w14:textId="5FC019B6" w:rsidR="009C55D0" w:rsidRDefault="009C55D0" w:rsidP="004601BF">
            <w:pPr>
              <w:spacing w:before="120"/>
              <w:rPr>
                <w:bCs/>
              </w:rPr>
            </w:pPr>
            <w:r>
              <w:rPr>
                <w:bCs/>
              </w:rPr>
              <w:t>Parker</w:t>
            </w:r>
          </w:p>
        </w:tc>
        <w:tc>
          <w:tcPr>
            <w:tcW w:w="3870" w:type="dxa"/>
            <w:tcMar>
              <w:top w:w="0" w:type="dxa"/>
              <w:left w:w="108" w:type="dxa"/>
              <w:bottom w:w="0" w:type="dxa"/>
              <w:right w:w="108" w:type="dxa"/>
            </w:tcMar>
          </w:tcPr>
          <w:p w14:paraId="52185FD8" w14:textId="1908BA75" w:rsidR="009C55D0" w:rsidRDefault="009C55D0" w:rsidP="004601BF">
            <w:pPr>
              <w:spacing w:before="120"/>
              <w:rPr>
                <w:bCs/>
              </w:rPr>
            </w:pPr>
            <w:r>
              <w:rPr>
                <w:bCs/>
              </w:rPr>
              <w:t>Tennessee Valley Authority</w:t>
            </w:r>
          </w:p>
        </w:tc>
      </w:tr>
      <w:tr w:rsidR="009C55D0" w:rsidRPr="00286562" w14:paraId="619F12A6" w14:textId="77777777" w:rsidTr="001262CB">
        <w:tc>
          <w:tcPr>
            <w:tcW w:w="1998" w:type="dxa"/>
            <w:tcMar>
              <w:top w:w="0" w:type="dxa"/>
              <w:left w:w="108" w:type="dxa"/>
              <w:bottom w:w="0" w:type="dxa"/>
              <w:right w:w="108" w:type="dxa"/>
            </w:tcMar>
          </w:tcPr>
          <w:p w14:paraId="2D7AD766" w14:textId="51DB3C1F" w:rsidR="009C55D0" w:rsidRDefault="009C55D0" w:rsidP="004601BF">
            <w:pPr>
              <w:spacing w:before="120"/>
              <w:rPr>
                <w:bCs/>
              </w:rPr>
            </w:pPr>
            <w:r>
              <w:rPr>
                <w:bCs/>
              </w:rPr>
              <w:t>Joshua</w:t>
            </w:r>
          </w:p>
        </w:tc>
        <w:tc>
          <w:tcPr>
            <w:tcW w:w="3240" w:type="dxa"/>
            <w:tcMar>
              <w:top w:w="0" w:type="dxa"/>
              <w:left w:w="108" w:type="dxa"/>
              <w:bottom w:w="0" w:type="dxa"/>
              <w:right w:w="108" w:type="dxa"/>
            </w:tcMar>
          </w:tcPr>
          <w:p w14:paraId="5CA62ED5" w14:textId="059C3A0A" w:rsidR="009C55D0" w:rsidRDefault="009C55D0" w:rsidP="004601BF">
            <w:pPr>
              <w:spacing w:before="120"/>
              <w:rPr>
                <w:bCs/>
              </w:rPr>
            </w:pPr>
            <w:r>
              <w:rPr>
                <w:bCs/>
              </w:rPr>
              <w:t>Phillips</w:t>
            </w:r>
          </w:p>
        </w:tc>
        <w:tc>
          <w:tcPr>
            <w:tcW w:w="3870" w:type="dxa"/>
            <w:tcMar>
              <w:top w:w="0" w:type="dxa"/>
              <w:left w:w="108" w:type="dxa"/>
              <w:bottom w:w="0" w:type="dxa"/>
              <w:right w:w="108" w:type="dxa"/>
            </w:tcMar>
          </w:tcPr>
          <w:p w14:paraId="6E5F85DB" w14:textId="624B8033" w:rsidR="009C55D0" w:rsidRDefault="009C55D0" w:rsidP="004601BF">
            <w:pPr>
              <w:spacing w:before="120"/>
              <w:rPr>
                <w:bCs/>
              </w:rPr>
            </w:pPr>
            <w:r>
              <w:rPr>
                <w:bCs/>
              </w:rPr>
              <w:t>Southwest Power Pool</w:t>
            </w:r>
          </w:p>
        </w:tc>
      </w:tr>
      <w:tr w:rsidR="00197F22" w:rsidRPr="00286562" w14:paraId="3CCFA02C" w14:textId="77777777" w:rsidTr="001262CB">
        <w:tc>
          <w:tcPr>
            <w:tcW w:w="1998" w:type="dxa"/>
            <w:tcMar>
              <w:top w:w="0" w:type="dxa"/>
              <w:left w:w="108" w:type="dxa"/>
              <w:bottom w:w="0" w:type="dxa"/>
              <w:right w:w="108" w:type="dxa"/>
            </w:tcMar>
          </w:tcPr>
          <w:p w14:paraId="5EE7A079" w14:textId="7A8816AF" w:rsidR="00197F22" w:rsidRDefault="00197F22" w:rsidP="004601BF">
            <w:pPr>
              <w:spacing w:before="120"/>
              <w:rPr>
                <w:bCs/>
              </w:rPr>
            </w:pPr>
            <w:r>
              <w:rPr>
                <w:bCs/>
              </w:rPr>
              <w:t>Farrokh</w:t>
            </w:r>
          </w:p>
        </w:tc>
        <w:tc>
          <w:tcPr>
            <w:tcW w:w="3240" w:type="dxa"/>
            <w:tcMar>
              <w:top w:w="0" w:type="dxa"/>
              <w:left w:w="108" w:type="dxa"/>
              <w:bottom w:w="0" w:type="dxa"/>
              <w:right w:w="108" w:type="dxa"/>
            </w:tcMar>
          </w:tcPr>
          <w:p w14:paraId="7704229D" w14:textId="59FA112D" w:rsidR="00197F22" w:rsidRDefault="00197F22" w:rsidP="004601BF">
            <w:pPr>
              <w:spacing w:before="120"/>
              <w:rPr>
                <w:bCs/>
              </w:rPr>
            </w:pPr>
            <w:r>
              <w:rPr>
                <w:bCs/>
              </w:rPr>
              <w:t>Rahimi</w:t>
            </w:r>
          </w:p>
        </w:tc>
        <w:tc>
          <w:tcPr>
            <w:tcW w:w="3870" w:type="dxa"/>
            <w:tcMar>
              <w:top w:w="0" w:type="dxa"/>
              <w:left w:w="108" w:type="dxa"/>
              <w:bottom w:w="0" w:type="dxa"/>
              <w:right w:w="108" w:type="dxa"/>
            </w:tcMar>
          </w:tcPr>
          <w:p w14:paraId="74B0C702" w14:textId="3A1BCF7C" w:rsidR="00197F22" w:rsidRDefault="00197F22" w:rsidP="004601BF">
            <w:pPr>
              <w:spacing w:before="120"/>
              <w:rPr>
                <w:bCs/>
              </w:rPr>
            </w:pPr>
            <w:r>
              <w:rPr>
                <w:bCs/>
              </w:rPr>
              <w:t>OATI</w:t>
            </w:r>
          </w:p>
        </w:tc>
      </w:tr>
      <w:tr w:rsidR="00752DD4" w:rsidRPr="00286562" w14:paraId="293D23C1" w14:textId="77777777" w:rsidTr="001262CB">
        <w:tc>
          <w:tcPr>
            <w:tcW w:w="1998" w:type="dxa"/>
            <w:tcMar>
              <w:top w:w="0" w:type="dxa"/>
              <w:left w:w="108" w:type="dxa"/>
              <w:bottom w:w="0" w:type="dxa"/>
              <w:right w:w="108" w:type="dxa"/>
            </w:tcMar>
          </w:tcPr>
          <w:p w14:paraId="083C0865" w14:textId="0A8DBC93" w:rsidR="00752DD4" w:rsidRDefault="00752DD4" w:rsidP="004601BF">
            <w:pPr>
              <w:spacing w:before="120"/>
              <w:rPr>
                <w:bCs/>
              </w:rPr>
            </w:pPr>
            <w:r>
              <w:rPr>
                <w:bCs/>
              </w:rPr>
              <w:t>Robin</w:t>
            </w:r>
          </w:p>
        </w:tc>
        <w:tc>
          <w:tcPr>
            <w:tcW w:w="3240" w:type="dxa"/>
            <w:tcMar>
              <w:top w:w="0" w:type="dxa"/>
              <w:left w:w="108" w:type="dxa"/>
              <w:bottom w:w="0" w:type="dxa"/>
              <w:right w:w="108" w:type="dxa"/>
            </w:tcMar>
          </w:tcPr>
          <w:p w14:paraId="021AC7B0" w14:textId="6E9EA099" w:rsidR="00752DD4" w:rsidRDefault="00752DD4" w:rsidP="004601BF">
            <w:pPr>
              <w:spacing w:before="120"/>
              <w:rPr>
                <w:bCs/>
              </w:rPr>
            </w:pPr>
            <w:r>
              <w:rPr>
                <w:bCs/>
              </w:rPr>
              <w:t>Rebillard</w:t>
            </w:r>
          </w:p>
        </w:tc>
        <w:tc>
          <w:tcPr>
            <w:tcW w:w="3870" w:type="dxa"/>
            <w:tcMar>
              <w:top w:w="0" w:type="dxa"/>
              <w:left w:w="108" w:type="dxa"/>
              <w:bottom w:w="0" w:type="dxa"/>
              <w:right w:w="108" w:type="dxa"/>
            </w:tcMar>
          </w:tcPr>
          <w:p w14:paraId="586B58DE" w14:textId="2AE91CF4" w:rsidR="00752DD4" w:rsidRDefault="00752DD4" w:rsidP="004601BF">
            <w:pPr>
              <w:spacing w:before="120"/>
              <w:rPr>
                <w:bCs/>
              </w:rPr>
            </w:pPr>
            <w:r>
              <w:rPr>
                <w:bCs/>
              </w:rPr>
              <w:t>Manitoba Hydro</w:t>
            </w:r>
          </w:p>
        </w:tc>
      </w:tr>
      <w:tr w:rsidR="009C55D0" w:rsidRPr="00286562" w14:paraId="0BA457BB" w14:textId="77777777" w:rsidTr="001262CB">
        <w:tc>
          <w:tcPr>
            <w:tcW w:w="1998" w:type="dxa"/>
            <w:tcMar>
              <w:top w:w="0" w:type="dxa"/>
              <w:left w:w="108" w:type="dxa"/>
              <w:bottom w:w="0" w:type="dxa"/>
              <w:right w:w="108" w:type="dxa"/>
            </w:tcMar>
          </w:tcPr>
          <w:p w14:paraId="1E303A70" w14:textId="55DC96B0" w:rsidR="009C55D0" w:rsidRDefault="009C55D0" w:rsidP="004601BF">
            <w:pPr>
              <w:spacing w:before="120"/>
              <w:rPr>
                <w:bCs/>
              </w:rPr>
            </w:pPr>
            <w:r>
              <w:rPr>
                <w:bCs/>
              </w:rPr>
              <w:t>Lisa</w:t>
            </w:r>
          </w:p>
        </w:tc>
        <w:tc>
          <w:tcPr>
            <w:tcW w:w="3240" w:type="dxa"/>
            <w:tcMar>
              <w:top w:w="0" w:type="dxa"/>
              <w:left w:w="108" w:type="dxa"/>
              <w:bottom w:w="0" w:type="dxa"/>
              <w:right w:w="108" w:type="dxa"/>
            </w:tcMar>
          </w:tcPr>
          <w:p w14:paraId="3B3E925C" w14:textId="30DBA730" w:rsidR="009C55D0" w:rsidRDefault="009C55D0" w:rsidP="004601BF">
            <w:pPr>
              <w:spacing w:before="120"/>
              <w:rPr>
                <w:bCs/>
              </w:rPr>
            </w:pPr>
            <w:r>
              <w:rPr>
                <w:bCs/>
              </w:rPr>
              <w:t>Sieg</w:t>
            </w:r>
          </w:p>
        </w:tc>
        <w:tc>
          <w:tcPr>
            <w:tcW w:w="3870" w:type="dxa"/>
            <w:tcMar>
              <w:top w:w="0" w:type="dxa"/>
              <w:left w:w="108" w:type="dxa"/>
              <w:bottom w:w="0" w:type="dxa"/>
              <w:right w:w="108" w:type="dxa"/>
            </w:tcMar>
          </w:tcPr>
          <w:p w14:paraId="6A81ABAF" w14:textId="25F167AB" w:rsidR="009C55D0" w:rsidRDefault="009C55D0" w:rsidP="004601BF">
            <w:pPr>
              <w:spacing w:before="120"/>
              <w:rPr>
                <w:bCs/>
              </w:rPr>
            </w:pPr>
            <w:r>
              <w:rPr>
                <w:bCs/>
              </w:rPr>
              <w:t>LG&amp;E and KU Energy</w:t>
            </w:r>
          </w:p>
        </w:tc>
      </w:tr>
      <w:tr w:rsidR="009C55D0" w:rsidRPr="00286562" w14:paraId="47BA26F6" w14:textId="77777777" w:rsidTr="001262CB">
        <w:tc>
          <w:tcPr>
            <w:tcW w:w="1998" w:type="dxa"/>
            <w:tcMar>
              <w:top w:w="0" w:type="dxa"/>
              <w:left w:w="108" w:type="dxa"/>
              <w:bottom w:w="0" w:type="dxa"/>
              <w:right w:w="108" w:type="dxa"/>
            </w:tcMar>
          </w:tcPr>
          <w:p w14:paraId="6086D720" w14:textId="7194004E" w:rsidR="009C55D0" w:rsidRDefault="009C55D0" w:rsidP="004601BF">
            <w:pPr>
              <w:spacing w:before="120"/>
              <w:rPr>
                <w:bCs/>
              </w:rPr>
            </w:pPr>
            <w:r>
              <w:rPr>
                <w:bCs/>
              </w:rPr>
              <w:t>John</w:t>
            </w:r>
          </w:p>
        </w:tc>
        <w:tc>
          <w:tcPr>
            <w:tcW w:w="3240" w:type="dxa"/>
            <w:tcMar>
              <w:top w:w="0" w:type="dxa"/>
              <w:left w:w="108" w:type="dxa"/>
              <w:bottom w:w="0" w:type="dxa"/>
              <w:right w:w="108" w:type="dxa"/>
            </w:tcMar>
          </w:tcPr>
          <w:p w14:paraId="2FF7DC1D" w14:textId="423F7B84" w:rsidR="009C55D0" w:rsidRDefault="009C55D0" w:rsidP="004601BF">
            <w:pPr>
              <w:spacing w:before="120"/>
              <w:rPr>
                <w:bCs/>
              </w:rPr>
            </w:pPr>
            <w:proofErr w:type="spellStart"/>
            <w:r>
              <w:rPr>
                <w:bCs/>
              </w:rPr>
              <w:t>Spomer</w:t>
            </w:r>
            <w:proofErr w:type="spellEnd"/>
          </w:p>
        </w:tc>
        <w:tc>
          <w:tcPr>
            <w:tcW w:w="3870" w:type="dxa"/>
            <w:tcMar>
              <w:top w:w="0" w:type="dxa"/>
              <w:left w:w="108" w:type="dxa"/>
              <w:bottom w:w="0" w:type="dxa"/>
              <w:right w:w="108" w:type="dxa"/>
            </w:tcMar>
          </w:tcPr>
          <w:p w14:paraId="52C4172E" w14:textId="088416B7" w:rsidR="009C55D0" w:rsidRDefault="009C55D0" w:rsidP="004601BF">
            <w:pPr>
              <w:spacing w:before="120"/>
              <w:rPr>
                <w:bCs/>
              </w:rPr>
            </w:pPr>
            <w:r>
              <w:rPr>
                <w:bCs/>
              </w:rPr>
              <w:t>CAL 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485B4C89" w:rsidR="00BE24C3" w:rsidRPr="00995E5B" w:rsidRDefault="00BE24C3" w:rsidP="001F601D">
            <w:pPr>
              <w:spacing w:before="120"/>
              <w:rPr>
                <w:bCs/>
              </w:rPr>
            </w:pPr>
            <w:r w:rsidRPr="00995E5B">
              <w:rPr>
                <w:bCs/>
              </w:rPr>
              <w:t>Caroline</w:t>
            </w:r>
          </w:p>
        </w:tc>
        <w:tc>
          <w:tcPr>
            <w:tcW w:w="3240" w:type="dxa"/>
            <w:tcMar>
              <w:top w:w="0" w:type="dxa"/>
              <w:left w:w="108" w:type="dxa"/>
              <w:bottom w:w="0" w:type="dxa"/>
              <w:right w:w="108" w:type="dxa"/>
            </w:tcMar>
            <w:hideMark/>
          </w:tcPr>
          <w:p w14:paraId="3166FE36" w14:textId="77777777" w:rsidR="00BE24C3" w:rsidRPr="00995E5B" w:rsidRDefault="00BE24C3" w:rsidP="00542596">
            <w:pPr>
              <w:keepNext/>
              <w:spacing w:before="120"/>
              <w:rPr>
                <w:bCs/>
              </w:rPr>
            </w:pPr>
            <w:r w:rsidRPr="00995E5B">
              <w:rPr>
                <w:bCs/>
              </w:rPr>
              <w:t>Trum</w:t>
            </w:r>
          </w:p>
        </w:tc>
        <w:tc>
          <w:tcPr>
            <w:tcW w:w="3870" w:type="dxa"/>
            <w:tcMar>
              <w:top w:w="0" w:type="dxa"/>
              <w:left w:w="108" w:type="dxa"/>
              <w:bottom w:w="0" w:type="dxa"/>
              <w:right w:w="108" w:type="dxa"/>
            </w:tcMar>
            <w:hideMark/>
          </w:tcPr>
          <w:p w14:paraId="57332193" w14:textId="53F04F96" w:rsidR="00BE24C3" w:rsidRPr="00995E5B" w:rsidRDefault="00AE3183" w:rsidP="00542596">
            <w:pPr>
              <w:keepNext/>
              <w:spacing w:before="120"/>
              <w:rPr>
                <w:bCs/>
              </w:rPr>
            </w:pPr>
            <w:r>
              <w:rPr>
                <w:bCs/>
              </w:rPr>
              <w:t>North American Energy Standards Board</w:t>
            </w:r>
          </w:p>
        </w:tc>
      </w:tr>
      <w:tr w:rsidR="00F1330C" w:rsidRPr="00286562" w14:paraId="66EBF4F9" w14:textId="77777777" w:rsidTr="001262CB">
        <w:tc>
          <w:tcPr>
            <w:tcW w:w="1998" w:type="dxa"/>
            <w:tcMar>
              <w:top w:w="0" w:type="dxa"/>
              <w:left w:w="108" w:type="dxa"/>
              <w:bottom w:w="0" w:type="dxa"/>
              <w:right w:w="108" w:type="dxa"/>
            </w:tcMar>
          </w:tcPr>
          <w:p w14:paraId="1350DC41" w14:textId="044AE5B7" w:rsidR="00F1330C" w:rsidRPr="00995E5B" w:rsidRDefault="00F1330C" w:rsidP="001F601D">
            <w:pPr>
              <w:spacing w:before="120"/>
              <w:rPr>
                <w:bCs/>
              </w:rPr>
            </w:pPr>
            <w:r>
              <w:rPr>
                <w:bCs/>
              </w:rPr>
              <w:lastRenderedPageBreak/>
              <w:t>Karen</w:t>
            </w:r>
          </w:p>
        </w:tc>
        <w:tc>
          <w:tcPr>
            <w:tcW w:w="3240" w:type="dxa"/>
            <w:tcMar>
              <w:top w:w="0" w:type="dxa"/>
              <w:left w:w="108" w:type="dxa"/>
              <w:bottom w:w="0" w:type="dxa"/>
              <w:right w:w="108" w:type="dxa"/>
            </w:tcMar>
          </w:tcPr>
          <w:p w14:paraId="201E719F" w14:textId="42A40BCB" w:rsidR="00F1330C" w:rsidRPr="00995E5B" w:rsidRDefault="00F1330C" w:rsidP="00542596">
            <w:pPr>
              <w:keepNext/>
              <w:spacing w:before="120"/>
              <w:rPr>
                <w:bCs/>
              </w:rPr>
            </w:pPr>
            <w:r>
              <w:rPr>
                <w:bCs/>
              </w:rPr>
              <w:t>Utt</w:t>
            </w:r>
          </w:p>
        </w:tc>
        <w:tc>
          <w:tcPr>
            <w:tcW w:w="3870" w:type="dxa"/>
            <w:tcMar>
              <w:top w:w="0" w:type="dxa"/>
              <w:left w:w="108" w:type="dxa"/>
              <w:bottom w:w="0" w:type="dxa"/>
              <w:right w:w="108" w:type="dxa"/>
            </w:tcMar>
          </w:tcPr>
          <w:p w14:paraId="4AF9A997" w14:textId="5B62A3C5" w:rsidR="00F1330C" w:rsidRDefault="00F1330C" w:rsidP="00542596">
            <w:pPr>
              <w:keepNext/>
              <w:spacing w:before="120"/>
              <w:rPr>
                <w:bCs/>
              </w:rPr>
            </w:pPr>
            <w:r>
              <w:rPr>
                <w:bCs/>
              </w:rPr>
              <w:t>Tennessee Valley Authority</w:t>
            </w:r>
          </w:p>
        </w:tc>
      </w:tr>
      <w:tr w:rsidR="00752DD4" w:rsidRPr="00286562" w14:paraId="1FEB32AA" w14:textId="77777777" w:rsidTr="001262CB">
        <w:tc>
          <w:tcPr>
            <w:tcW w:w="1998" w:type="dxa"/>
            <w:tcMar>
              <w:top w:w="0" w:type="dxa"/>
              <w:left w:w="108" w:type="dxa"/>
              <w:bottom w:w="0" w:type="dxa"/>
              <w:right w:w="108" w:type="dxa"/>
            </w:tcMar>
          </w:tcPr>
          <w:p w14:paraId="78EF4691" w14:textId="62D0EE17" w:rsidR="00752DD4" w:rsidRDefault="00752DD4" w:rsidP="001F601D">
            <w:pPr>
              <w:spacing w:before="120"/>
              <w:rPr>
                <w:bCs/>
              </w:rPr>
            </w:pPr>
            <w:r>
              <w:rPr>
                <w:bCs/>
              </w:rPr>
              <w:t>Jeremy</w:t>
            </w:r>
          </w:p>
        </w:tc>
        <w:tc>
          <w:tcPr>
            <w:tcW w:w="3240" w:type="dxa"/>
            <w:tcMar>
              <w:top w:w="0" w:type="dxa"/>
              <w:left w:w="108" w:type="dxa"/>
              <w:bottom w:w="0" w:type="dxa"/>
              <w:right w:w="108" w:type="dxa"/>
            </w:tcMar>
          </w:tcPr>
          <w:p w14:paraId="0E7333AC" w14:textId="7179F876" w:rsidR="00752DD4" w:rsidRDefault="00752DD4" w:rsidP="00542596">
            <w:pPr>
              <w:keepNext/>
              <w:spacing w:before="120"/>
              <w:rPr>
                <w:bCs/>
              </w:rPr>
            </w:pPr>
            <w:r>
              <w:rPr>
                <w:bCs/>
              </w:rPr>
              <w:t>Weinstein</w:t>
            </w:r>
          </w:p>
        </w:tc>
        <w:tc>
          <w:tcPr>
            <w:tcW w:w="3870" w:type="dxa"/>
            <w:tcMar>
              <w:top w:w="0" w:type="dxa"/>
              <w:left w:w="108" w:type="dxa"/>
              <w:bottom w:w="0" w:type="dxa"/>
              <w:right w:w="108" w:type="dxa"/>
            </w:tcMar>
          </w:tcPr>
          <w:p w14:paraId="7491FEDC" w14:textId="6F3F7DD9" w:rsidR="00752DD4" w:rsidRDefault="00752DD4" w:rsidP="00542596">
            <w:pPr>
              <w:keepNext/>
              <w:spacing w:before="120"/>
              <w:rPr>
                <w:bCs/>
              </w:rPr>
            </w:pPr>
            <w:r>
              <w:rPr>
                <w:bCs/>
              </w:rPr>
              <w:t>PacifiCorp</w:t>
            </w:r>
          </w:p>
        </w:tc>
      </w:tr>
    </w:tbl>
    <w:p w14:paraId="166BD90C" w14:textId="77777777" w:rsidR="00535BB7" w:rsidRPr="000E5855" w:rsidRDefault="00535BB7" w:rsidP="00BF404B">
      <w:pPr>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999D" w14:textId="77777777" w:rsidR="007A3A87" w:rsidRDefault="007A3A87">
      <w:r>
        <w:separator/>
      </w:r>
    </w:p>
  </w:endnote>
  <w:endnote w:type="continuationSeparator" w:id="0">
    <w:p w14:paraId="44729E49" w14:textId="77777777" w:rsidR="007A3A87" w:rsidRDefault="007A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14E6517D" w:rsidR="009C55D0" w:rsidRPr="00176FB9" w:rsidRDefault="009C55D0" w:rsidP="005E6421">
    <w:pPr>
      <w:pStyle w:val="Footer"/>
      <w:pBdr>
        <w:top w:val="single" w:sz="12" w:space="1" w:color="auto"/>
      </w:pBdr>
      <w:jc w:val="right"/>
      <w:rPr>
        <w:sz w:val="18"/>
        <w:szCs w:val="18"/>
      </w:rPr>
    </w:pPr>
    <w:r>
      <w:rPr>
        <w:sz w:val="18"/>
        <w:szCs w:val="18"/>
      </w:rPr>
      <w:t xml:space="preserve">Joint RMQ BPS and WEQ BPS Conference Call </w:t>
    </w:r>
    <w:r w:rsidR="00B65B3D">
      <w:rPr>
        <w:sz w:val="18"/>
        <w:szCs w:val="18"/>
      </w:rPr>
      <w:t>Draft</w:t>
    </w:r>
    <w:r>
      <w:rPr>
        <w:sz w:val="18"/>
        <w:szCs w:val="18"/>
      </w:rPr>
      <w:t xml:space="preserve"> Minutes </w:t>
    </w:r>
    <w:r w:rsidRPr="00176FB9">
      <w:rPr>
        <w:sz w:val="18"/>
        <w:szCs w:val="18"/>
      </w:rPr>
      <w:t>–</w:t>
    </w:r>
    <w:r>
      <w:rPr>
        <w:sz w:val="18"/>
        <w:szCs w:val="18"/>
      </w:rPr>
      <w:t xml:space="preserve"> </w:t>
    </w:r>
    <w:r w:rsidR="00B65B3D">
      <w:rPr>
        <w:sz w:val="18"/>
        <w:szCs w:val="18"/>
      </w:rPr>
      <w:t>September 1</w:t>
    </w:r>
    <w:r>
      <w:rPr>
        <w:sz w:val="18"/>
        <w:szCs w:val="18"/>
      </w:rPr>
      <w:t>, 2020</w:t>
    </w:r>
  </w:p>
  <w:p w14:paraId="4B07DF0C" w14:textId="77777777" w:rsidR="009C55D0" w:rsidRPr="00176FB9" w:rsidRDefault="009C55D0"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E14DC" w14:textId="77777777" w:rsidR="007A3A87" w:rsidRDefault="007A3A87">
      <w:r>
        <w:separator/>
      </w:r>
    </w:p>
  </w:footnote>
  <w:footnote w:type="continuationSeparator" w:id="0">
    <w:p w14:paraId="1E574D54" w14:textId="77777777" w:rsidR="007A3A87" w:rsidRDefault="007A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9C55D0" w:rsidRPr="00D65256" w:rsidRDefault="009C55D0"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9C55D0" w:rsidRDefault="009C55D0"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9C55D0" w:rsidRDefault="009C55D0"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9C55D0" w:rsidRPr="00D65256" w:rsidRDefault="009C55D0"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9C55D0" w:rsidRPr="00D65256" w:rsidRDefault="009C55D0"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9C55D0" w:rsidRPr="00D65256" w:rsidRDefault="009C55D0" w:rsidP="005E6421">
    <w:pPr>
      <w:pStyle w:val="Header"/>
      <w:ind w:left="1800"/>
      <w:jc w:val="right"/>
    </w:pPr>
    <w:r w:rsidRPr="00D65256">
      <w:t>Phone:  (713) 356-0060, Fax:  (713) 356-0067, E-mail: naesb@naesb.org</w:t>
    </w:r>
  </w:p>
  <w:p w14:paraId="4E3530DE" w14:textId="77777777" w:rsidR="009C55D0" w:rsidRPr="00D65256" w:rsidRDefault="009C55D0"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9C55D0" w:rsidRDefault="009C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B43"/>
    <w:rsid w:val="00084207"/>
    <w:rsid w:val="00084223"/>
    <w:rsid w:val="0008455F"/>
    <w:rsid w:val="000845C1"/>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109"/>
    <w:rsid w:val="000B03DA"/>
    <w:rsid w:val="000B0825"/>
    <w:rsid w:val="000B0A53"/>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BB4"/>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97F22"/>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076"/>
    <w:rsid w:val="001F43C0"/>
    <w:rsid w:val="001F4D72"/>
    <w:rsid w:val="001F4F12"/>
    <w:rsid w:val="001F55A4"/>
    <w:rsid w:val="001F5A2B"/>
    <w:rsid w:val="001F5C20"/>
    <w:rsid w:val="001F5E8C"/>
    <w:rsid w:val="001F601D"/>
    <w:rsid w:val="001F66B2"/>
    <w:rsid w:val="001F703B"/>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486"/>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4D39"/>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19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4CB"/>
    <w:rsid w:val="00364601"/>
    <w:rsid w:val="0036483A"/>
    <w:rsid w:val="00364D1F"/>
    <w:rsid w:val="003658B1"/>
    <w:rsid w:val="00365E33"/>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545F"/>
    <w:rsid w:val="00375703"/>
    <w:rsid w:val="00376389"/>
    <w:rsid w:val="00376627"/>
    <w:rsid w:val="00376CD3"/>
    <w:rsid w:val="0037708E"/>
    <w:rsid w:val="00377109"/>
    <w:rsid w:val="003774F3"/>
    <w:rsid w:val="00377572"/>
    <w:rsid w:val="003775B0"/>
    <w:rsid w:val="0037782C"/>
    <w:rsid w:val="00377B57"/>
    <w:rsid w:val="0038023A"/>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6C0"/>
    <w:rsid w:val="003D0C52"/>
    <w:rsid w:val="003D11A6"/>
    <w:rsid w:val="003D1E9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1B8"/>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5FF8"/>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353"/>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445"/>
    <w:rsid w:val="00657608"/>
    <w:rsid w:val="0065786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6AAF"/>
    <w:rsid w:val="006B77E3"/>
    <w:rsid w:val="006B7E90"/>
    <w:rsid w:val="006B7F34"/>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87"/>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DD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E74"/>
    <w:rsid w:val="007A3617"/>
    <w:rsid w:val="007A3748"/>
    <w:rsid w:val="007A3A87"/>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1BF"/>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6DF3"/>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4DB"/>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69D1"/>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F78"/>
    <w:rsid w:val="008D6249"/>
    <w:rsid w:val="008D63EB"/>
    <w:rsid w:val="008D68CD"/>
    <w:rsid w:val="008D69BE"/>
    <w:rsid w:val="008D6F3A"/>
    <w:rsid w:val="008D6FEA"/>
    <w:rsid w:val="008D734C"/>
    <w:rsid w:val="008D7583"/>
    <w:rsid w:val="008D7D08"/>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4139"/>
    <w:rsid w:val="00944825"/>
    <w:rsid w:val="00944A7C"/>
    <w:rsid w:val="00944DEC"/>
    <w:rsid w:val="00945369"/>
    <w:rsid w:val="00945CF3"/>
    <w:rsid w:val="009474B1"/>
    <w:rsid w:val="00947B06"/>
    <w:rsid w:val="009505CB"/>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358"/>
    <w:rsid w:val="00990A97"/>
    <w:rsid w:val="0099102D"/>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D0"/>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AEC"/>
    <w:rsid w:val="009F4C2B"/>
    <w:rsid w:val="009F5336"/>
    <w:rsid w:val="009F5415"/>
    <w:rsid w:val="009F561D"/>
    <w:rsid w:val="009F5A33"/>
    <w:rsid w:val="009F778E"/>
    <w:rsid w:val="009F7AA8"/>
    <w:rsid w:val="009F7C2B"/>
    <w:rsid w:val="00A00289"/>
    <w:rsid w:val="00A00D12"/>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35AD"/>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507"/>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7D5"/>
    <w:rsid w:val="00AF0967"/>
    <w:rsid w:val="00AF0C2F"/>
    <w:rsid w:val="00AF12B0"/>
    <w:rsid w:val="00AF175C"/>
    <w:rsid w:val="00AF18B9"/>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714B"/>
    <w:rsid w:val="00B57302"/>
    <w:rsid w:val="00B57A98"/>
    <w:rsid w:val="00B60C6D"/>
    <w:rsid w:val="00B6166C"/>
    <w:rsid w:val="00B6293E"/>
    <w:rsid w:val="00B629ED"/>
    <w:rsid w:val="00B6387A"/>
    <w:rsid w:val="00B63975"/>
    <w:rsid w:val="00B64374"/>
    <w:rsid w:val="00B645DC"/>
    <w:rsid w:val="00B64D25"/>
    <w:rsid w:val="00B64F20"/>
    <w:rsid w:val="00B64FC6"/>
    <w:rsid w:val="00B65047"/>
    <w:rsid w:val="00B650E7"/>
    <w:rsid w:val="00B654B8"/>
    <w:rsid w:val="00B65621"/>
    <w:rsid w:val="00B65B3D"/>
    <w:rsid w:val="00B65E1A"/>
    <w:rsid w:val="00B65EAD"/>
    <w:rsid w:val="00B66035"/>
    <w:rsid w:val="00B66522"/>
    <w:rsid w:val="00B665B3"/>
    <w:rsid w:val="00B6691E"/>
    <w:rsid w:val="00B67137"/>
    <w:rsid w:val="00B67221"/>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AD8"/>
    <w:rsid w:val="00B75CCD"/>
    <w:rsid w:val="00B761E3"/>
    <w:rsid w:val="00B76404"/>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05C"/>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579"/>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1ACD"/>
    <w:rsid w:val="00C3238E"/>
    <w:rsid w:val="00C329B0"/>
    <w:rsid w:val="00C32EB8"/>
    <w:rsid w:val="00C32F22"/>
    <w:rsid w:val="00C3348A"/>
    <w:rsid w:val="00C3434D"/>
    <w:rsid w:val="00C344D1"/>
    <w:rsid w:val="00C346B8"/>
    <w:rsid w:val="00C34EC8"/>
    <w:rsid w:val="00C3529F"/>
    <w:rsid w:val="00C354E4"/>
    <w:rsid w:val="00C358DD"/>
    <w:rsid w:val="00C35994"/>
    <w:rsid w:val="00C35F9E"/>
    <w:rsid w:val="00C3610D"/>
    <w:rsid w:val="00C36A0F"/>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52FD"/>
    <w:rsid w:val="00C45A41"/>
    <w:rsid w:val="00C45E2A"/>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6B1"/>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0A8"/>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3902"/>
    <w:rsid w:val="00CB3BFD"/>
    <w:rsid w:val="00CB4032"/>
    <w:rsid w:val="00CB40DF"/>
    <w:rsid w:val="00CB4932"/>
    <w:rsid w:val="00CB4E4C"/>
    <w:rsid w:val="00CB559B"/>
    <w:rsid w:val="00CB5879"/>
    <w:rsid w:val="00CB5ACD"/>
    <w:rsid w:val="00CB5BE5"/>
    <w:rsid w:val="00CB7A8D"/>
    <w:rsid w:val="00CB7D70"/>
    <w:rsid w:val="00CC098D"/>
    <w:rsid w:val="00CC1724"/>
    <w:rsid w:val="00CC1A0E"/>
    <w:rsid w:val="00CC1B2A"/>
    <w:rsid w:val="00CC1DF6"/>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6AF"/>
    <w:rsid w:val="00CD5900"/>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466"/>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9C0"/>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8C"/>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4FF"/>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2A3"/>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BC"/>
    <w:rsid w:val="00E74DAB"/>
    <w:rsid w:val="00E75284"/>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D7EE7"/>
    <w:rsid w:val="00EE0136"/>
    <w:rsid w:val="00EE040B"/>
    <w:rsid w:val="00EE04E0"/>
    <w:rsid w:val="00EE09DB"/>
    <w:rsid w:val="00EE0E87"/>
    <w:rsid w:val="00EE0ECF"/>
    <w:rsid w:val="00EE0EE5"/>
    <w:rsid w:val="00EE10ED"/>
    <w:rsid w:val="00EE170E"/>
    <w:rsid w:val="00EE1791"/>
    <w:rsid w:val="00EE18E5"/>
    <w:rsid w:val="00EE195E"/>
    <w:rsid w:val="00EE257D"/>
    <w:rsid w:val="00EE25FA"/>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D2C"/>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5F1"/>
    <w:rsid w:val="00F01C42"/>
    <w:rsid w:val="00F01C59"/>
    <w:rsid w:val="00F01DEC"/>
    <w:rsid w:val="00F022BF"/>
    <w:rsid w:val="00F03F5B"/>
    <w:rsid w:val="00F04232"/>
    <w:rsid w:val="00F042A5"/>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30C"/>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5D58"/>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0C5"/>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4A"/>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bps_rmq_bps090120w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pdf4/weq_bps_rmq_bps090120w1.docx" TargetMode="External"/><Relationship Id="rId4" Type="http://schemas.openxmlformats.org/officeDocument/2006/relationships/settings" Target="settings.xml"/><Relationship Id="rId9" Type="http://schemas.openxmlformats.org/officeDocument/2006/relationships/hyperlink" Target="https://www.naesb.org/member_login_check.asp?doc=base090406_0806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07EF-DCB8-4D83-83FD-7D3D9625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8928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7</cp:revision>
  <cp:lastPrinted>2012-04-04T10:38:00Z</cp:lastPrinted>
  <dcterms:created xsi:type="dcterms:W3CDTF">2020-09-01T15:33:00Z</dcterms:created>
  <dcterms:modified xsi:type="dcterms:W3CDTF">2020-09-01T20:43:00Z</dcterms:modified>
</cp:coreProperties>
</file>