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2F6D4CD0"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NAESB </w:t>
      </w:r>
      <w:r w:rsidR="0048482C">
        <w:t>Deputy Director</w:t>
      </w:r>
    </w:p>
    <w:p w14:paraId="2BD3EE26" w14:textId="10C21253" w:rsidR="00C44C62" w:rsidRPr="000E5855" w:rsidRDefault="00C44C62" w:rsidP="00D62DE0">
      <w:pPr>
        <w:ind w:left="1440" w:hanging="1440"/>
      </w:pPr>
      <w:r w:rsidRPr="000E5855">
        <w:rPr>
          <w:b/>
          <w:bCs/>
        </w:rPr>
        <w:t>RE:</w:t>
      </w:r>
      <w:r w:rsidRPr="000E5855">
        <w:rPr>
          <w:b/>
          <w:bCs/>
        </w:rPr>
        <w:tab/>
      </w:r>
      <w:r w:rsidR="009241DD">
        <w:t xml:space="preserve">Draft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2951B4">
        <w:t>July 19</w:t>
      </w:r>
      <w:r w:rsidR="00560A99">
        <w:t>, 2021</w:t>
      </w:r>
    </w:p>
    <w:p w14:paraId="7C63E7B7" w14:textId="1DAC6052"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2951B4">
        <w:t>July 20</w:t>
      </w:r>
      <w:r w:rsidR="00560A99">
        <w:t>, 2021</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703053FB" w:rsidR="00C44C62" w:rsidRPr="00AE3183" w:rsidRDefault="002951B4" w:rsidP="00AE3183">
      <w:pPr>
        <w:jc w:val="center"/>
        <w:rPr>
          <w:b/>
        </w:rPr>
      </w:pPr>
      <w:r>
        <w:rPr>
          <w:b/>
        </w:rPr>
        <w:t>July 19</w:t>
      </w:r>
      <w:r w:rsidR="00560A99">
        <w:rPr>
          <w:b/>
        </w:rPr>
        <w:t>, 2021</w:t>
      </w:r>
      <w:r w:rsidR="00AB2744">
        <w:rPr>
          <w:b/>
        </w:rPr>
        <w:t xml:space="preserve"> – </w:t>
      </w:r>
      <w:r w:rsidR="00E71533">
        <w:rPr>
          <w:b/>
        </w:rPr>
        <w:t>1</w:t>
      </w:r>
      <w:r w:rsidR="00A938EF">
        <w:rPr>
          <w:b/>
        </w:rPr>
        <w:t>0</w:t>
      </w:r>
      <w:r w:rsidR="00AB2744">
        <w:rPr>
          <w:b/>
        </w:rPr>
        <w:t>:</w:t>
      </w:r>
      <w:r w:rsidR="00965D00">
        <w:rPr>
          <w:b/>
        </w:rPr>
        <w:t>0</w:t>
      </w:r>
      <w:r w:rsidR="00AB2744">
        <w:rPr>
          <w:b/>
        </w:rPr>
        <w:t xml:space="preserve">0 </w:t>
      </w:r>
      <w:r w:rsidR="00A938EF">
        <w:rPr>
          <w:b/>
        </w:rPr>
        <w:t>A</w:t>
      </w:r>
      <w:r w:rsidR="00AB2744">
        <w:rPr>
          <w:b/>
        </w:rPr>
        <w:t xml:space="preserve">M to </w:t>
      </w:r>
      <w:r w:rsidR="00950242">
        <w:rPr>
          <w:b/>
        </w:rPr>
        <w:t>3</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0231B49E" w:rsidR="00C44C62" w:rsidRPr="00EE257D" w:rsidRDefault="00A938EF" w:rsidP="00EA2474">
      <w:pPr>
        <w:widowControl w:val="0"/>
        <w:spacing w:after="120"/>
        <w:jc w:val="center"/>
      </w:pPr>
      <w:r>
        <w:rPr>
          <w:b/>
          <w:bCs/>
          <w:u w:val="single"/>
        </w:rPr>
        <w:t>DRAFT</w:t>
      </w:r>
      <w:r w:rsidR="00B41D5E">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14909E6C"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2D6B08">
        <w:t xml:space="preserve">Ms. </w:t>
      </w:r>
      <w:r w:rsidR="00560A99">
        <w:t>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Pr="00BC2FC2">
        <w:t>The pa</w:t>
      </w:r>
      <w:r w:rsidR="00AB2744" w:rsidRPr="00BC2FC2">
        <w:t>rticipants introduced themselves over the phone</w:t>
      </w:r>
      <w:r w:rsidR="007C241C" w:rsidRPr="00BC2FC2">
        <w:t xml:space="preserve">.  </w:t>
      </w:r>
      <w:r w:rsidRPr="00BC2FC2">
        <w:t xml:space="preserve">Mr. </w:t>
      </w:r>
      <w:r w:rsidR="00D72279" w:rsidRPr="00BC2FC2">
        <w:t xml:space="preserve">Brooks </w:t>
      </w:r>
      <w:r w:rsidR="00515FAB" w:rsidRPr="00BC2FC2">
        <w:t>reviewed the agenda</w:t>
      </w:r>
      <w:r w:rsidR="00484CBE">
        <w:t>.</w:t>
      </w:r>
      <w:r w:rsidR="00EA3773">
        <w:t xml:space="preserve">  </w:t>
      </w:r>
      <w:r w:rsidR="00560A99">
        <w:t xml:space="preserve">Ms. </w:t>
      </w:r>
      <w:r w:rsidR="00950242">
        <w:t>Crockett</w:t>
      </w:r>
      <w:r w:rsidR="00EA3773">
        <w:t xml:space="preserve"> moved</w:t>
      </w:r>
      <w:r w:rsidR="00560A99">
        <w:t xml:space="preserve"> to adopt the agenda.  The motion passed a simple majority vote without opposition.</w:t>
      </w:r>
    </w:p>
    <w:p w14:paraId="0B1A5095" w14:textId="3DBF6BCE" w:rsidR="002951B4" w:rsidRDefault="002951B4" w:rsidP="008F22D4">
      <w:pPr>
        <w:spacing w:after="120"/>
        <w:jc w:val="both"/>
      </w:pPr>
      <w:r>
        <w:t>The participants reviewed the draft minutes from the July 6, 2021 meeting.  One modification was made to correct a typographical error.  Ms. Crockett moved, seconded by Ms. Smith, to adopt the revised minutes as final.  The motion passed a simple majority vote without opposition.</w:t>
      </w:r>
      <w:r w:rsidR="009A59B5">
        <w:t xml:space="preserve">  The final minutes for the meeting can be viewed at the following link:</w:t>
      </w:r>
      <w:r w:rsidR="00BA3F4A">
        <w:t xml:space="preserve"> </w:t>
      </w:r>
      <w:hyperlink r:id="rId8" w:history="1">
        <w:r w:rsidR="00BA3F4A" w:rsidRPr="00A85E6C">
          <w:rPr>
            <w:rStyle w:val="Hyperlink"/>
          </w:rPr>
          <w:t>https://naesb.org//pdf4/weq_bps_rmq_bps070621fm.docx</w:t>
        </w:r>
      </w:hyperlink>
      <w:r w:rsidR="00BA3F4A">
        <w:t xml:space="preserve"> </w:t>
      </w:r>
    </w:p>
    <w:p w14:paraId="32A4CF02" w14:textId="57145545" w:rsidR="009A59B5" w:rsidRDefault="009A59B5" w:rsidP="008F22D4">
      <w:pPr>
        <w:spacing w:after="120"/>
        <w:jc w:val="both"/>
      </w:pPr>
      <w:r>
        <w:t xml:space="preserve">The participants reviewed the draft minutes from the </w:t>
      </w:r>
      <w:r>
        <w:t>April 27</w:t>
      </w:r>
      <w:r>
        <w:t xml:space="preserve">, 2021 meeting.  </w:t>
      </w:r>
      <w:r w:rsidR="00BA3F4A">
        <w:t>No modifications were offered.</w:t>
      </w:r>
      <w:r>
        <w:t xml:space="preserve">  Ms. </w:t>
      </w:r>
      <w:r w:rsidR="00BA3F4A">
        <w:t xml:space="preserve">Smith </w:t>
      </w:r>
      <w:r>
        <w:t xml:space="preserve">moved, seconded by Ms. </w:t>
      </w:r>
      <w:r w:rsidR="00BA3F4A">
        <w:t>Crockett</w:t>
      </w:r>
      <w:r>
        <w:t>, to adopt the minutes as final.  The motion passed a simple majority vote without opposition.  The final minutes for the meeting can be viewed at the following link:</w:t>
      </w:r>
      <w:r w:rsidR="00BA3F4A">
        <w:t xml:space="preserve"> </w:t>
      </w:r>
      <w:hyperlink r:id="rId9" w:history="1">
        <w:r w:rsidR="00BA3F4A" w:rsidRPr="00A85E6C">
          <w:rPr>
            <w:rStyle w:val="Hyperlink"/>
          </w:rPr>
          <w:t>https://naesb.org//pdf4/weq_bps_rmq_bps042721fm.docx</w:t>
        </w:r>
      </w:hyperlink>
      <w:r w:rsidR="00BA3F4A">
        <w:t xml:space="preserve"> </w:t>
      </w:r>
    </w:p>
    <w:p w14:paraId="19E21646" w14:textId="54D6DEF2" w:rsidR="00657445" w:rsidRPr="00657445" w:rsidRDefault="00CA1BF6" w:rsidP="004601BF">
      <w:pPr>
        <w:widowControl w:val="0"/>
        <w:numPr>
          <w:ilvl w:val="0"/>
          <w:numId w:val="11"/>
        </w:numPr>
        <w:tabs>
          <w:tab w:val="num" w:pos="720"/>
          <w:tab w:val="left" w:pos="1440"/>
        </w:tabs>
        <w:spacing w:after="120"/>
        <w:ind w:left="720"/>
        <w:jc w:val="both"/>
        <w:rPr>
          <w:bCs/>
        </w:rPr>
      </w:pPr>
      <w:r>
        <w:rPr>
          <w:b/>
          <w:bCs/>
        </w:rPr>
        <w:t>Continue to Discuss</w:t>
      </w:r>
      <w:r w:rsidR="00EA3773">
        <w:rPr>
          <w:b/>
          <w:bCs/>
        </w:rPr>
        <w:t xml:space="preserve"> 2021 R</w:t>
      </w:r>
      <w:r w:rsidR="00657445">
        <w:rPr>
          <w:b/>
          <w:bCs/>
        </w:rPr>
        <w:t xml:space="preserve">MQ Annual Plan Item </w:t>
      </w:r>
      <w:r w:rsidR="00560A99">
        <w:rPr>
          <w:b/>
          <w:bCs/>
        </w:rPr>
        <w:t>2.a</w:t>
      </w:r>
      <w:r w:rsidR="00EA3773">
        <w:rPr>
          <w:b/>
          <w:bCs/>
        </w:rPr>
        <w:t xml:space="preserve">/WEQ </w:t>
      </w:r>
      <w:r w:rsidR="00657445">
        <w:rPr>
          <w:b/>
          <w:bCs/>
        </w:rPr>
        <w:t xml:space="preserve">Annual Plan Item </w:t>
      </w:r>
      <w:r w:rsidR="00E222A2">
        <w:rPr>
          <w:b/>
          <w:bCs/>
        </w:rPr>
        <w:t>6.b.i</w:t>
      </w:r>
      <w:r w:rsidR="00657445">
        <w:rPr>
          <w:b/>
          <w:bCs/>
        </w:rPr>
        <w:t xml:space="preserve"> – Develop a standard contract to improve and automate the current voluntary REC creation, accounting, and retirement processes</w:t>
      </w:r>
    </w:p>
    <w:p w14:paraId="7ABC4003" w14:textId="7BAB6B85" w:rsidR="00237FB6" w:rsidRDefault="00CA1BF6" w:rsidP="0059244C">
      <w:pPr>
        <w:widowControl w:val="0"/>
        <w:tabs>
          <w:tab w:val="left" w:pos="1440"/>
          <w:tab w:val="right" w:pos="9000"/>
        </w:tabs>
        <w:spacing w:after="120"/>
        <w:jc w:val="both"/>
        <w:rPr>
          <w:bCs/>
        </w:rPr>
      </w:pPr>
      <w:r>
        <w:rPr>
          <w:bCs/>
        </w:rPr>
        <w:t>Mr. Brooks stated that for a recommendation to be considered by the WEQ and RMQ Executive Committees during their October 5 and 6 meetings, respectively, the recommendation must be voted out for a formal comment period by August 31, 2021.  He suggested that as work on the contract is completed, the participants consider voting out a recommendation to address 2021 RMQ Annual Plan Item 2.a/2021 WEQ Annual Plan Item 6.b.i and then continue to address the technical implementation as part of 2021 RMQ Annual Plan Item 2.b/2021 WEQ Annual Plan Item 6.</w:t>
      </w:r>
      <w:proofErr w:type="gramStart"/>
      <w:r>
        <w:rPr>
          <w:bCs/>
        </w:rPr>
        <w:t>b.ii.</w:t>
      </w:r>
      <w:proofErr w:type="gramEnd"/>
      <w:r w:rsidR="00795DCA">
        <w:rPr>
          <w:bCs/>
        </w:rPr>
        <w:t xml:space="preserve">  Ms. Crockett expressed support for Mr. Brooks suggestion.  She stated that the subcommittees should also prioritize completion of the FAQ document prior to continuing to address the technical implementation.</w:t>
      </w:r>
      <w:r w:rsidR="003509BA">
        <w:rPr>
          <w:bCs/>
        </w:rPr>
        <w:t xml:space="preserve">  There was general agreement to proceed in this manner.</w:t>
      </w:r>
    </w:p>
    <w:p w14:paraId="01F7A339" w14:textId="61B6895B" w:rsidR="00795DCA" w:rsidRDefault="003509BA" w:rsidP="0059244C">
      <w:pPr>
        <w:widowControl w:val="0"/>
        <w:tabs>
          <w:tab w:val="left" w:pos="1440"/>
          <w:tab w:val="right" w:pos="9000"/>
        </w:tabs>
        <w:spacing w:after="120"/>
        <w:jc w:val="both"/>
        <w:rPr>
          <w:bCs/>
        </w:rPr>
      </w:pPr>
      <w:r>
        <w:rPr>
          <w:bCs/>
        </w:rPr>
        <w:t>The participants reviewed the contract as modified during the previous meeting.  Minor changes were made to eliminate duplicate words, fix formatting issues, and correct typographical errors.  Mr. Brooks asked the participants to review the contract and bring any additional changes that may be necessary to the next meeting.</w:t>
      </w:r>
      <w:r w:rsidR="004E1A89">
        <w:rPr>
          <w:bCs/>
        </w:rPr>
        <w:t xml:space="preserve">  The contract as revised during the meeting is available at the following link: </w:t>
      </w:r>
      <w:hyperlink r:id="rId10" w:history="1">
        <w:r w:rsidR="004E1A89" w:rsidRPr="00A85E6C">
          <w:rPr>
            <w:rStyle w:val="Hyperlink"/>
            <w:bCs/>
          </w:rPr>
          <w:t>https://naesb.org//member_login_check.asp?doc=weq_bps_rmq_bps071921a2.doc</w:t>
        </w:r>
      </w:hyperlink>
      <w:r w:rsidR="004E1A89">
        <w:rPr>
          <w:bCs/>
        </w:rPr>
        <w:t xml:space="preserve"> </w:t>
      </w:r>
    </w:p>
    <w:p w14:paraId="2537FA2E" w14:textId="37C1D19E" w:rsidR="003509BA" w:rsidRDefault="003509BA" w:rsidP="0059244C">
      <w:pPr>
        <w:widowControl w:val="0"/>
        <w:tabs>
          <w:tab w:val="left" w:pos="1440"/>
          <w:tab w:val="right" w:pos="9000"/>
        </w:tabs>
        <w:spacing w:after="120"/>
        <w:jc w:val="both"/>
        <w:rPr>
          <w:bCs/>
        </w:rPr>
      </w:pPr>
      <w:r>
        <w:rPr>
          <w:bCs/>
        </w:rPr>
        <w:t>The participants reviewed the parking lot.</w:t>
      </w:r>
      <w:r w:rsidR="004E1A89">
        <w:rPr>
          <w:bCs/>
        </w:rPr>
        <w:t xml:space="preserve">  There was general agreement that all outstanding items related to the development of the paper contract had been resolved.  The parking lot as revised during the meeting is available at the following link: </w:t>
      </w:r>
      <w:hyperlink r:id="rId11" w:history="1">
        <w:r w:rsidR="004E1A89" w:rsidRPr="00A85E6C">
          <w:rPr>
            <w:rStyle w:val="Hyperlink"/>
            <w:bCs/>
          </w:rPr>
          <w:t>https://naesb.org//pdf4/weq_bps_rmq_bps071921a3.docx</w:t>
        </w:r>
      </w:hyperlink>
      <w:r w:rsidR="004E1A89">
        <w:rPr>
          <w:bCs/>
        </w:rPr>
        <w:t xml:space="preserve"> </w:t>
      </w:r>
    </w:p>
    <w:p w14:paraId="219374FD" w14:textId="29EB836A" w:rsidR="00F9567D" w:rsidRDefault="00F9567D" w:rsidP="0059244C">
      <w:pPr>
        <w:widowControl w:val="0"/>
        <w:tabs>
          <w:tab w:val="left" w:pos="1440"/>
          <w:tab w:val="right" w:pos="9000"/>
        </w:tabs>
        <w:spacing w:after="120"/>
        <w:jc w:val="both"/>
        <w:rPr>
          <w:bCs/>
        </w:rPr>
      </w:pPr>
      <w:r>
        <w:rPr>
          <w:bCs/>
        </w:rPr>
        <w:t xml:space="preserve">Ms. Trum stated that as part of the April 27 meeting, the subcommittees had </w:t>
      </w:r>
      <w:r w:rsidR="008C1067">
        <w:rPr>
          <w:bCs/>
        </w:rPr>
        <w:t xml:space="preserve">created a draft </w:t>
      </w:r>
      <w:hyperlink r:id="rId12" w:history="1">
        <w:r w:rsidR="008C1067" w:rsidRPr="008C1067">
          <w:rPr>
            <w:rStyle w:val="Hyperlink"/>
            <w:bCs/>
          </w:rPr>
          <w:t xml:space="preserve">NAESB Base REC </w:t>
        </w:r>
        <w:r w:rsidR="008C1067" w:rsidRPr="008C1067">
          <w:rPr>
            <w:rStyle w:val="Hyperlink"/>
            <w:bCs/>
          </w:rPr>
          <w:lastRenderedPageBreak/>
          <w:t>Contract FAQ document</w:t>
        </w:r>
      </w:hyperlink>
      <w:r w:rsidR="008C1067">
        <w:rPr>
          <w:bCs/>
        </w:rPr>
        <w:t xml:space="preserve">.  </w:t>
      </w:r>
      <w:r w:rsidR="0084230A">
        <w:rPr>
          <w:bCs/>
        </w:rPr>
        <w:t>Posted as work papers for the June 1 meeting were documents submitted by</w:t>
      </w:r>
      <w:r w:rsidR="008C1067">
        <w:rPr>
          <w:bCs/>
        </w:rPr>
        <w:t xml:space="preserve"> </w:t>
      </w:r>
      <w:hyperlink r:id="rId13" w:history="1">
        <w:r w:rsidR="008C1067" w:rsidRPr="008C1067">
          <w:rPr>
            <w:rStyle w:val="Hyperlink"/>
            <w:bCs/>
          </w:rPr>
          <w:t>Ms. Sieg</w:t>
        </w:r>
      </w:hyperlink>
      <w:r w:rsidR="008C1067">
        <w:rPr>
          <w:bCs/>
        </w:rPr>
        <w:t xml:space="preserve"> and </w:t>
      </w:r>
      <w:hyperlink r:id="rId14" w:history="1">
        <w:r w:rsidR="008C1067" w:rsidRPr="008C1067">
          <w:rPr>
            <w:rStyle w:val="Hyperlink"/>
            <w:bCs/>
          </w:rPr>
          <w:t>Ms. Crockett</w:t>
        </w:r>
      </w:hyperlink>
      <w:r w:rsidR="008C1067">
        <w:rPr>
          <w:bCs/>
        </w:rPr>
        <w:t xml:space="preserve"> </w:t>
      </w:r>
      <w:r w:rsidR="0084230A">
        <w:rPr>
          <w:bCs/>
        </w:rPr>
        <w:t>further revising the draft FAQ document</w:t>
      </w:r>
      <w:r w:rsidR="008C1067">
        <w:rPr>
          <w:bCs/>
        </w:rPr>
        <w:t>.</w:t>
      </w:r>
      <w:r w:rsidR="0084230A">
        <w:rPr>
          <w:bCs/>
        </w:rPr>
        <w:t xml:space="preserve">  The participants discussed the comments and made subsequent revisions.  Ms. Do asked that the participants review the document internally within their companies and come prepared to the next meeting to discuss any additional </w:t>
      </w:r>
      <w:r w:rsidR="00B665E2">
        <w:rPr>
          <w:bCs/>
        </w:rPr>
        <w:t xml:space="preserve">questions that should be added or further revisions.  The draft FAQ document as revised during the meeting is available at the following link: </w:t>
      </w:r>
      <w:hyperlink r:id="rId15" w:history="1">
        <w:r w:rsidR="00B665E2" w:rsidRPr="00A85E6C">
          <w:rPr>
            <w:rStyle w:val="Hyperlink"/>
            <w:bCs/>
          </w:rPr>
          <w:t>https://naesb.org//member_login_check.asp?doc=weq_bps_rmq_bps071921a1.docx</w:t>
        </w:r>
      </w:hyperlink>
      <w:r w:rsidR="00B665E2">
        <w:rPr>
          <w:bCs/>
        </w:rPr>
        <w:t xml:space="preserve"> </w:t>
      </w:r>
      <w:r w:rsidR="0084230A">
        <w:rPr>
          <w:bCs/>
        </w:rPr>
        <w:t xml:space="preserve"> </w:t>
      </w:r>
    </w:p>
    <w:p w14:paraId="22CA153E" w14:textId="01E14D42" w:rsidR="00055417" w:rsidRDefault="00055417" w:rsidP="004601BF">
      <w:pPr>
        <w:widowControl w:val="0"/>
        <w:numPr>
          <w:ilvl w:val="0"/>
          <w:numId w:val="11"/>
        </w:numPr>
        <w:tabs>
          <w:tab w:val="num" w:pos="720"/>
          <w:tab w:val="left" w:pos="1440"/>
        </w:tabs>
        <w:spacing w:after="120"/>
        <w:ind w:left="720"/>
        <w:jc w:val="both"/>
        <w:rPr>
          <w:b/>
        </w:rPr>
      </w:pPr>
      <w:r w:rsidRPr="00055417">
        <w:rPr>
          <w:b/>
        </w:rPr>
        <w:t xml:space="preserve">Continue to discuss 2021 RMQ Annual Plan Item </w:t>
      </w:r>
      <w:proofErr w:type="gramStart"/>
      <w:r w:rsidRPr="00055417">
        <w:rPr>
          <w:b/>
        </w:rPr>
        <w:t>2.b</w:t>
      </w:r>
      <w:proofErr w:type="gramEnd"/>
      <w:r w:rsidRPr="00055417">
        <w:rPr>
          <w:b/>
        </w:rPr>
        <w:t>/2021 WEQ Annual Plan Item 6.b.ii – Develop technical implementation business practice standards to support automation of the current REC creation, accounting and retirement processes for voluntary markets consistent with the Base Contract for Sale and Purchase of REC</w:t>
      </w:r>
    </w:p>
    <w:p w14:paraId="3B5D9AA5" w14:textId="2C9422D6" w:rsidR="001310C7" w:rsidRPr="001310C7" w:rsidRDefault="00B665E2" w:rsidP="001310C7">
      <w:pPr>
        <w:widowControl w:val="0"/>
        <w:tabs>
          <w:tab w:val="left" w:pos="1440"/>
        </w:tabs>
        <w:spacing w:after="120"/>
        <w:jc w:val="both"/>
        <w:rPr>
          <w:bCs/>
        </w:rPr>
      </w:pPr>
      <w:r>
        <w:rPr>
          <w:bCs/>
        </w:rPr>
        <w:t xml:space="preserve">Ms. Crockett stated that she had submitted two work papers for the meeting, </w:t>
      </w:r>
      <w:hyperlink r:id="rId16" w:history="1">
        <w:r w:rsidRPr="00B665E2">
          <w:rPr>
            <w:rStyle w:val="Hyperlink"/>
            <w:bCs/>
          </w:rPr>
          <w:t>REC Data Elements Data Dictionary</w:t>
        </w:r>
      </w:hyperlink>
      <w:r>
        <w:rPr>
          <w:bCs/>
        </w:rPr>
        <w:t xml:space="preserve"> and the </w:t>
      </w:r>
      <w:hyperlink r:id="rId17" w:history="1">
        <w:r w:rsidRPr="00B665E2">
          <w:rPr>
            <w:rStyle w:val="Hyperlink"/>
            <w:bCs/>
          </w:rPr>
          <w:t>WGQ Datasets for REC Application</w:t>
        </w:r>
      </w:hyperlink>
      <w:r>
        <w:rPr>
          <w:bCs/>
        </w:rPr>
        <w:t>, addressing technical implementation.  The participants agreed to discuss these documents in more detail once a recommendation was completed for 2021 RMQ Annual Plan Item 2.</w:t>
      </w:r>
      <w:r w:rsidR="003C131E">
        <w:rPr>
          <w:bCs/>
        </w:rPr>
        <w:t>a</w:t>
      </w:r>
      <w:r>
        <w:rPr>
          <w:bCs/>
        </w:rPr>
        <w:t>/2021 WEQ Annual Plan Item 6.b.i</w:t>
      </w:r>
    </w:p>
    <w:p w14:paraId="74CA7807" w14:textId="366A3042" w:rsidR="003A1610" w:rsidRPr="003A1610" w:rsidRDefault="003A1610" w:rsidP="004601BF">
      <w:pPr>
        <w:widowControl w:val="0"/>
        <w:numPr>
          <w:ilvl w:val="0"/>
          <w:numId w:val="11"/>
        </w:numPr>
        <w:tabs>
          <w:tab w:val="num" w:pos="720"/>
          <w:tab w:val="left" w:pos="1440"/>
        </w:tabs>
        <w:spacing w:after="120"/>
        <w:ind w:left="720"/>
        <w:jc w:val="both"/>
        <w:rPr>
          <w:bCs/>
        </w:rPr>
      </w:pPr>
      <w:r>
        <w:rPr>
          <w:b/>
          <w:bCs/>
        </w:rPr>
        <w:t xml:space="preserve">Discuss </w:t>
      </w:r>
      <w:r w:rsidR="0026341B">
        <w:rPr>
          <w:b/>
          <w:bCs/>
        </w:rPr>
        <w:t>Next Steps</w:t>
      </w:r>
      <w:r>
        <w:rPr>
          <w:b/>
          <w:bCs/>
        </w:rPr>
        <w:t xml:space="preserve"> and Future Meetings</w:t>
      </w:r>
    </w:p>
    <w:p w14:paraId="5ED899D1" w14:textId="55B647C5" w:rsidR="00E55A1E" w:rsidRDefault="003C131E" w:rsidP="004601BF">
      <w:pPr>
        <w:widowControl w:val="0"/>
        <w:tabs>
          <w:tab w:val="left" w:pos="1440"/>
        </w:tabs>
        <w:spacing w:after="120"/>
        <w:jc w:val="both"/>
        <w:rPr>
          <w:bCs/>
        </w:rPr>
      </w:pPr>
      <w:r>
        <w:rPr>
          <w:bCs/>
        </w:rPr>
        <w:t xml:space="preserve">Ms. Do asked that the participants come prepared to the next meeting to discuss and potentially vote on a recommendation for </w:t>
      </w:r>
      <w:r>
        <w:rPr>
          <w:bCs/>
        </w:rPr>
        <w:t>2021 RMQ Annual Plan Item 2.a/2021 WEQ Annual Plan Item 6.b.i</w:t>
      </w:r>
      <w:r>
        <w:rPr>
          <w:bCs/>
        </w:rPr>
        <w:t>.  She stated that participants should review the paper contract and the FAQ document and come prepared to discuss.</w:t>
      </w:r>
    </w:p>
    <w:p w14:paraId="3691BDEB" w14:textId="77777777" w:rsidR="00171CE0" w:rsidRPr="00321771" w:rsidRDefault="00C44C62" w:rsidP="00A117FE">
      <w:pPr>
        <w:widowControl w:val="0"/>
        <w:numPr>
          <w:ilvl w:val="0"/>
          <w:numId w:val="11"/>
        </w:numPr>
        <w:tabs>
          <w:tab w:val="num" w:pos="720"/>
          <w:tab w:val="left" w:pos="1440"/>
        </w:tabs>
        <w:spacing w:after="120"/>
        <w:ind w:left="0" w:firstLine="0"/>
        <w:jc w:val="both"/>
        <w:rPr>
          <w:b/>
          <w:bCs/>
        </w:rPr>
      </w:pPr>
      <w:r w:rsidRPr="00321771">
        <w:rPr>
          <w:b/>
          <w:bCs/>
        </w:rPr>
        <w:t>Adjourn</w:t>
      </w:r>
    </w:p>
    <w:p w14:paraId="102FB5CB" w14:textId="26BF1F43" w:rsidR="000D609A" w:rsidRPr="00321771" w:rsidRDefault="000F6131" w:rsidP="00A117FE">
      <w:pPr>
        <w:widowControl w:val="0"/>
        <w:tabs>
          <w:tab w:val="left" w:pos="1440"/>
        </w:tabs>
        <w:spacing w:after="120"/>
        <w:jc w:val="both"/>
        <w:rPr>
          <w:bCs/>
        </w:rPr>
      </w:pPr>
      <w:r>
        <w:rPr>
          <w:bCs/>
        </w:rPr>
        <w:t xml:space="preserve">The meeting adjourned </w:t>
      </w:r>
      <w:r w:rsidR="009325D8">
        <w:rPr>
          <w:bCs/>
        </w:rPr>
        <w:t xml:space="preserve">by consensus </w:t>
      </w:r>
      <w:r>
        <w:rPr>
          <w:bCs/>
        </w:rPr>
        <w:t xml:space="preserve">at </w:t>
      </w:r>
      <w:r w:rsidR="003C131E">
        <w:rPr>
          <w:bCs/>
        </w:rPr>
        <w:t>11:22 AM</w:t>
      </w:r>
      <w:r w:rsidR="00E90780">
        <w:rPr>
          <w:bCs/>
        </w:rPr>
        <w:t xml:space="preserve"> Central</w:t>
      </w:r>
      <w:r w:rsidR="003C131E">
        <w:rPr>
          <w:bCs/>
        </w:rPr>
        <w:t xml:space="preserve"> on a motion by Ms. Crockett, seconded by Ms. </w:t>
      </w:r>
      <w:proofErr w:type="spellStart"/>
      <w:r w:rsidR="003C131E">
        <w:rPr>
          <w:bCs/>
        </w:rPr>
        <w:t>Seig</w:t>
      </w:r>
      <w:proofErr w:type="spellEnd"/>
      <w:r w:rsidR="003C131E">
        <w:rPr>
          <w:bCs/>
        </w:rPr>
        <w:t>.</w:t>
      </w:r>
    </w:p>
    <w:p w14:paraId="1F76EEAC" w14:textId="4E5A2020" w:rsidR="000A4BFF" w:rsidRPr="008A5A5E" w:rsidRDefault="00C44C62" w:rsidP="009325D8">
      <w:pPr>
        <w:keepNext/>
        <w:keepLines/>
        <w:widowControl w:val="0"/>
        <w:numPr>
          <w:ilvl w:val="0"/>
          <w:numId w:val="11"/>
        </w:numPr>
        <w:tabs>
          <w:tab w:val="num" w:pos="720"/>
          <w:tab w:val="left" w:pos="1440"/>
        </w:tabs>
        <w:spacing w:before="120"/>
        <w:ind w:left="0" w:firstLine="0"/>
        <w:jc w:val="both"/>
        <w:rPr>
          <w:b/>
          <w:bCs/>
        </w:rPr>
      </w:pPr>
      <w:r w:rsidRPr="00321771">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9325D8">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Organization</w:t>
            </w:r>
          </w:p>
        </w:tc>
      </w:tr>
      <w:tr w:rsidR="00B33F8A" w:rsidRPr="00286562" w14:paraId="70EA6CDE" w14:textId="77777777" w:rsidTr="001262CB">
        <w:tc>
          <w:tcPr>
            <w:tcW w:w="1998" w:type="dxa"/>
            <w:tcMar>
              <w:top w:w="0" w:type="dxa"/>
              <w:left w:w="108" w:type="dxa"/>
              <w:bottom w:w="0" w:type="dxa"/>
              <w:right w:w="108" w:type="dxa"/>
            </w:tcMar>
          </w:tcPr>
          <w:p w14:paraId="27DACC30" w14:textId="3E242C40" w:rsidR="00B33F8A" w:rsidRPr="007B1CA8" w:rsidRDefault="00B33F8A" w:rsidP="009325D8">
            <w:pPr>
              <w:keepNext/>
              <w:keepLines/>
              <w:spacing w:before="120"/>
              <w:rPr>
                <w:bCs/>
              </w:rPr>
            </w:pPr>
            <w:bookmarkStart w:id="0" w:name="_Hlk77687361"/>
            <w:r w:rsidRPr="007B1CA8">
              <w:rPr>
                <w:bCs/>
              </w:rPr>
              <w:t>Dawna</w:t>
            </w:r>
          </w:p>
        </w:tc>
        <w:tc>
          <w:tcPr>
            <w:tcW w:w="3240" w:type="dxa"/>
            <w:tcMar>
              <w:top w:w="0" w:type="dxa"/>
              <w:left w:w="108" w:type="dxa"/>
              <w:bottom w:w="0" w:type="dxa"/>
              <w:right w:w="108" w:type="dxa"/>
            </w:tcMar>
          </w:tcPr>
          <w:p w14:paraId="0FD8287B" w14:textId="513CAE55" w:rsidR="00B33F8A" w:rsidRPr="007B1CA8" w:rsidRDefault="00B33F8A" w:rsidP="009325D8">
            <w:pPr>
              <w:keepNext/>
              <w:keepLines/>
              <w:spacing w:before="120"/>
              <w:rPr>
                <w:bCs/>
              </w:rPr>
            </w:pPr>
            <w:r w:rsidRPr="007B1CA8">
              <w:rPr>
                <w:bCs/>
              </w:rPr>
              <w:t>Aragon</w:t>
            </w:r>
          </w:p>
        </w:tc>
        <w:tc>
          <w:tcPr>
            <w:tcW w:w="3870" w:type="dxa"/>
            <w:tcMar>
              <w:top w:w="0" w:type="dxa"/>
              <w:left w:w="108" w:type="dxa"/>
              <w:bottom w:w="0" w:type="dxa"/>
              <w:right w:w="108" w:type="dxa"/>
            </w:tcMar>
          </w:tcPr>
          <w:p w14:paraId="72959E65" w14:textId="747A043C" w:rsidR="00B33F8A" w:rsidRPr="007B1CA8" w:rsidRDefault="00B33F8A" w:rsidP="009325D8">
            <w:pPr>
              <w:keepNext/>
              <w:keepLines/>
              <w:spacing w:before="120"/>
              <w:rPr>
                <w:bCs/>
              </w:rPr>
            </w:pPr>
            <w:r w:rsidRPr="007B1CA8">
              <w:rPr>
                <w:bCs/>
              </w:rPr>
              <w:t>TVA</w:t>
            </w:r>
          </w:p>
        </w:tc>
      </w:tr>
      <w:tr w:rsidR="00B73540" w:rsidRPr="00286562" w14:paraId="5A4E7F5B" w14:textId="77777777" w:rsidTr="001262CB">
        <w:tc>
          <w:tcPr>
            <w:tcW w:w="1998" w:type="dxa"/>
            <w:tcMar>
              <w:top w:w="0" w:type="dxa"/>
              <w:left w:w="108" w:type="dxa"/>
              <w:bottom w:w="0" w:type="dxa"/>
              <w:right w:w="108" w:type="dxa"/>
            </w:tcMar>
          </w:tcPr>
          <w:p w14:paraId="3AF39EB6" w14:textId="11CC2588" w:rsidR="00B73540" w:rsidRPr="003C131E" w:rsidRDefault="00B73540" w:rsidP="009325D8">
            <w:pPr>
              <w:keepNext/>
              <w:keepLines/>
              <w:spacing w:before="120"/>
              <w:rPr>
                <w:bCs/>
              </w:rPr>
            </w:pPr>
            <w:r w:rsidRPr="003C131E">
              <w:rPr>
                <w:bCs/>
              </w:rPr>
              <w:t>Dick</w:t>
            </w:r>
          </w:p>
        </w:tc>
        <w:tc>
          <w:tcPr>
            <w:tcW w:w="3240" w:type="dxa"/>
            <w:tcMar>
              <w:top w:w="0" w:type="dxa"/>
              <w:left w:w="108" w:type="dxa"/>
              <w:bottom w:w="0" w:type="dxa"/>
              <w:right w:w="108" w:type="dxa"/>
            </w:tcMar>
          </w:tcPr>
          <w:p w14:paraId="2F1C782C" w14:textId="22559C14" w:rsidR="00B73540" w:rsidRPr="003C131E" w:rsidRDefault="00B73540" w:rsidP="009325D8">
            <w:pPr>
              <w:keepNext/>
              <w:keepLines/>
              <w:spacing w:before="120"/>
              <w:rPr>
                <w:bCs/>
              </w:rPr>
            </w:pPr>
            <w:r w:rsidRPr="003C131E">
              <w:rPr>
                <w:bCs/>
              </w:rPr>
              <w:t>Brooks</w:t>
            </w:r>
          </w:p>
        </w:tc>
        <w:tc>
          <w:tcPr>
            <w:tcW w:w="3870" w:type="dxa"/>
            <w:tcMar>
              <w:top w:w="0" w:type="dxa"/>
              <w:left w:w="108" w:type="dxa"/>
              <w:bottom w:w="0" w:type="dxa"/>
              <w:right w:w="108" w:type="dxa"/>
            </w:tcMar>
          </w:tcPr>
          <w:p w14:paraId="723AF178" w14:textId="4EDC170E" w:rsidR="00B73540" w:rsidRPr="003C131E" w:rsidRDefault="00B73540" w:rsidP="009325D8">
            <w:pPr>
              <w:keepNext/>
              <w:keepLines/>
              <w:spacing w:before="120"/>
              <w:rPr>
                <w:bCs/>
              </w:rPr>
            </w:pPr>
            <w:r w:rsidRPr="003C131E">
              <w:rPr>
                <w:bCs/>
              </w:rPr>
              <w:t>Reliable Energy Analytics</w:t>
            </w:r>
          </w:p>
        </w:tc>
      </w:tr>
      <w:tr w:rsidR="00045486" w:rsidRPr="00286562" w14:paraId="19CD1F0A" w14:textId="77777777" w:rsidTr="001262CB">
        <w:tc>
          <w:tcPr>
            <w:tcW w:w="1998" w:type="dxa"/>
            <w:tcMar>
              <w:top w:w="0" w:type="dxa"/>
              <w:left w:w="108" w:type="dxa"/>
              <w:bottom w:w="0" w:type="dxa"/>
              <w:right w:w="108" w:type="dxa"/>
            </w:tcMar>
          </w:tcPr>
          <w:p w14:paraId="1662CCC4" w14:textId="79875AA9" w:rsidR="00045486" w:rsidRPr="007B1CA8" w:rsidRDefault="00045486" w:rsidP="009325D8">
            <w:pPr>
              <w:keepNext/>
              <w:keepLines/>
              <w:spacing w:before="120"/>
              <w:rPr>
                <w:bCs/>
              </w:rPr>
            </w:pPr>
            <w:r w:rsidRPr="007B1CA8">
              <w:rPr>
                <w:bCs/>
              </w:rPr>
              <w:t>Christopher</w:t>
            </w:r>
          </w:p>
        </w:tc>
        <w:tc>
          <w:tcPr>
            <w:tcW w:w="3240" w:type="dxa"/>
            <w:tcMar>
              <w:top w:w="0" w:type="dxa"/>
              <w:left w:w="108" w:type="dxa"/>
              <w:bottom w:w="0" w:type="dxa"/>
              <w:right w:w="108" w:type="dxa"/>
            </w:tcMar>
          </w:tcPr>
          <w:p w14:paraId="67562982" w14:textId="419976FD" w:rsidR="00045486" w:rsidRPr="007B1CA8" w:rsidRDefault="00045486" w:rsidP="009325D8">
            <w:pPr>
              <w:keepNext/>
              <w:keepLines/>
              <w:spacing w:before="120"/>
              <w:rPr>
                <w:bCs/>
              </w:rPr>
            </w:pPr>
            <w:r w:rsidRPr="007B1CA8">
              <w:rPr>
                <w:bCs/>
              </w:rPr>
              <w:t>Burden</w:t>
            </w:r>
          </w:p>
        </w:tc>
        <w:tc>
          <w:tcPr>
            <w:tcW w:w="3870" w:type="dxa"/>
            <w:tcMar>
              <w:top w:w="0" w:type="dxa"/>
              <w:left w:w="108" w:type="dxa"/>
              <w:bottom w:w="0" w:type="dxa"/>
              <w:right w:w="108" w:type="dxa"/>
            </w:tcMar>
          </w:tcPr>
          <w:p w14:paraId="6F8343CE" w14:textId="5442853D" w:rsidR="00045486" w:rsidRPr="007B1CA8" w:rsidRDefault="00045486" w:rsidP="009325D8">
            <w:pPr>
              <w:keepNext/>
              <w:keepLines/>
              <w:spacing w:before="120"/>
              <w:rPr>
                <w:bCs/>
              </w:rPr>
            </w:pPr>
            <w:r w:rsidRPr="007B1CA8">
              <w:rPr>
                <w:bCs/>
              </w:rPr>
              <w:t>Enbridge</w:t>
            </w:r>
          </w:p>
        </w:tc>
      </w:tr>
      <w:tr w:rsidR="00045486" w:rsidRPr="00286562" w14:paraId="30F5E984" w14:textId="77777777" w:rsidTr="001262CB">
        <w:tc>
          <w:tcPr>
            <w:tcW w:w="1998" w:type="dxa"/>
            <w:tcMar>
              <w:top w:w="0" w:type="dxa"/>
              <w:left w:w="108" w:type="dxa"/>
              <w:bottom w:w="0" w:type="dxa"/>
              <w:right w:w="108" w:type="dxa"/>
            </w:tcMar>
          </w:tcPr>
          <w:p w14:paraId="60B5ED6D" w14:textId="109A2C38" w:rsidR="00045486" w:rsidRPr="007B1CA8" w:rsidRDefault="00045486" w:rsidP="009325D8">
            <w:pPr>
              <w:keepNext/>
              <w:keepLines/>
              <w:spacing w:before="120"/>
              <w:rPr>
                <w:bCs/>
              </w:rPr>
            </w:pPr>
            <w:r w:rsidRPr="007B1CA8">
              <w:rPr>
                <w:bCs/>
              </w:rPr>
              <w:t>David</w:t>
            </w:r>
          </w:p>
        </w:tc>
        <w:tc>
          <w:tcPr>
            <w:tcW w:w="3240" w:type="dxa"/>
            <w:tcMar>
              <w:top w:w="0" w:type="dxa"/>
              <w:left w:w="108" w:type="dxa"/>
              <w:bottom w:w="0" w:type="dxa"/>
              <w:right w:w="108" w:type="dxa"/>
            </w:tcMar>
          </w:tcPr>
          <w:p w14:paraId="3E62661C" w14:textId="6313F174" w:rsidR="00045486" w:rsidRPr="007B1CA8" w:rsidRDefault="00045486" w:rsidP="009325D8">
            <w:pPr>
              <w:keepNext/>
              <w:keepLines/>
              <w:spacing w:before="120"/>
              <w:rPr>
                <w:bCs/>
              </w:rPr>
            </w:pPr>
            <w:r w:rsidRPr="007B1CA8">
              <w:rPr>
                <w:bCs/>
              </w:rPr>
              <w:t>Crabtree</w:t>
            </w:r>
          </w:p>
        </w:tc>
        <w:tc>
          <w:tcPr>
            <w:tcW w:w="3870" w:type="dxa"/>
            <w:tcMar>
              <w:top w:w="0" w:type="dxa"/>
              <w:left w:w="108" w:type="dxa"/>
              <w:bottom w:w="0" w:type="dxa"/>
              <w:right w:w="108" w:type="dxa"/>
            </w:tcMar>
          </w:tcPr>
          <w:p w14:paraId="5FF40F25" w14:textId="3BDDBD3F" w:rsidR="00045486" w:rsidRPr="007B1CA8" w:rsidRDefault="00045486" w:rsidP="009325D8">
            <w:pPr>
              <w:keepNext/>
              <w:keepLines/>
              <w:spacing w:before="120"/>
              <w:rPr>
                <w:bCs/>
              </w:rPr>
            </w:pPr>
            <w:r w:rsidRPr="007B1CA8">
              <w:rPr>
                <w:bCs/>
              </w:rPr>
              <w:t>Tampa Electric</w:t>
            </w:r>
          </w:p>
        </w:tc>
      </w:tr>
      <w:tr w:rsidR="00B73540" w:rsidRPr="00286562" w14:paraId="5B028CFC" w14:textId="77777777" w:rsidTr="001262CB">
        <w:tc>
          <w:tcPr>
            <w:tcW w:w="1998" w:type="dxa"/>
            <w:tcMar>
              <w:top w:w="0" w:type="dxa"/>
              <w:left w:w="108" w:type="dxa"/>
              <w:bottom w:w="0" w:type="dxa"/>
              <w:right w:w="108" w:type="dxa"/>
            </w:tcMar>
          </w:tcPr>
          <w:p w14:paraId="33E6C443" w14:textId="760D3648" w:rsidR="00B73540" w:rsidRPr="007B1CA8" w:rsidRDefault="00B73540" w:rsidP="009325D8">
            <w:pPr>
              <w:keepNext/>
              <w:keepLines/>
              <w:spacing w:before="120"/>
              <w:rPr>
                <w:bCs/>
              </w:rPr>
            </w:pPr>
            <w:r w:rsidRPr="007B1CA8">
              <w:rPr>
                <w:bCs/>
              </w:rPr>
              <w:t>Valerie</w:t>
            </w:r>
          </w:p>
        </w:tc>
        <w:tc>
          <w:tcPr>
            <w:tcW w:w="3240" w:type="dxa"/>
            <w:tcMar>
              <w:top w:w="0" w:type="dxa"/>
              <w:left w:w="108" w:type="dxa"/>
              <w:bottom w:w="0" w:type="dxa"/>
              <w:right w:w="108" w:type="dxa"/>
            </w:tcMar>
          </w:tcPr>
          <w:p w14:paraId="37040E97" w14:textId="3EC1D86B" w:rsidR="00B73540" w:rsidRPr="007B1CA8" w:rsidRDefault="00B73540" w:rsidP="009325D8">
            <w:pPr>
              <w:keepNext/>
              <w:keepLines/>
              <w:spacing w:before="120"/>
              <w:rPr>
                <w:bCs/>
              </w:rPr>
            </w:pPr>
            <w:r w:rsidRPr="007B1CA8">
              <w:rPr>
                <w:bCs/>
              </w:rPr>
              <w:t>Crockett</w:t>
            </w:r>
          </w:p>
        </w:tc>
        <w:tc>
          <w:tcPr>
            <w:tcW w:w="3870" w:type="dxa"/>
            <w:tcMar>
              <w:top w:w="0" w:type="dxa"/>
              <w:left w:w="108" w:type="dxa"/>
              <w:bottom w:w="0" w:type="dxa"/>
              <w:right w:w="108" w:type="dxa"/>
            </w:tcMar>
          </w:tcPr>
          <w:p w14:paraId="31B07EF0" w14:textId="3ABE20E3" w:rsidR="00B73540" w:rsidRPr="007B1CA8" w:rsidRDefault="00B73540" w:rsidP="009325D8">
            <w:pPr>
              <w:keepNext/>
              <w:keepLines/>
              <w:spacing w:before="120"/>
              <w:rPr>
                <w:bCs/>
              </w:rPr>
            </w:pPr>
            <w:r w:rsidRPr="007B1CA8">
              <w:rPr>
                <w:bCs/>
              </w:rPr>
              <w:t>TVA</w:t>
            </w:r>
          </w:p>
        </w:tc>
      </w:tr>
      <w:tr w:rsidR="002E0518" w:rsidRPr="00286562" w14:paraId="0393CB2D" w14:textId="77777777" w:rsidTr="001262CB">
        <w:tc>
          <w:tcPr>
            <w:tcW w:w="1998" w:type="dxa"/>
            <w:tcMar>
              <w:top w:w="0" w:type="dxa"/>
              <w:left w:w="108" w:type="dxa"/>
              <w:bottom w:w="0" w:type="dxa"/>
              <w:right w:w="108" w:type="dxa"/>
            </w:tcMar>
          </w:tcPr>
          <w:p w14:paraId="134400C8" w14:textId="3DA02281" w:rsidR="002E0518" w:rsidRPr="003C131E" w:rsidRDefault="002E0518" w:rsidP="009325D8">
            <w:pPr>
              <w:keepNext/>
              <w:keepLines/>
              <w:spacing w:before="120"/>
              <w:rPr>
                <w:bCs/>
              </w:rPr>
            </w:pPr>
            <w:r w:rsidRPr="003C131E">
              <w:rPr>
                <w:bCs/>
              </w:rPr>
              <w:t>Mary</w:t>
            </w:r>
          </w:p>
        </w:tc>
        <w:tc>
          <w:tcPr>
            <w:tcW w:w="3240" w:type="dxa"/>
            <w:tcMar>
              <w:top w:w="0" w:type="dxa"/>
              <w:left w:w="108" w:type="dxa"/>
              <w:bottom w:w="0" w:type="dxa"/>
              <w:right w:w="108" w:type="dxa"/>
            </w:tcMar>
          </w:tcPr>
          <w:p w14:paraId="32DEC0F7" w14:textId="3805419B" w:rsidR="002E0518" w:rsidRPr="003C131E" w:rsidRDefault="002E0518" w:rsidP="009325D8">
            <w:pPr>
              <w:keepNext/>
              <w:keepLines/>
              <w:spacing w:before="120"/>
              <w:rPr>
                <w:bCs/>
              </w:rPr>
            </w:pPr>
            <w:r w:rsidRPr="003C131E">
              <w:rPr>
                <w:bCs/>
              </w:rPr>
              <w:t>Do</w:t>
            </w:r>
          </w:p>
        </w:tc>
        <w:tc>
          <w:tcPr>
            <w:tcW w:w="3870" w:type="dxa"/>
            <w:tcMar>
              <w:top w:w="0" w:type="dxa"/>
              <w:left w:w="108" w:type="dxa"/>
              <w:bottom w:w="0" w:type="dxa"/>
              <w:right w:w="108" w:type="dxa"/>
            </w:tcMar>
          </w:tcPr>
          <w:p w14:paraId="269D8213" w14:textId="112070FF" w:rsidR="002E0518" w:rsidRPr="003C131E" w:rsidRDefault="008B00FD" w:rsidP="009325D8">
            <w:pPr>
              <w:keepNext/>
              <w:keepLines/>
              <w:spacing w:before="120"/>
              <w:rPr>
                <w:bCs/>
              </w:rPr>
            </w:pPr>
            <w:r w:rsidRPr="003C131E">
              <w:rPr>
                <w:bCs/>
              </w:rPr>
              <w:t>Agility CIS</w:t>
            </w:r>
          </w:p>
        </w:tc>
      </w:tr>
      <w:tr w:rsidR="007B1CA8" w:rsidRPr="00286562" w14:paraId="3AA87C1C" w14:textId="77777777" w:rsidTr="001262CB">
        <w:tc>
          <w:tcPr>
            <w:tcW w:w="1998" w:type="dxa"/>
            <w:tcMar>
              <w:top w:w="0" w:type="dxa"/>
              <w:left w:w="108" w:type="dxa"/>
              <w:bottom w:w="0" w:type="dxa"/>
              <w:right w:w="108" w:type="dxa"/>
            </w:tcMar>
          </w:tcPr>
          <w:p w14:paraId="78AC0E13" w14:textId="21582A14" w:rsidR="007B1CA8" w:rsidRPr="007B1CA8" w:rsidRDefault="007B1CA8" w:rsidP="009325D8">
            <w:pPr>
              <w:keepNext/>
              <w:keepLines/>
              <w:spacing w:before="120"/>
              <w:rPr>
                <w:bCs/>
              </w:rPr>
            </w:pPr>
            <w:r>
              <w:rPr>
                <w:bCs/>
              </w:rPr>
              <w:t>John</w:t>
            </w:r>
          </w:p>
        </w:tc>
        <w:tc>
          <w:tcPr>
            <w:tcW w:w="3240" w:type="dxa"/>
            <w:tcMar>
              <w:top w:w="0" w:type="dxa"/>
              <w:left w:w="108" w:type="dxa"/>
              <w:bottom w:w="0" w:type="dxa"/>
              <w:right w:w="108" w:type="dxa"/>
            </w:tcMar>
          </w:tcPr>
          <w:p w14:paraId="7BA4E98F" w14:textId="78DA7ECE" w:rsidR="007B1CA8" w:rsidRPr="007B1CA8" w:rsidRDefault="007B1CA8" w:rsidP="009325D8">
            <w:pPr>
              <w:keepNext/>
              <w:keepLines/>
              <w:spacing w:before="120"/>
              <w:rPr>
                <w:bCs/>
              </w:rPr>
            </w:pPr>
            <w:r>
              <w:rPr>
                <w:bCs/>
              </w:rPr>
              <w:t>Fitzgerald</w:t>
            </w:r>
          </w:p>
        </w:tc>
        <w:tc>
          <w:tcPr>
            <w:tcW w:w="3870" w:type="dxa"/>
            <w:tcMar>
              <w:top w:w="0" w:type="dxa"/>
              <w:left w:w="108" w:type="dxa"/>
              <w:bottom w:w="0" w:type="dxa"/>
              <w:right w:w="108" w:type="dxa"/>
            </w:tcMar>
          </w:tcPr>
          <w:p w14:paraId="00A0FA21" w14:textId="2DB7C56C" w:rsidR="007B1CA8" w:rsidRPr="007B1CA8" w:rsidRDefault="007B1CA8" w:rsidP="009325D8">
            <w:pPr>
              <w:keepNext/>
              <w:keepLines/>
              <w:spacing w:before="120"/>
              <w:rPr>
                <w:bCs/>
              </w:rPr>
            </w:pPr>
            <w:r>
              <w:rPr>
                <w:bCs/>
              </w:rPr>
              <w:t>TVA</w:t>
            </w:r>
          </w:p>
        </w:tc>
      </w:tr>
      <w:tr w:rsidR="00B73540" w:rsidRPr="00286562" w14:paraId="5C4BA2B9" w14:textId="77777777" w:rsidTr="001262CB">
        <w:tc>
          <w:tcPr>
            <w:tcW w:w="1998" w:type="dxa"/>
            <w:tcMar>
              <w:top w:w="0" w:type="dxa"/>
              <w:left w:w="108" w:type="dxa"/>
              <w:bottom w:w="0" w:type="dxa"/>
              <w:right w:w="108" w:type="dxa"/>
            </w:tcMar>
          </w:tcPr>
          <w:p w14:paraId="498DA0AB" w14:textId="24F4DAC0" w:rsidR="00B73540" w:rsidRPr="007B1CA8" w:rsidRDefault="00B73540" w:rsidP="009325D8">
            <w:pPr>
              <w:keepNext/>
              <w:keepLines/>
              <w:spacing w:before="120"/>
              <w:rPr>
                <w:bCs/>
              </w:rPr>
            </w:pPr>
            <w:r w:rsidRPr="007B1CA8">
              <w:rPr>
                <w:bCs/>
              </w:rPr>
              <w:t>Patrick</w:t>
            </w:r>
          </w:p>
        </w:tc>
        <w:tc>
          <w:tcPr>
            <w:tcW w:w="3240" w:type="dxa"/>
            <w:tcMar>
              <w:top w:w="0" w:type="dxa"/>
              <w:left w:w="108" w:type="dxa"/>
              <w:bottom w:w="0" w:type="dxa"/>
              <w:right w:w="108" w:type="dxa"/>
            </w:tcMar>
          </w:tcPr>
          <w:p w14:paraId="59599DB5" w14:textId="015FEB6B" w:rsidR="00B73540" w:rsidRPr="007B1CA8" w:rsidRDefault="00B73540" w:rsidP="009325D8">
            <w:pPr>
              <w:keepNext/>
              <w:keepLines/>
              <w:spacing w:before="120"/>
              <w:rPr>
                <w:bCs/>
              </w:rPr>
            </w:pPr>
            <w:r w:rsidRPr="007B1CA8">
              <w:rPr>
                <w:bCs/>
              </w:rPr>
              <w:t>Foley</w:t>
            </w:r>
          </w:p>
        </w:tc>
        <w:tc>
          <w:tcPr>
            <w:tcW w:w="3870" w:type="dxa"/>
            <w:tcMar>
              <w:top w:w="0" w:type="dxa"/>
              <w:left w:w="108" w:type="dxa"/>
              <w:bottom w:w="0" w:type="dxa"/>
              <w:right w:w="108" w:type="dxa"/>
            </w:tcMar>
          </w:tcPr>
          <w:p w14:paraId="5E040BF5" w14:textId="6058C53B" w:rsidR="00B73540" w:rsidRPr="007B1CA8" w:rsidRDefault="00B73540" w:rsidP="009325D8">
            <w:pPr>
              <w:keepNext/>
              <w:keepLines/>
              <w:spacing w:before="120"/>
              <w:rPr>
                <w:bCs/>
              </w:rPr>
            </w:pPr>
            <w:r w:rsidRPr="007B1CA8">
              <w:rPr>
                <w:bCs/>
              </w:rPr>
              <w:t>NV Energy</w:t>
            </w:r>
          </w:p>
        </w:tc>
      </w:tr>
      <w:tr w:rsidR="00672DA9" w:rsidRPr="00286562" w14:paraId="7D1FE563" w14:textId="77777777" w:rsidTr="001262CB">
        <w:tc>
          <w:tcPr>
            <w:tcW w:w="1998" w:type="dxa"/>
            <w:tcMar>
              <w:top w:w="0" w:type="dxa"/>
              <w:left w:w="108" w:type="dxa"/>
              <w:bottom w:w="0" w:type="dxa"/>
              <w:right w:w="108" w:type="dxa"/>
            </w:tcMar>
          </w:tcPr>
          <w:p w14:paraId="6CB2C439" w14:textId="08A94960" w:rsidR="00672DA9" w:rsidRPr="003C131E" w:rsidRDefault="00672DA9" w:rsidP="009325D8">
            <w:pPr>
              <w:keepNext/>
              <w:keepLines/>
              <w:spacing w:before="120"/>
              <w:rPr>
                <w:bCs/>
              </w:rPr>
            </w:pPr>
            <w:r w:rsidRPr="003C131E">
              <w:rPr>
                <w:bCs/>
              </w:rPr>
              <w:t>Elizabeth</w:t>
            </w:r>
          </w:p>
        </w:tc>
        <w:tc>
          <w:tcPr>
            <w:tcW w:w="3240" w:type="dxa"/>
            <w:tcMar>
              <w:top w:w="0" w:type="dxa"/>
              <w:left w:w="108" w:type="dxa"/>
              <w:bottom w:w="0" w:type="dxa"/>
              <w:right w:w="108" w:type="dxa"/>
            </w:tcMar>
          </w:tcPr>
          <w:p w14:paraId="211EB64B" w14:textId="78B50C9B" w:rsidR="00672DA9" w:rsidRPr="003C131E" w:rsidRDefault="00672DA9" w:rsidP="009325D8">
            <w:pPr>
              <w:keepNext/>
              <w:keepLines/>
              <w:spacing w:before="120"/>
              <w:rPr>
                <w:bCs/>
              </w:rPr>
            </w:pPr>
            <w:r w:rsidRPr="003C131E">
              <w:rPr>
                <w:bCs/>
              </w:rPr>
              <w:t>Mallett</w:t>
            </w:r>
          </w:p>
        </w:tc>
        <w:tc>
          <w:tcPr>
            <w:tcW w:w="3870" w:type="dxa"/>
            <w:tcMar>
              <w:top w:w="0" w:type="dxa"/>
              <w:left w:w="108" w:type="dxa"/>
              <w:bottom w:w="0" w:type="dxa"/>
              <w:right w:w="108" w:type="dxa"/>
            </w:tcMar>
          </w:tcPr>
          <w:p w14:paraId="32443131" w14:textId="3E978833" w:rsidR="00672DA9" w:rsidRPr="003C131E" w:rsidRDefault="000F6131" w:rsidP="009325D8">
            <w:pPr>
              <w:keepNext/>
              <w:keepLines/>
              <w:spacing w:before="120"/>
              <w:rPr>
                <w:bCs/>
              </w:rPr>
            </w:pPr>
            <w:r w:rsidRPr="003C131E">
              <w:rPr>
                <w:bCs/>
              </w:rPr>
              <w:t>NAESB</w:t>
            </w:r>
          </w:p>
        </w:tc>
      </w:tr>
      <w:tr w:rsidR="00062C79" w:rsidRPr="00286562" w14:paraId="44320780" w14:textId="77777777" w:rsidTr="001262CB">
        <w:tc>
          <w:tcPr>
            <w:tcW w:w="1998" w:type="dxa"/>
            <w:tcMar>
              <w:top w:w="0" w:type="dxa"/>
              <w:left w:w="108" w:type="dxa"/>
              <w:bottom w:w="0" w:type="dxa"/>
              <w:right w:w="108" w:type="dxa"/>
            </w:tcMar>
          </w:tcPr>
          <w:p w14:paraId="217A4195" w14:textId="65F46229" w:rsidR="00062C79" w:rsidRPr="00062C79" w:rsidRDefault="00062C79" w:rsidP="009325D8">
            <w:pPr>
              <w:keepNext/>
              <w:keepLines/>
              <w:spacing w:before="120"/>
              <w:rPr>
                <w:bCs/>
              </w:rPr>
            </w:pPr>
            <w:r>
              <w:rPr>
                <w:bCs/>
              </w:rPr>
              <w:t>Matt</w:t>
            </w:r>
          </w:p>
        </w:tc>
        <w:tc>
          <w:tcPr>
            <w:tcW w:w="3240" w:type="dxa"/>
            <w:tcMar>
              <w:top w:w="0" w:type="dxa"/>
              <w:left w:w="108" w:type="dxa"/>
              <w:bottom w:w="0" w:type="dxa"/>
              <w:right w:w="108" w:type="dxa"/>
            </w:tcMar>
          </w:tcPr>
          <w:p w14:paraId="6A32AF9E" w14:textId="2F8AA2D9" w:rsidR="00062C79" w:rsidRPr="00062C79" w:rsidRDefault="00062C79" w:rsidP="009325D8">
            <w:pPr>
              <w:keepNext/>
              <w:keepLines/>
              <w:spacing w:before="120"/>
              <w:rPr>
                <w:bCs/>
              </w:rPr>
            </w:pPr>
            <w:proofErr w:type="spellStart"/>
            <w:r>
              <w:rPr>
                <w:bCs/>
              </w:rPr>
              <w:t>Pitcaithly</w:t>
            </w:r>
            <w:proofErr w:type="spellEnd"/>
          </w:p>
        </w:tc>
        <w:tc>
          <w:tcPr>
            <w:tcW w:w="3870" w:type="dxa"/>
            <w:tcMar>
              <w:top w:w="0" w:type="dxa"/>
              <w:left w:w="108" w:type="dxa"/>
              <w:bottom w:w="0" w:type="dxa"/>
              <w:right w:w="108" w:type="dxa"/>
            </w:tcMar>
          </w:tcPr>
          <w:p w14:paraId="35882CF8" w14:textId="73ACB55B" w:rsidR="00062C79" w:rsidRPr="00062C79" w:rsidRDefault="00062C79" w:rsidP="009325D8">
            <w:pPr>
              <w:keepNext/>
              <w:keepLines/>
              <w:spacing w:before="120"/>
              <w:rPr>
                <w:bCs/>
              </w:rPr>
            </w:pPr>
            <w:r>
              <w:rPr>
                <w:bCs/>
              </w:rPr>
              <w:t>TVA</w:t>
            </w:r>
          </w:p>
        </w:tc>
      </w:tr>
      <w:tr w:rsidR="00B33F8A" w:rsidRPr="00286562" w14:paraId="0CFABB57" w14:textId="77777777" w:rsidTr="001262CB">
        <w:tc>
          <w:tcPr>
            <w:tcW w:w="1998" w:type="dxa"/>
            <w:tcMar>
              <w:top w:w="0" w:type="dxa"/>
              <w:left w:w="108" w:type="dxa"/>
              <w:bottom w:w="0" w:type="dxa"/>
              <w:right w:w="108" w:type="dxa"/>
            </w:tcMar>
          </w:tcPr>
          <w:p w14:paraId="6985DEC3" w14:textId="5DAF99B0" w:rsidR="00B33F8A" w:rsidRPr="00062C79" w:rsidRDefault="00B33F8A" w:rsidP="009325D8">
            <w:pPr>
              <w:keepNext/>
              <w:keepLines/>
              <w:spacing w:before="120"/>
              <w:rPr>
                <w:bCs/>
              </w:rPr>
            </w:pPr>
            <w:r w:rsidRPr="00062C79">
              <w:rPr>
                <w:bCs/>
              </w:rPr>
              <w:t>Farrokh</w:t>
            </w:r>
          </w:p>
        </w:tc>
        <w:tc>
          <w:tcPr>
            <w:tcW w:w="3240" w:type="dxa"/>
            <w:tcMar>
              <w:top w:w="0" w:type="dxa"/>
              <w:left w:w="108" w:type="dxa"/>
              <w:bottom w:w="0" w:type="dxa"/>
              <w:right w:w="108" w:type="dxa"/>
            </w:tcMar>
          </w:tcPr>
          <w:p w14:paraId="4FBFBB87" w14:textId="3846579A" w:rsidR="00B33F8A" w:rsidRPr="00062C79" w:rsidRDefault="00B33F8A" w:rsidP="009325D8">
            <w:pPr>
              <w:keepNext/>
              <w:keepLines/>
              <w:spacing w:before="120"/>
              <w:rPr>
                <w:bCs/>
              </w:rPr>
            </w:pPr>
            <w:r w:rsidRPr="00062C79">
              <w:rPr>
                <w:bCs/>
              </w:rPr>
              <w:t>Rahimi</w:t>
            </w:r>
          </w:p>
        </w:tc>
        <w:tc>
          <w:tcPr>
            <w:tcW w:w="3870" w:type="dxa"/>
            <w:tcMar>
              <w:top w:w="0" w:type="dxa"/>
              <w:left w:w="108" w:type="dxa"/>
              <w:bottom w:w="0" w:type="dxa"/>
              <w:right w:w="108" w:type="dxa"/>
            </w:tcMar>
          </w:tcPr>
          <w:p w14:paraId="0989F7F9" w14:textId="5A06C6EF" w:rsidR="00B33F8A" w:rsidRPr="00062C79" w:rsidRDefault="00B33F8A" w:rsidP="009325D8">
            <w:pPr>
              <w:keepNext/>
              <w:keepLines/>
              <w:spacing w:before="120"/>
              <w:rPr>
                <w:bCs/>
              </w:rPr>
            </w:pPr>
            <w:r w:rsidRPr="00062C79">
              <w:rPr>
                <w:bCs/>
              </w:rPr>
              <w:t>OATI</w:t>
            </w:r>
          </w:p>
        </w:tc>
      </w:tr>
      <w:tr w:rsidR="007B1CA8" w:rsidRPr="00286562" w14:paraId="096E7D0C" w14:textId="77777777" w:rsidTr="001262CB">
        <w:tc>
          <w:tcPr>
            <w:tcW w:w="1998" w:type="dxa"/>
            <w:tcMar>
              <w:top w:w="0" w:type="dxa"/>
              <w:left w:w="108" w:type="dxa"/>
              <w:bottom w:w="0" w:type="dxa"/>
              <w:right w:w="108" w:type="dxa"/>
            </w:tcMar>
          </w:tcPr>
          <w:p w14:paraId="45123DE6" w14:textId="2E2BCD17" w:rsidR="007B1CA8" w:rsidRPr="00062C79" w:rsidRDefault="007B1CA8" w:rsidP="009325D8">
            <w:pPr>
              <w:keepNext/>
              <w:keepLines/>
              <w:spacing w:before="120"/>
              <w:rPr>
                <w:bCs/>
              </w:rPr>
            </w:pPr>
            <w:r>
              <w:rPr>
                <w:bCs/>
              </w:rPr>
              <w:t>Lisa</w:t>
            </w:r>
          </w:p>
        </w:tc>
        <w:tc>
          <w:tcPr>
            <w:tcW w:w="3240" w:type="dxa"/>
            <w:tcMar>
              <w:top w:w="0" w:type="dxa"/>
              <w:left w:w="108" w:type="dxa"/>
              <w:bottom w:w="0" w:type="dxa"/>
              <w:right w:w="108" w:type="dxa"/>
            </w:tcMar>
          </w:tcPr>
          <w:p w14:paraId="67DD6B68" w14:textId="17414789" w:rsidR="007B1CA8" w:rsidRPr="00062C79" w:rsidRDefault="007B1CA8" w:rsidP="009325D8">
            <w:pPr>
              <w:keepNext/>
              <w:keepLines/>
              <w:spacing w:before="120"/>
              <w:rPr>
                <w:bCs/>
              </w:rPr>
            </w:pPr>
            <w:r>
              <w:rPr>
                <w:bCs/>
              </w:rPr>
              <w:t>S</w:t>
            </w:r>
            <w:r w:rsidR="007E42E3">
              <w:rPr>
                <w:bCs/>
              </w:rPr>
              <w:t>ie</w:t>
            </w:r>
            <w:r>
              <w:rPr>
                <w:bCs/>
              </w:rPr>
              <w:t>g</w:t>
            </w:r>
          </w:p>
        </w:tc>
        <w:tc>
          <w:tcPr>
            <w:tcW w:w="3870" w:type="dxa"/>
            <w:tcMar>
              <w:top w:w="0" w:type="dxa"/>
              <w:left w:w="108" w:type="dxa"/>
              <w:bottom w:w="0" w:type="dxa"/>
              <w:right w:w="108" w:type="dxa"/>
            </w:tcMar>
          </w:tcPr>
          <w:p w14:paraId="346E603B" w14:textId="35D1E5A7" w:rsidR="007B1CA8" w:rsidRPr="00062C79" w:rsidRDefault="009D41AE" w:rsidP="009325D8">
            <w:pPr>
              <w:keepNext/>
              <w:keepLines/>
              <w:spacing w:before="120"/>
              <w:rPr>
                <w:bCs/>
              </w:rPr>
            </w:pPr>
            <w:r>
              <w:rPr>
                <w:bCs/>
              </w:rPr>
              <w:t>LG&amp;E and KU Services Company</w:t>
            </w:r>
          </w:p>
        </w:tc>
      </w:tr>
      <w:tr w:rsidR="007B1CA8" w:rsidRPr="00286562" w14:paraId="500CE204" w14:textId="77777777" w:rsidTr="001262CB">
        <w:tc>
          <w:tcPr>
            <w:tcW w:w="1998" w:type="dxa"/>
            <w:tcMar>
              <w:top w:w="0" w:type="dxa"/>
              <w:left w:w="108" w:type="dxa"/>
              <w:bottom w:w="0" w:type="dxa"/>
              <w:right w:w="108" w:type="dxa"/>
            </w:tcMar>
          </w:tcPr>
          <w:p w14:paraId="75AA666E" w14:textId="3B4C2854" w:rsidR="007B1CA8" w:rsidRPr="00062C79" w:rsidRDefault="007B1CA8" w:rsidP="009325D8">
            <w:pPr>
              <w:keepNext/>
              <w:keepLines/>
              <w:spacing w:before="120"/>
              <w:rPr>
                <w:bCs/>
              </w:rPr>
            </w:pPr>
            <w:r>
              <w:rPr>
                <w:bCs/>
              </w:rPr>
              <w:t>Danielle</w:t>
            </w:r>
          </w:p>
        </w:tc>
        <w:tc>
          <w:tcPr>
            <w:tcW w:w="3240" w:type="dxa"/>
            <w:tcMar>
              <w:top w:w="0" w:type="dxa"/>
              <w:left w:w="108" w:type="dxa"/>
              <w:bottom w:w="0" w:type="dxa"/>
              <w:right w:w="108" w:type="dxa"/>
            </w:tcMar>
          </w:tcPr>
          <w:p w14:paraId="25288DFD" w14:textId="62615005" w:rsidR="007B1CA8" w:rsidRPr="00062C79" w:rsidRDefault="007B1CA8" w:rsidP="009325D8">
            <w:pPr>
              <w:keepNext/>
              <w:keepLines/>
              <w:spacing w:before="120"/>
              <w:rPr>
                <w:bCs/>
              </w:rPr>
            </w:pPr>
            <w:r>
              <w:rPr>
                <w:bCs/>
              </w:rPr>
              <w:t>Smith</w:t>
            </w:r>
          </w:p>
        </w:tc>
        <w:tc>
          <w:tcPr>
            <w:tcW w:w="3870" w:type="dxa"/>
            <w:tcMar>
              <w:top w:w="0" w:type="dxa"/>
              <w:left w:w="108" w:type="dxa"/>
              <w:bottom w:w="0" w:type="dxa"/>
              <w:right w:w="108" w:type="dxa"/>
            </w:tcMar>
          </w:tcPr>
          <w:p w14:paraId="1FDBD87C" w14:textId="1CEC3260" w:rsidR="007B1CA8" w:rsidRPr="00062C79" w:rsidRDefault="009D41AE" w:rsidP="009325D8">
            <w:pPr>
              <w:keepNext/>
              <w:keepLines/>
              <w:spacing w:before="120"/>
              <w:rPr>
                <w:bCs/>
              </w:rPr>
            </w:pPr>
            <w:r>
              <w:rPr>
                <w:bCs/>
              </w:rPr>
              <w:t>SMUD</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3C131E" w:rsidRDefault="00BE24C3" w:rsidP="009325D8">
            <w:pPr>
              <w:keepNext/>
              <w:keepLines/>
              <w:spacing w:before="120"/>
              <w:rPr>
                <w:bCs/>
              </w:rPr>
            </w:pPr>
            <w:r w:rsidRPr="003C131E">
              <w:rPr>
                <w:bCs/>
              </w:rPr>
              <w:t>Caroline</w:t>
            </w:r>
          </w:p>
        </w:tc>
        <w:tc>
          <w:tcPr>
            <w:tcW w:w="3240" w:type="dxa"/>
            <w:tcMar>
              <w:top w:w="0" w:type="dxa"/>
              <w:left w:w="108" w:type="dxa"/>
              <w:bottom w:w="0" w:type="dxa"/>
              <w:right w:w="108" w:type="dxa"/>
            </w:tcMar>
            <w:hideMark/>
          </w:tcPr>
          <w:p w14:paraId="3166FE36" w14:textId="77777777" w:rsidR="00BE24C3" w:rsidRPr="003C131E" w:rsidRDefault="00BE24C3" w:rsidP="009325D8">
            <w:pPr>
              <w:keepNext/>
              <w:keepLines/>
              <w:spacing w:before="120"/>
              <w:rPr>
                <w:bCs/>
              </w:rPr>
            </w:pPr>
            <w:r w:rsidRPr="003C131E">
              <w:rPr>
                <w:bCs/>
              </w:rPr>
              <w:t>Trum</w:t>
            </w:r>
          </w:p>
        </w:tc>
        <w:tc>
          <w:tcPr>
            <w:tcW w:w="3870" w:type="dxa"/>
            <w:tcMar>
              <w:top w:w="0" w:type="dxa"/>
              <w:left w:w="108" w:type="dxa"/>
              <w:bottom w:w="0" w:type="dxa"/>
              <w:right w:w="108" w:type="dxa"/>
            </w:tcMar>
            <w:hideMark/>
          </w:tcPr>
          <w:p w14:paraId="57332193" w14:textId="3C98E3FE" w:rsidR="00BE24C3" w:rsidRPr="003C131E" w:rsidRDefault="000F6131" w:rsidP="009325D8">
            <w:pPr>
              <w:keepNext/>
              <w:keepLines/>
              <w:spacing w:before="120"/>
              <w:rPr>
                <w:bCs/>
              </w:rPr>
            </w:pPr>
            <w:r w:rsidRPr="003C131E">
              <w:rPr>
                <w:bCs/>
              </w:rPr>
              <w:t>NAESB</w:t>
            </w:r>
          </w:p>
        </w:tc>
      </w:tr>
      <w:tr w:rsidR="00B33F8A" w:rsidRPr="00286562" w14:paraId="238B2238" w14:textId="77777777" w:rsidTr="001262CB">
        <w:tc>
          <w:tcPr>
            <w:tcW w:w="1998" w:type="dxa"/>
            <w:tcMar>
              <w:top w:w="0" w:type="dxa"/>
              <w:left w:w="108" w:type="dxa"/>
              <w:bottom w:w="0" w:type="dxa"/>
              <w:right w:w="108" w:type="dxa"/>
            </w:tcMar>
          </w:tcPr>
          <w:p w14:paraId="1B97BA26" w14:textId="524930C6" w:rsidR="00B33F8A" w:rsidRPr="00062C79" w:rsidRDefault="00B33F8A" w:rsidP="009325D8">
            <w:pPr>
              <w:keepNext/>
              <w:keepLines/>
              <w:spacing w:before="120"/>
              <w:rPr>
                <w:bCs/>
              </w:rPr>
            </w:pPr>
            <w:r w:rsidRPr="00062C79">
              <w:rPr>
                <w:bCs/>
              </w:rPr>
              <w:t>Karen</w:t>
            </w:r>
          </w:p>
        </w:tc>
        <w:tc>
          <w:tcPr>
            <w:tcW w:w="3240" w:type="dxa"/>
            <w:tcMar>
              <w:top w:w="0" w:type="dxa"/>
              <w:left w:w="108" w:type="dxa"/>
              <w:bottom w:w="0" w:type="dxa"/>
              <w:right w:w="108" w:type="dxa"/>
            </w:tcMar>
          </w:tcPr>
          <w:p w14:paraId="26CCF8C8" w14:textId="114FF6A7" w:rsidR="00B33F8A" w:rsidRPr="00062C79" w:rsidRDefault="00B33F8A" w:rsidP="009325D8">
            <w:pPr>
              <w:keepNext/>
              <w:keepLines/>
              <w:spacing w:before="120"/>
              <w:rPr>
                <w:bCs/>
              </w:rPr>
            </w:pPr>
            <w:r w:rsidRPr="00062C79">
              <w:rPr>
                <w:bCs/>
              </w:rPr>
              <w:t>Utt</w:t>
            </w:r>
          </w:p>
        </w:tc>
        <w:tc>
          <w:tcPr>
            <w:tcW w:w="3870" w:type="dxa"/>
            <w:tcMar>
              <w:top w:w="0" w:type="dxa"/>
              <w:left w:w="108" w:type="dxa"/>
              <w:bottom w:w="0" w:type="dxa"/>
              <w:right w:w="108" w:type="dxa"/>
            </w:tcMar>
          </w:tcPr>
          <w:p w14:paraId="2070D43E" w14:textId="66DF073A" w:rsidR="00B33F8A" w:rsidRPr="00062C79" w:rsidRDefault="00B33F8A" w:rsidP="009325D8">
            <w:pPr>
              <w:keepNext/>
              <w:keepLines/>
              <w:spacing w:before="120"/>
              <w:rPr>
                <w:bCs/>
              </w:rPr>
            </w:pPr>
            <w:r w:rsidRPr="00062C79">
              <w:rPr>
                <w:bCs/>
              </w:rPr>
              <w:t>TVA</w:t>
            </w:r>
          </w:p>
        </w:tc>
      </w:tr>
      <w:bookmarkEnd w:id="0"/>
    </w:tbl>
    <w:p w14:paraId="166BD90C" w14:textId="77777777" w:rsidR="00535BB7" w:rsidRPr="000E5855" w:rsidRDefault="00535BB7" w:rsidP="00BF404B">
      <w:pPr>
        <w:tabs>
          <w:tab w:val="left" w:pos="1440"/>
        </w:tabs>
        <w:spacing w:before="120"/>
        <w:jc w:val="both"/>
      </w:pPr>
    </w:p>
    <w:sectPr w:rsidR="00535BB7" w:rsidRPr="000E5855" w:rsidSect="009D09A0">
      <w:headerReference w:type="default" r:id="rId18"/>
      <w:footerReference w:type="default" r:id="rId1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9672" w14:textId="77777777" w:rsidR="00C41421" w:rsidRDefault="00C41421">
      <w:r>
        <w:separator/>
      </w:r>
    </w:p>
  </w:endnote>
  <w:endnote w:type="continuationSeparator" w:id="0">
    <w:p w14:paraId="21F8B22C" w14:textId="77777777" w:rsidR="00C41421" w:rsidRDefault="00C4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53E6B141"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A938EF">
      <w:rPr>
        <w:sz w:val="18"/>
        <w:szCs w:val="18"/>
      </w:rPr>
      <w:t>Draft</w:t>
    </w:r>
    <w:r w:rsidR="00B41D5E">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9D41AE">
      <w:rPr>
        <w:sz w:val="18"/>
        <w:szCs w:val="18"/>
      </w:rPr>
      <w:t>July 19</w:t>
    </w:r>
    <w:r w:rsidR="00F63592">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8F9C" w14:textId="77777777" w:rsidR="00C41421" w:rsidRDefault="00C41421">
      <w:r>
        <w:separator/>
      </w:r>
    </w:p>
  </w:footnote>
  <w:footnote w:type="continuationSeparator" w:id="0">
    <w:p w14:paraId="3A564293" w14:textId="77777777" w:rsidR="00C41421" w:rsidRDefault="00C4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462"/>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829"/>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549"/>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A89"/>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C0"/>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1CA8"/>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42E3"/>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067"/>
    <w:rsid w:val="008C1242"/>
    <w:rsid w:val="008C13C2"/>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24E"/>
    <w:rsid w:val="008E16F2"/>
    <w:rsid w:val="008E1E3B"/>
    <w:rsid w:val="008E2318"/>
    <w:rsid w:val="008E2682"/>
    <w:rsid w:val="008E2DD0"/>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9B5"/>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19D9"/>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61"/>
    <w:rsid w:val="00DF0762"/>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85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B78"/>
    <w:rsid w:val="00F96058"/>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_rmq_bps070621fm.docx" TargetMode="External"/><Relationship Id="rId13" Type="http://schemas.openxmlformats.org/officeDocument/2006/relationships/hyperlink" Target="https://naesb.org/member_login_check.asp?doc=weq_bps_rmq_bps060121w1.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esb.org/member_login_check.asp?doc=weq_bps_rmq_bps042721a1.doc" TargetMode="External"/><Relationship Id="rId17" Type="http://schemas.openxmlformats.org/officeDocument/2006/relationships/hyperlink" Target="https://naesb.org/member_login_check.asp?doc=weq_bps_rmq_bps071921w6.docx" TargetMode="External"/><Relationship Id="rId2" Type="http://schemas.openxmlformats.org/officeDocument/2006/relationships/numbering" Target="numbering.xml"/><Relationship Id="rId16" Type="http://schemas.openxmlformats.org/officeDocument/2006/relationships/hyperlink" Target="https://naesb.org/member_login_check.asp?doc=weq_bps_rmq_bps071921w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_rmq_bps071921a3.docx" TargetMode="External"/><Relationship Id="rId5" Type="http://schemas.openxmlformats.org/officeDocument/2006/relationships/webSettings" Target="webSettings.xml"/><Relationship Id="rId15" Type="http://schemas.openxmlformats.org/officeDocument/2006/relationships/hyperlink" Target="https://naesb.org//member_login_check.asp?doc=weq_bps_rmq_bps071921a1.docx" TargetMode="External"/><Relationship Id="rId10" Type="http://schemas.openxmlformats.org/officeDocument/2006/relationships/hyperlink" Target="https://naesb.org//member_login_check.asp?doc=weq_bps_rmq_bps071921a2.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esb.org//pdf4/weq_bps_rmq_bps042721fm.docx" TargetMode="External"/><Relationship Id="rId14" Type="http://schemas.openxmlformats.org/officeDocument/2006/relationships/hyperlink" Target="https://naesb.org/member_login_check.asp?doc=weq_bps_rmq_bps060121w2.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6494</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2021-07-20T20:33:00Z</dcterms:created>
  <dcterms:modified xsi:type="dcterms:W3CDTF">2021-07-20T20:33:00Z</dcterms:modified>
</cp:coreProperties>
</file>