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1062A5">
      <w:pPr>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18C39243" w:rsidR="00C44C62" w:rsidRPr="000E5855" w:rsidRDefault="00C44C62" w:rsidP="001062A5">
      <w:pPr>
        <w:ind w:left="1440" w:hanging="1440"/>
      </w:pPr>
      <w:r w:rsidRPr="000E5855">
        <w:rPr>
          <w:b/>
          <w:bCs/>
        </w:rPr>
        <w:t xml:space="preserve">FROM: </w:t>
      </w:r>
      <w:r w:rsidRPr="000E5855">
        <w:rPr>
          <w:b/>
          <w:bCs/>
        </w:rPr>
        <w:tab/>
      </w:r>
      <w:r w:rsidR="00815AEA">
        <w:t>Elizabeth Mallett</w:t>
      </w:r>
      <w:r w:rsidR="00230ECA">
        <w:t xml:space="preserve">, </w:t>
      </w:r>
      <w:r w:rsidR="00ED3FB5">
        <w:t xml:space="preserve">Director, Wholesale </w:t>
      </w:r>
      <w:r w:rsidR="00815AEA">
        <w:t xml:space="preserve">Gas </w:t>
      </w:r>
      <w:r w:rsidR="00ED3FB5">
        <w:t>Quadrant</w:t>
      </w:r>
      <w:r w:rsidR="00815AEA">
        <w:t xml:space="preserve"> and Retail Markets Quadrant</w:t>
      </w:r>
    </w:p>
    <w:p w14:paraId="2BD3EE26" w14:textId="6427D81C" w:rsidR="00C44C62" w:rsidRPr="000E5855" w:rsidRDefault="00C44C62" w:rsidP="001062A5">
      <w:pPr>
        <w:ind w:left="1440" w:hanging="1440"/>
      </w:pPr>
      <w:r w:rsidRPr="000E5855">
        <w:rPr>
          <w:b/>
          <w:bCs/>
        </w:rPr>
        <w:t>RE:</w:t>
      </w:r>
      <w:r w:rsidRPr="000E5855">
        <w:rPr>
          <w:b/>
          <w:bCs/>
        </w:rPr>
        <w:tab/>
      </w:r>
      <w:r w:rsidR="00FF4092">
        <w:t>Final</w:t>
      </w:r>
      <w:r w:rsidR="00230ECA">
        <w:t xml:space="preserve"> Minutes from</w:t>
      </w:r>
      <w:r w:rsidR="005965E2">
        <w:t xml:space="preserve"> </w:t>
      </w:r>
      <w:r w:rsidR="00815AEA">
        <w:t xml:space="preserve">October </w:t>
      </w:r>
      <w:r w:rsidR="001D1C24">
        <w:t>23</w:t>
      </w:r>
      <w:r w:rsidR="00372AA2">
        <w:t>, 2023</w:t>
      </w:r>
      <w:r w:rsidR="00230ECA">
        <w:t xml:space="preserve"> WEQ B</w:t>
      </w:r>
      <w:r w:rsidR="00815AEA">
        <w:t xml:space="preserve">usiness </w:t>
      </w:r>
      <w:r w:rsidR="00230ECA">
        <w:t>P</w:t>
      </w:r>
      <w:r w:rsidR="00815AEA">
        <w:t xml:space="preserve">ractices </w:t>
      </w:r>
      <w:r w:rsidR="00230ECA">
        <w:t>S</w:t>
      </w:r>
      <w:r w:rsidR="00815AEA">
        <w:t xml:space="preserve">ubcommittee (BPS), RMQ BPS, and WEQ Cybersecurity Subcommittee (CSS) </w:t>
      </w:r>
      <w:r w:rsidR="00A856C9">
        <w:t>Meeti</w:t>
      </w:r>
      <w:r w:rsidR="00230ECA">
        <w:t>ng</w:t>
      </w:r>
    </w:p>
    <w:p w14:paraId="7C63E7B7" w14:textId="0EAD4D11" w:rsidR="00C44C62" w:rsidRPr="000E5855" w:rsidRDefault="00C44C62" w:rsidP="001062A5">
      <w:pPr>
        <w:pBdr>
          <w:bottom w:val="single" w:sz="12" w:space="1" w:color="auto"/>
        </w:pBdr>
      </w:pPr>
      <w:r w:rsidRPr="000E5855">
        <w:rPr>
          <w:b/>
          <w:bCs/>
        </w:rPr>
        <w:t>DATE:</w:t>
      </w:r>
      <w:r w:rsidRPr="000E5855">
        <w:tab/>
      </w:r>
      <w:r w:rsidRPr="000E5855">
        <w:tab/>
      </w:r>
      <w:r w:rsidR="001D1C24">
        <w:t xml:space="preserve">November </w:t>
      </w:r>
      <w:r w:rsidR="00545E19">
        <w:t>14</w:t>
      </w:r>
      <w:r w:rsidR="00941592">
        <w:t>, 2023</w:t>
      </w:r>
    </w:p>
    <w:p w14:paraId="1FBD555D" w14:textId="77777777" w:rsidR="00C44C62" w:rsidRDefault="00C44C62" w:rsidP="00EA2474">
      <w:pPr>
        <w:widowControl w:val="0"/>
        <w:jc w:val="center"/>
        <w:rPr>
          <w:b/>
          <w:bCs/>
        </w:rPr>
      </w:pPr>
      <w:r>
        <w:rPr>
          <w:b/>
          <w:bCs/>
        </w:rPr>
        <w:t>WHOLESALE ELECTRIC QUADRANT</w:t>
      </w:r>
    </w:p>
    <w:p w14:paraId="08DBD211" w14:textId="13987B47" w:rsidR="003141FA" w:rsidRDefault="003141FA" w:rsidP="003141FA">
      <w:pPr>
        <w:widowControl w:val="0"/>
        <w:jc w:val="center"/>
        <w:rPr>
          <w:b/>
          <w:bCs/>
        </w:rPr>
      </w:pPr>
      <w:r>
        <w:rPr>
          <w:b/>
          <w:bCs/>
        </w:rPr>
        <w:t>RETAIL MARKETS QUADRANT</w:t>
      </w:r>
    </w:p>
    <w:p w14:paraId="3D808A41" w14:textId="52CDD410" w:rsidR="00C44C62" w:rsidRPr="000E5855" w:rsidRDefault="00C44C62" w:rsidP="00EA2474">
      <w:pPr>
        <w:widowControl w:val="0"/>
        <w:jc w:val="center"/>
        <w:rPr>
          <w:b/>
          <w:bCs/>
        </w:rPr>
      </w:pPr>
      <w:r>
        <w:rPr>
          <w:b/>
          <w:bCs/>
        </w:rPr>
        <w:t>Business Practices Subcommittee</w:t>
      </w:r>
      <w:r w:rsidR="003141FA">
        <w:rPr>
          <w:b/>
          <w:bCs/>
        </w:rPr>
        <w:t>s and Cybersecurity Subcommittee</w:t>
      </w:r>
      <w:r>
        <w:rPr>
          <w:b/>
          <w:bCs/>
        </w:rPr>
        <w:t xml:space="preserve"> </w:t>
      </w:r>
    </w:p>
    <w:p w14:paraId="0744C5AB" w14:textId="77777777" w:rsidR="00C44C62" w:rsidRPr="00A51F65" w:rsidRDefault="006403FE" w:rsidP="00EA2474">
      <w:pPr>
        <w:widowControl w:val="0"/>
        <w:jc w:val="center"/>
        <w:outlineLvl w:val="2"/>
        <w:rPr>
          <w:b/>
          <w:bCs/>
        </w:rPr>
      </w:pPr>
      <w:r>
        <w:rPr>
          <w:b/>
          <w:bCs/>
        </w:rPr>
        <w:t>Conference Call</w:t>
      </w:r>
    </w:p>
    <w:p w14:paraId="20163922" w14:textId="34D425D0" w:rsidR="00C44C62" w:rsidRDefault="003141FA" w:rsidP="0063021A">
      <w:pPr>
        <w:widowControl w:val="0"/>
        <w:jc w:val="center"/>
        <w:outlineLvl w:val="2"/>
        <w:rPr>
          <w:b/>
          <w:bCs/>
        </w:rPr>
      </w:pPr>
      <w:r>
        <w:rPr>
          <w:b/>
          <w:bCs/>
        </w:rPr>
        <w:t xml:space="preserve">October </w:t>
      </w:r>
      <w:r w:rsidR="001D1C24">
        <w:rPr>
          <w:b/>
          <w:bCs/>
        </w:rPr>
        <w:t>23</w:t>
      </w:r>
      <w:r w:rsidR="000807B7">
        <w:rPr>
          <w:b/>
          <w:bCs/>
        </w:rPr>
        <w:t>, 2023</w:t>
      </w:r>
      <w:r w:rsidR="00B70957">
        <w:rPr>
          <w:b/>
          <w:bCs/>
        </w:rPr>
        <w:t xml:space="preserve"> – </w:t>
      </w:r>
      <w:r>
        <w:rPr>
          <w:b/>
          <w:bCs/>
        </w:rPr>
        <w:t>1</w:t>
      </w:r>
      <w:r w:rsidR="00F250F8">
        <w:rPr>
          <w:b/>
          <w:bCs/>
        </w:rPr>
        <w:t>:</w:t>
      </w:r>
      <w:r w:rsidR="00437FB7">
        <w:rPr>
          <w:b/>
          <w:bCs/>
        </w:rPr>
        <w:t>0</w:t>
      </w:r>
      <w:r w:rsidR="00F250F8">
        <w:rPr>
          <w:b/>
          <w:bCs/>
        </w:rPr>
        <w:t xml:space="preserve">0 </w:t>
      </w:r>
      <w:r w:rsidR="001D1C24">
        <w:rPr>
          <w:b/>
          <w:bCs/>
        </w:rPr>
        <w:t>P</w:t>
      </w:r>
      <w:r w:rsidR="00F250F8">
        <w:rPr>
          <w:b/>
          <w:bCs/>
        </w:rPr>
        <w:t>M</w:t>
      </w:r>
      <w:r w:rsidR="00B70957">
        <w:rPr>
          <w:b/>
          <w:bCs/>
        </w:rPr>
        <w:t xml:space="preserve"> to </w:t>
      </w:r>
      <w:r w:rsidR="001D1C24">
        <w:rPr>
          <w:b/>
          <w:bCs/>
        </w:rPr>
        <w:t>3</w:t>
      </w:r>
      <w:r w:rsidR="00370B79">
        <w:rPr>
          <w:b/>
          <w:bCs/>
        </w:rPr>
        <w:t>:0</w:t>
      </w:r>
      <w:r w:rsidR="00F250F8">
        <w:rPr>
          <w:b/>
          <w:bCs/>
        </w:rPr>
        <w:t xml:space="preserve">0 </w:t>
      </w:r>
      <w:r w:rsidR="00437FB7">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36AE098B" w:rsidR="00C44C62" w:rsidRPr="00EE257D" w:rsidRDefault="00FF4092" w:rsidP="0079197D">
      <w:pPr>
        <w:widowControl w:val="0"/>
        <w:spacing w:before="120"/>
        <w:jc w:val="center"/>
      </w:pPr>
      <w:r>
        <w:rPr>
          <w:b/>
          <w:bCs/>
          <w:u w:val="single"/>
        </w:rPr>
        <w:t>FINAL</w:t>
      </w:r>
      <w:r w:rsidR="00416843">
        <w:rPr>
          <w:b/>
          <w:bCs/>
          <w:u w:val="single"/>
        </w:rPr>
        <w:t xml:space="preserve"> </w:t>
      </w:r>
      <w:r w:rsidR="00C44C62">
        <w:rPr>
          <w:b/>
          <w:bCs/>
          <w:u w:val="single"/>
        </w:rPr>
        <w:t>MINUTES</w:t>
      </w:r>
    </w:p>
    <w:p w14:paraId="2A216F26" w14:textId="77777777" w:rsidR="00C44C62" w:rsidRPr="00EF45DE" w:rsidRDefault="00C44C62" w:rsidP="0079197D">
      <w:pPr>
        <w:numPr>
          <w:ilvl w:val="0"/>
          <w:numId w:val="11"/>
        </w:numPr>
        <w:tabs>
          <w:tab w:val="left" w:pos="1440"/>
        </w:tabs>
        <w:spacing w:before="120"/>
        <w:ind w:left="0" w:firstLine="0"/>
        <w:jc w:val="both"/>
        <w:rPr>
          <w:b/>
          <w:bCs/>
        </w:rPr>
      </w:pPr>
      <w:r w:rsidRPr="00EF45DE">
        <w:rPr>
          <w:b/>
          <w:bCs/>
        </w:rPr>
        <w:t>Welcome</w:t>
      </w:r>
    </w:p>
    <w:p w14:paraId="315A07D3" w14:textId="308425CD" w:rsidR="001D1C24" w:rsidRDefault="00790D69" w:rsidP="0079197D">
      <w:pPr>
        <w:spacing w:before="120"/>
        <w:jc w:val="both"/>
      </w:pPr>
      <w:r>
        <w:t xml:space="preserve">Mr. </w:t>
      </w:r>
      <w:r w:rsidR="001D1C24">
        <w:t>Phillips</w:t>
      </w:r>
      <w:r w:rsidR="007577F1">
        <w:t xml:space="preserve"> </w:t>
      </w:r>
      <w:r w:rsidR="00C44C62" w:rsidRPr="005443F7">
        <w:t xml:space="preserve">welcomed </w:t>
      </w:r>
      <w:r w:rsidR="00DA493E">
        <w:t xml:space="preserve">the </w:t>
      </w:r>
      <w:r w:rsidR="00C44C62" w:rsidRPr="005443F7">
        <w:t xml:space="preserve">participants to the meeting. </w:t>
      </w:r>
      <w:r w:rsidR="002D6B08">
        <w:t>Ms.</w:t>
      </w:r>
      <w:r w:rsidR="007577F1">
        <w:t xml:space="preserve"> </w:t>
      </w:r>
      <w:r w:rsidR="001D1C24">
        <w:t>Trum</w:t>
      </w:r>
      <w:r w:rsidR="007577F1">
        <w:t xml:space="preserve"> </w:t>
      </w:r>
      <w:r w:rsidR="002D2E6E">
        <w:t>provided the antitrust and meeting policies reminder</w:t>
      </w:r>
      <w:r w:rsidR="00C44C62" w:rsidRPr="005443F7">
        <w:t>.</w:t>
      </w:r>
      <w:r w:rsidR="00AB6EB6">
        <w:t xml:space="preserve">  </w:t>
      </w:r>
      <w:r w:rsidR="00F04232">
        <w:t>The participants introduced themselves</w:t>
      </w:r>
      <w:r w:rsidR="007C241C">
        <w:t xml:space="preserve">.  </w:t>
      </w:r>
      <w:r w:rsidR="007577F1">
        <w:t xml:space="preserve">Mr. </w:t>
      </w:r>
      <w:r w:rsidR="001D1C24">
        <w:t>Phillip</w:t>
      </w:r>
      <w:r w:rsidR="007577F1">
        <w:t>s</w:t>
      </w:r>
      <w:r>
        <w:t xml:space="preserve"> </w:t>
      </w:r>
      <w:r w:rsidR="00515FAB">
        <w:t>reviewed the agenda</w:t>
      </w:r>
      <w:r w:rsidR="00340AF3">
        <w:t xml:space="preserve">.  </w:t>
      </w:r>
      <w:r w:rsidR="007577F1">
        <w:t xml:space="preserve">Mr. </w:t>
      </w:r>
      <w:r w:rsidR="001D1C24">
        <w:t>Brooks</w:t>
      </w:r>
      <w:r w:rsidR="007577F1">
        <w:t xml:space="preserve"> moved</w:t>
      </w:r>
      <w:r w:rsidR="001D1C24">
        <w:t>, seconded by Mr. Galloway,</w:t>
      </w:r>
      <w:r w:rsidR="007577F1">
        <w:t xml:space="preserve"> to adopt the agenda as final.</w:t>
      </w:r>
      <w:r w:rsidR="001D1C24">
        <w:t xml:space="preserve">  The motion passed a simple majority vote without opposition.</w:t>
      </w:r>
    </w:p>
    <w:p w14:paraId="72C2DE41" w14:textId="5920ADC5" w:rsidR="001D1C24" w:rsidRPr="001D1C24" w:rsidRDefault="001D1C24" w:rsidP="001D1C24">
      <w:pPr>
        <w:spacing w:before="120"/>
        <w:jc w:val="both"/>
      </w:pPr>
      <w:r>
        <w:t xml:space="preserve">The participants reviewed the draft minutes from the October 5, 2023 meeting.  A minor change was made to correct the attendance list.  </w:t>
      </w:r>
      <w:r w:rsidR="007577F1">
        <w:t xml:space="preserve">Mr. Brooks </w:t>
      </w:r>
      <w:r>
        <w:t>moved, seconded by Ms. Kee, to adopt the revised minutes as final.  The motion passed a simple majority vote without opposition.  The final minutes for the October 5, 2023 meeting can be viewed at the following link:</w:t>
      </w:r>
      <w:r w:rsidR="00545E19">
        <w:t xml:space="preserve"> </w:t>
      </w:r>
      <w:hyperlink r:id="rId8" w:history="1">
        <w:r w:rsidR="00545E19" w:rsidRPr="003B4A95">
          <w:rPr>
            <w:rStyle w:val="Hyperlink"/>
          </w:rPr>
          <w:t>https://naesb.org/pdf4/weq_bps_css_rmqbps100523fm.docx</w:t>
        </w:r>
      </w:hyperlink>
      <w:r w:rsidR="00545E19">
        <w:t xml:space="preserve">. </w:t>
      </w:r>
    </w:p>
    <w:p w14:paraId="0F2FDD99" w14:textId="463B79F7" w:rsidR="006C6388" w:rsidRPr="00C856DF" w:rsidRDefault="001D1C24" w:rsidP="0079197D">
      <w:pPr>
        <w:numPr>
          <w:ilvl w:val="0"/>
          <w:numId w:val="11"/>
        </w:numPr>
        <w:tabs>
          <w:tab w:val="num" w:pos="1620"/>
          <w:tab w:val="num" w:pos="2160"/>
        </w:tabs>
        <w:spacing w:before="120"/>
        <w:jc w:val="both"/>
        <w:rPr>
          <w:b/>
        </w:rPr>
      </w:pPr>
      <w:r>
        <w:rPr>
          <w:b/>
        </w:rPr>
        <w:t xml:space="preserve">Continue to </w:t>
      </w:r>
      <w:r w:rsidR="00C856DF">
        <w:rPr>
          <w:b/>
        </w:rPr>
        <w:t>D</w:t>
      </w:r>
      <w:r w:rsidR="00C856DF" w:rsidRPr="00C856DF">
        <w:rPr>
          <w:b/>
        </w:rPr>
        <w:t xml:space="preserve">iscuss </w:t>
      </w:r>
      <w:bookmarkStart w:id="0" w:name="_Hlk145073326"/>
      <w:r w:rsidR="00C856DF" w:rsidRPr="00C856DF">
        <w:rPr>
          <w:b/>
        </w:rPr>
        <w:t>2023 WEQ Annual Plan Item 3.d 2023 RMQ Annual Plan Item 4.a – Review cybersecurity</w:t>
      </w:r>
      <w:r w:rsidR="00307A76">
        <w:rPr>
          <w:b/>
        </w:rPr>
        <w:t xml:space="preserve"> </w:t>
      </w:r>
      <w:r w:rsidR="00C856DF" w:rsidRPr="00C856DF">
        <w:rPr>
          <w:b/>
        </w:rPr>
        <w:t>protections, such as Public Key Infrastructure (PKI), that may be necessary to secure electronic communications for distributed energy resources (DERs), and develop business practices as needed</w:t>
      </w:r>
      <w:bookmarkEnd w:id="0"/>
    </w:p>
    <w:p w14:paraId="34883BC7" w14:textId="41F63791" w:rsidR="001D1C24" w:rsidRDefault="001D1C24" w:rsidP="0079197D">
      <w:pPr>
        <w:tabs>
          <w:tab w:val="num" w:pos="1620"/>
        </w:tabs>
        <w:spacing w:before="120"/>
        <w:jc w:val="both"/>
        <w:rPr>
          <w:bCs/>
        </w:rPr>
      </w:pPr>
      <w:r>
        <w:rPr>
          <w:bCs/>
        </w:rPr>
        <w:t>Mr. Phillips asked Ms. Kee to review her presentation, Cybersecurity for EV Fast Charging Networks.  Ms. Kee stated that NIST, in conjunction with the National Cybersecurity Center of Excellence, developed a cybersecurity framework profile for electric vehicle extreme fast charging infrastructure</w:t>
      </w:r>
      <w:r w:rsidR="005246B6">
        <w:rPr>
          <w:bCs/>
        </w:rPr>
        <w:t xml:space="preserve"> based on the NIST Cybersecurity Framework</w:t>
      </w:r>
      <w:r>
        <w:rPr>
          <w:bCs/>
        </w:rPr>
        <w:t xml:space="preserve">.  She explained that while the profile is specific to fast charging infrastructure, the </w:t>
      </w:r>
      <w:r w:rsidR="005246B6">
        <w:rPr>
          <w:bCs/>
        </w:rPr>
        <w:t>security objectives are likely applicable to any DER: (1) deliver reliable performance through secure communications; (2) maintain resilience of infrastructure; (3) build and maintain trustworthy relationships between parties; and (4) maintain continuity of operations.  Ms. Kee noted that the NIST Cybersecurity Framework specifically calls for multifactor authentication and identifies a need issue, manage, verify, revoke, and audit identities and credentials for authorized devices, users and processes.  She stated that the NAESB PKI Framework would meet these requirements and could be a viable, scalable, and affordable method to protect DER transactions.</w:t>
      </w:r>
    </w:p>
    <w:p w14:paraId="2FD16C71" w14:textId="00164B4D" w:rsidR="005246B6" w:rsidRDefault="005246B6" w:rsidP="0079197D">
      <w:pPr>
        <w:tabs>
          <w:tab w:val="num" w:pos="1620"/>
        </w:tabs>
        <w:spacing w:before="120"/>
        <w:jc w:val="both"/>
        <w:rPr>
          <w:bCs/>
        </w:rPr>
      </w:pPr>
      <w:r>
        <w:rPr>
          <w:bCs/>
        </w:rPr>
        <w:t xml:space="preserve">The participants reviewed the U.S. DoE White Paper – Cybersecurity Considerations for Distributed Energy Resources on the U.S. Electric Grid.  Mr. Brooks observed that there are likely to be multiple layers of interactions, including communications between a utility and DER aggregator and then </w:t>
      </w:r>
      <w:r w:rsidR="005C3C85">
        <w:rPr>
          <w:bCs/>
        </w:rPr>
        <w:t>the DER aggregator and individual DERs.  Mr. Galloway asked if there are existing standards addressing DER aggregator communication protocols.  Mr. Brooks responded that there is not an industry consensus for standards in this area.  He noted that there are some industry standards regarding interconnection by inverter-based resources but that most of the available guidance addresses operational and performance considerations or cybersecurity in the design of a DER.</w:t>
      </w:r>
    </w:p>
    <w:p w14:paraId="2EA690D3" w14:textId="249CB412" w:rsidR="005C3C85" w:rsidRDefault="005C3C85" w:rsidP="0079197D">
      <w:pPr>
        <w:tabs>
          <w:tab w:val="num" w:pos="1620"/>
        </w:tabs>
        <w:spacing w:before="120"/>
        <w:jc w:val="both"/>
        <w:rPr>
          <w:bCs/>
        </w:rPr>
      </w:pPr>
      <w:r>
        <w:rPr>
          <w:bCs/>
        </w:rPr>
        <w:t xml:space="preserve">Ms. Trum stated that during the previous meeting, the participants had noted that there may be industry white papers developed by NERC that could be useful for subcommittee discussions.  She noted that NAESB and reached out to NERC staff who provided the NERC Privacy and Security Impacts of DERs and DER Aggregators </w:t>
      </w:r>
      <w:r>
        <w:rPr>
          <w:bCs/>
        </w:rPr>
        <w:lastRenderedPageBreak/>
        <w:t xml:space="preserve">and identified the NIST SP1800-32 Security DER Resources </w:t>
      </w:r>
      <w:r w:rsidR="0098456D">
        <w:rPr>
          <w:bCs/>
        </w:rPr>
        <w:t>as one of the documents referenced in the creation of the NERC white paper.</w:t>
      </w:r>
    </w:p>
    <w:p w14:paraId="75BC615A" w14:textId="50C6E754" w:rsidR="0098456D" w:rsidRDefault="0098456D" w:rsidP="0079197D">
      <w:pPr>
        <w:tabs>
          <w:tab w:val="num" w:pos="1620"/>
        </w:tabs>
        <w:spacing w:before="120"/>
        <w:jc w:val="both"/>
        <w:rPr>
          <w:bCs/>
        </w:rPr>
      </w:pPr>
      <w:r>
        <w:rPr>
          <w:bCs/>
        </w:rPr>
        <w:t>The participants reviewed the NERC Privacy and Security Impacts of DERs and DER Aggregators white paper.  Mr. Brooks stated that in considering cybersecurity protections, there is a differentiation between requirements that establish access control and those that relate to authorization.  He explained that access control requirements ensure that a party possesses the proper credentials to gain access to a tool or system while authorization requirements address what types of actions a party can perform once access is gained.  Mr. Brooks suggested that the development of business practices by NAESB should focus on access control and creating a standardized process or method for party identification and verification.</w:t>
      </w:r>
    </w:p>
    <w:p w14:paraId="246F1B1B" w14:textId="5FCEF492" w:rsidR="00AF0FAE" w:rsidRDefault="0098456D" w:rsidP="0079197D">
      <w:pPr>
        <w:tabs>
          <w:tab w:val="num" w:pos="1620"/>
        </w:tabs>
        <w:spacing w:before="120"/>
        <w:jc w:val="both"/>
        <w:rPr>
          <w:bCs/>
        </w:rPr>
      </w:pPr>
      <w:r>
        <w:rPr>
          <w:bCs/>
        </w:rPr>
        <w:t xml:space="preserve">Mr. Phillips asked how such a process could be structured.  Mr. Brooks suggested that one method to consider is modeling requirements based on a use case similar to how NAESB PKI digital certificates are used to control access software platforms such as OASIS nodes.  Mr. Galloway stated that any standardized protocol to protect DER-related communications would need to be </w:t>
      </w:r>
      <w:r w:rsidR="00AF0FAE">
        <w:rPr>
          <w:bCs/>
        </w:rPr>
        <w:t xml:space="preserve">scalable and supportive of identity verification being shared or transitive.  He noted that ISO-New England uses NAESB PKI digital certificates to control access to an internal software platform but that only a few thousand clients require access.  Mr. Galloway </w:t>
      </w:r>
      <w:r w:rsidR="00545E19">
        <w:rPr>
          <w:bCs/>
        </w:rPr>
        <w:t>stated that</w:t>
      </w:r>
      <w:r w:rsidR="00CF794A">
        <w:rPr>
          <w:bCs/>
        </w:rPr>
        <w:t xml:space="preserve"> PKI could be </w:t>
      </w:r>
      <w:r w:rsidR="00545E19">
        <w:rPr>
          <w:bCs/>
        </w:rPr>
        <w:t xml:space="preserve">leveraged as </w:t>
      </w:r>
      <w:r w:rsidR="00CF794A">
        <w:rPr>
          <w:bCs/>
        </w:rPr>
        <w:t xml:space="preserve">a foundational element </w:t>
      </w:r>
      <w:r w:rsidR="00545E19">
        <w:rPr>
          <w:bCs/>
        </w:rPr>
        <w:t>for some</w:t>
      </w:r>
      <w:r w:rsidR="00CF794A">
        <w:rPr>
          <w:bCs/>
        </w:rPr>
        <w:t xml:space="preserve"> cybersecurity protections</w:t>
      </w:r>
      <w:r w:rsidR="00545E19">
        <w:rPr>
          <w:bCs/>
        </w:rPr>
        <w:t xml:space="preserve"> that may be needed but that</w:t>
      </w:r>
      <w:r w:rsidR="00CF794A">
        <w:rPr>
          <w:bCs/>
        </w:rPr>
        <w:t xml:space="preserve"> use of digital certificates to </w:t>
      </w:r>
      <w:r w:rsidR="00AF0FAE">
        <w:rPr>
          <w:bCs/>
        </w:rPr>
        <w:t xml:space="preserve">protect communications with individual DERs may be difficult as it would be challenging to have a single central authority verify all DER identities.  Mr. Brooks agreed that installing a digital certificate on every DER </w:t>
      </w:r>
      <w:r w:rsidR="00545E19">
        <w:rPr>
          <w:bCs/>
        </w:rPr>
        <w:t>may</w:t>
      </w:r>
      <w:r w:rsidR="00AF0FAE">
        <w:rPr>
          <w:bCs/>
        </w:rPr>
        <w:t xml:space="preserve"> not be feasible</w:t>
      </w:r>
      <w:r w:rsidR="00545E19">
        <w:rPr>
          <w:bCs/>
        </w:rPr>
        <w:t xml:space="preserve"> at this time</w:t>
      </w:r>
      <w:r w:rsidR="00AF0FAE">
        <w:rPr>
          <w:bCs/>
        </w:rPr>
        <w:t xml:space="preserve"> and suggested that this is an area participants discuss in greater detail.  Ms. Kee stated that there is widespread use of PKI digital certificates for authentication purposes and that the scalability of issuing a digital certificate is separate from certificate management.  Mr. Brooks noted that the U.S. DoE White Paper – Cybersecurity Considerations for Distributed Energy Resources on the U.S. Electric Grid is supportive of the use of PKI.  </w:t>
      </w:r>
    </w:p>
    <w:p w14:paraId="41765677" w14:textId="19208589" w:rsidR="0098456D" w:rsidRDefault="00AF0FAE" w:rsidP="0079197D">
      <w:pPr>
        <w:tabs>
          <w:tab w:val="num" w:pos="1620"/>
        </w:tabs>
        <w:spacing w:before="120"/>
        <w:jc w:val="both"/>
        <w:rPr>
          <w:bCs/>
        </w:rPr>
      </w:pPr>
      <w:r>
        <w:rPr>
          <w:bCs/>
        </w:rPr>
        <w:t xml:space="preserve">Mr. Galloway stated that while FERC has issued directives to NERC regarding </w:t>
      </w:r>
      <w:r w:rsidR="00CF794A">
        <w:rPr>
          <w:bCs/>
        </w:rPr>
        <w:t xml:space="preserve">cybersecurity for inverter-based resources, these efforts will likely not address access control considerations and that NAESB standards in this area could be beneficial.  </w:t>
      </w:r>
      <w:r w:rsidR="0009142A">
        <w:rPr>
          <w:bCs/>
        </w:rPr>
        <w:t>Ms. Kee stated that in discussing possible requirements, it will be important to consider the continuity, availability, and scalability of a solution.  Mr. Galloway</w:t>
      </w:r>
      <w:r w:rsidR="00CF794A">
        <w:rPr>
          <w:bCs/>
        </w:rPr>
        <w:t xml:space="preserve"> suggested that the development and evaluation of use cases will be important to identify the potential concepts and solutions to address as part of the standards.</w:t>
      </w:r>
    </w:p>
    <w:p w14:paraId="53CA196C" w14:textId="30067DEE" w:rsidR="00996F77" w:rsidRDefault="00D7354D" w:rsidP="0079197D">
      <w:pPr>
        <w:widowControl w:val="0"/>
        <w:numPr>
          <w:ilvl w:val="0"/>
          <w:numId w:val="11"/>
        </w:numPr>
        <w:tabs>
          <w:tab w:val="left" w:pos="1440"/>
        </w:tabs>
        <w:spacing w:before="120"/>
        <w:ind w:left="0" w:firstLine="0"/>
        <w:jc w:val="both"/>
        <w:rPr>
          <w:b/>
          <w:bCs/>
        </w:rPr>
      </w:pPr>
      <w:r>
        <w:rPr>
          <w:b/>
          <w:bCs/>
        </w:rPr>
        <w:t>Other Business</w:t>
      </w:r>
    </w:p>
    <w:p w14:paraId="090CE403" w14:textId="26E694CC" w:rsidR="0079197D" w:rsidRPr="000C515A" w:rsidRDefault="00545E19" w:rsidP="0079197D">
      <w:pPr>
        <w:spacing w:before="120"/>
        <w:jc w:val="both"/>
      </w:pPr>
      <w:r>
        <w:t>Mr. Phillips suggested that for the next meeting, as an initial step in the development of use cases, the participants focus on identifying the different communication paths between parties that are interacting with DERs and the types of data that would need to be exchanged.</w:t>
      </w:r>
    </w:p>
    <w:p w14:paraId="3691BDEB" w14:textId="71C0E59A" w:rsidR="00171CE0" w:rsidRDefault="00C44C62" w:rsidP="0079197D">
      <w:pPr>
        <w:widowControl w:val="0"/>
        <w:numPr>
          <w:ilvl w:val="0"/>
          <w:numId w:val="11"/>
        </w:numPr>
        <w:tabs>
          <w:tab w:val="left" w:pos="1440"/>
        </w:tabs>
        <w:spacing w:before="120"/>
        <w:ind w:left="0" w:firstLine="0"/>
        <w:jc w:val="both"/>
        <w:rPr>
          <w:b/>
          <w:bCs/>
        </w:rPr>
      </w:pPr>
      <w:r w:rsidRPr="00A651AC">
        <w:rPr>
          <w:b/>
          <w:bCs/>
        </w:rPr>
        <w:t>Adjourn</w:t>
      </w:r>
    </w:p>
    <w:p w14:paraId="3FE6566B" w14:textId="3B24FECE" w:rsidR="0079197D" w:rsidRDefault="000D609A" w:rsidP="00445021">
      <w:pPr>
        <w:widowControl w:val="0"/>
        <w:tabs>
          <w:tab w:val="left" w:pos="1440"/>
        </w:tabs>
        <w:spacing w:before="120"/>
        <w:jc w:val="both"/>
        <w:rPr>
          <w:bCs/>
        </w:rPr>
      </w:pPr>
      <w:r>
        <w:rPr>
          <w:bCs/>
        </w:rPr>
        <w:t>The meet</w:t>
      </w:r>
      <w:r w:rsidR="00D876BE">
        <w:rPr>
          <w:bCs/>
        </w:rPr>
        <w:t xml:space="preserve">ing adjourned </w:t>
      </w:r>
      <w:r w:rsidR="001D36F7">
        <w:rPr>
          <w:bCs/>
        </w:rPr>
        <w:t>at</w:t>
      </w:r>
      <w:r w:rsidR="00922889">
        <w:rPr>
          <w:bCs/>
        </w:rPr>
        <w:t xml:space="preserve"> </w:t>
      </w:r>
      <w:r w:rsidR="00545E19">
        <w:rPr>
          <w:bCs/>
        </w:rPr>
        <w:t>2:32 PM</w:t>
      </w:r>
      <w:r w:rsidR="002155FC">
        <w:rPr>
          <w:bCs/>
        </w:rPr>
        <w:t xml:space="preserve"> </w:t>
      </w:r>
      <w:r w:rsidR="00EC0254">
        <w:rPr>
          <w:bCs/>
        </w:rPr>
        <w:t xml:space="preserve">Central on a motion by </w:t>
      </w:r>
      <w:r w:rsidR="00922889">
        <w:rPr>
          <w:bCs/>
        </w:rPr>
        <w:t xml:space="preserve">Mr. </w:t>
      </w:r>
      <w:r w:rsidR="00545E19">
        <w:rPr>
          <w:bCs/>
        </w:rPr>
        <w:t>Galloway.</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79197D">
            <w:pPr>
              <w:widowControl w:val="0"/>
              <w:spacing w:before="120"/>
              <w:rPr>
                <w:rFonts w:ascii="Calibri" w:eastAsiaTheme="minorHAnsi" w:hAnsi="Calibri" w:cs="Calibri"/>
                <w:sz w:val="22"/>
                <w:szCs w:val="22"/>
              </w:rPr>
            </w:pPr>
            <w:bookmarkStart w:id="1"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79197D">
            <w:pPr>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545E19" w:rsidRPr="00922889" w14:paraId="5B56D4E6" w14:textId="77777777" w:rsidTr="001262CB">
        <w:tc>
          <w:tcPr>
            <w:tcW w:w="1998" w:type="dxa"/>
            <w:tcMar>
              <w:top w:w="0" w:type="dxa"/>
              <w:left w:w="108" w:type="dxa"/>
              <w:bottom w:w="0" w:type="dxa"/>
              <w:right w:w="108" w:type="dxa"/>
            </w:tcMar>
          </w:tcPr>
          <w:p w14:paraId="59F34641" w14:textId="61E4BB02" w:rsidR="00545E19" w:rsidRPr="00545E19" w:rsidRDefault="00545E19" w:rsidP="0079197D">
            <w:pPr>
              <w:widowControl w:val="0"/>
              <w:spacing w:before="120"/>
              <w:rPr>
                <w:bCs/>
              </w:rPr>
            </w:pPr>
            <w:r w:rsidRPr="00545E19">
              <w:rPr>
                <w:bCs/>
              </w:rPr>
              <w:t>Rebecca</w:t>
            </w:r>
          </w:p>
        </w:tc>
        <w:tc>
          <w:tcPr>
            <w:tcW w:w="3240" w:type="dxa"/>
            <w:tcMar>
              <w:top w:w="0" w:type="dxa"/>
              <w:left w:w="108" w:type="dxa"/>
              <w:bottom w:w="0" w:type="dxa"/>
              <w:right w:w="108" w:type="dxa"/>
            </w:tcMar>
          </w:tcPr>
          <w:p w14:paraId="64DAFEA2" w14:textId="465A0300" w:rsidR="00545E19" w:rsidRPr="00545E19" w:rsidRDefault="00545E19" w:rsidP="0079197D">
            <w:pPr>
              <w:widowControl w:val="0"/>
              <w:spacing w:before="120"/>
              <w:rPr>
                <w:bCs/>
              </w:rPr>
            </w:pPr>
            <w:r w:rsidRPr="00545E19">
              <w:rPr>
                <w:bCs/>
              </w:rPr>
              <w:t>Berdahl</w:t>
            </w:r>
          </w:p>
        </w:tc>
        <w:tc>
          <w:tcPr>
            <w:tcW w:w="3870" w:type="dxa"/>
            <w:tcMar>
              <w:top w:w="0" w:type="dxa"/>
              <w:left w:w="108" w:type="dxa"/>
              <w:bottom w:w="0" w:type="dxa"/>
              <w:right w:w="108" w:type="dxa"/>
            </w:tcMar>
          </w:tcPr>
          <w:p w14:paraId="40677095" w14:textId="5377DE50" w:rsidR="00545E19" w:rsidRPr="00545E19" w:rsidRDefault="00545E19" w:rsidP="00A55C8D">
            <w:pPr>
              <w:keepNext/>
              <w:keepLines/>
              <w:widowControl w:val="0"/>
              <w:spacing w:before="120"/>
              <w:rPr>
                <w:bCs/>
              </w:rPr>
            </w:pPr>
            <w:r w:rsidRPr="00545E19">
              <w:rPr>
                <w:bCs/>
              </w:rPr>
              <w:t>BPA</w:t>
            </w:r>
          </w:p>
        </w:tc>
      </w:tr>
      <w:tr w:rsidR="00F401CD" w:rsidRPr="00922889" w14:paraId="69E38AD8" w14:textId="77777777" w:rsidTr="001262CB">
        <w:tc>
          <w:tcPr>
            <w:tcW w:w="1998" w:type="dxa"/>
            <w:tcMar>
              <w:top w:w="0" w:type="dxa"/>
              <w:left w:w="108" w:type="dxa"/>
              <w:bottom w:w="0" w:type="dxa"/>
              <w:right w:w="108" w:type="dxa"/>
            </w:tcMar>
          </w:tcPr>
          <w:p w14:paraId="08E7FFAD" w14:textId="2F292B00" w:rsidR="00F401CD" w:rsidRPr="00545E19" w:rsidRDefault="00F401CD" w:rsidP="0079197D">
            <w:pPr>
              <w:widowControl w:val="0"/>
              <w:spacing w:before="120"/>
              <w:rPr>
                <w:bCs/>
              </w:rPr>
            </w:pPr>
            <w:r w:rsidRPr="00545E19">
              <w:rPr>
                <w:bCs/>
              </w:rPr>
              <w:t>Dick</w:t>
            </w:r>
          </w:p>
        </w:tc>
        <w:tc>
          <w:tcPr>
            <w:tcW w:w="3240" w:type="dxa"/>
            <w:tcMar>
              <w:top w:w="0" w:type="dxa"/>
              <w:left w:w="108" w:type="dxa"/>
              <w:bottom w:w="0" w:type="dxa"/>
              <w:right w:w="108" w:type="dxa"/>
            </w:tcMar>
          </w:tcPr>
          <w:p w14:paraId="47483670" w14:textId="5EEB78F0" w:rsidR="00F401CD" w:rsidRPr="00545E19" w:rsidRDefault="00F401CD" w:rsidP="0079197D">
            <w:pPr>
              <w:widowControl w:val="0"/>
              <w:spacing w:before="120"/>
              <w:rPr>
                <w:bCs/>
              </w:rPr>
            </w:pPr>
            <w:r w:rsidRPr="00545E19">
              <w:rPr>
                <w:bCs/>
              </w:rPr>
              <w:t>Brooks</w:t>
            </w:r>
          </w:p>
        </w:tc>
        <w:tc>
          <w:tcPr>
            <w:tcW w:w="3870" w:type="dxa"/>
            <w:tcMar>
              <w:top w:w="0" w:type="dxa"/>
              <w:left w:w="108" w:type="dxa"/>
              <w:bottom w:w="0" w:type="dxa"/>
              <w:right w:w="108" w:type="dxa"/>
            </w:tcMar>
          </w:tcPr>
          <w:p w14:paraId="385D2F12" w14:textId="4B4D8467" w:rsidR="00F401CD" w:rsidRPr="00545E19" w:rsidRDefault="00F401CD" w:rsidP="00A55C8D">
            <w:pPr>
              <w:keepNext/>
              <w:keepLines/>
              <w:widowControl w:val="0"/>
              <w:spacing w:before="120"/>
              <w:rPr>
                <w:bCs/>
              </w:rPr>
            </w:pPr>
            <w:r w:rsidRPr="00545E19">
              <w:rPr>
                <w:bCs/>
              </w:rPr>
              <w:t>Reliable Energy Analytics</w:t>
            </w:r>
          </w:p>
        </w:tc>
      </w:tr>
      <w:tr w:rsidR="007577F1" w:rsidRPr="00922889" w14:paraId="4C5DF025" w14:textId="77777777" w:rsidTr="001262CB">
        <w:tc>
          <w:tcPr>
            <w:tcW w:w="1998" w:type="dxa"/>
            <w:tcMar>
              <w:top w:w="0" w:type="dxa"/>
              <w:left w:w="108" w:type="dxa"/>
              <w:bottom w:w="0" w:type="dxa"/>
              <w:right w:w="108" w:type="dxa"/>
            </w:tcMar>
          </w:tcPr>
          <w:p w14:paraId="51B846DA" w14:textId="66BD36BA" w:rsidR="007577F1" w:rsidRPr="00545E19" w:rsidRDefault="007577F1" w:rsidP="0079197D">
            <w:pPr>
              <w:widowControl w:val="0"/>
              <w:spacing w:before="120"/>
              <w:rPr>
                <w:bCs/>
              </w:rPr>
            </w:pPr>
            <w:r w:rsidRPr="00545E19">
              <w:rPr>
                <w:bCs/>
              </w:rPr>
              <w:t>Michelle</w:t>
            </w:r>
          </w:p>
        </w:tc>
        <w:tc>
          <w:tcPr>
            <w:tcW w:w="3240" w:type="dxa"/>
            <w:tcMar>
              <w:top w:w="0" w:type="dxa"/>
              <w:left w:w="108" w:type="dxa"/>
              <w:bottom w:w="0" w:type="dxa"/>
              <w:right w:w="108" w:type="dxa"/>
            </w:tcMar>
          </w:tcPr>
          <w:p w14:paraId="2582F702" w14:textId="7055867F" w:rsidR="007577F1" w:rsidRPr="00545E19" w:rsidRDefault="007577F1" w:rsidP="0079197D">
            <w:pPr>
              <w:widowControl w:val="0"/>
              <w:spacing w:before="120"/>
              <w:rPr>
                <w:bCs/>
              </w:rPr>
            </w:pPr>
            <w:r w:rsidRPr="00545E19">
              <w:rPr>
                <w:bCs/>
              </w:rPr>
              <w:t>Coon</w:t>
            </w:r>
          </w:p>
        </w:tc>
        <w:tc>
          <w:tcPr>
            <w:tcW w:w="3870" w:type="dxa"/>
            <w:tcMar>
              <w:top w:w="0" w:type="dxa"/>
              <w:left w:w="108" w:type="dxa"/>
              <w:bottom w:w="0" w:type="dxa"/>
              <w:right w:w="108" w:type="dxa"/>
            </w:tcMar>
          </w:tcPr>
          <w:p w14:paraId="2C4ACB17" w14:textId="66FF713E" w:rsidR="007577F1" w:rsidRPr="00545E19" w:rsidRDefault="007577F1" w:rsidP="00A55C8D">
            <w:pPr>
              <w:keepNext/>
              <w:keepLines/>
              <w:widowControl w:val="0"/>
              <w:spacing w:before="120"/>
              <w:rPr>
                <w:bCs/>
              </w:rPr>
            </w:pPr>
            <w:r w:rsidRPr="00545E19">
              <w:rPr>
                <w:bCs/>
              </w:rPr>
              <w:t>OATI</w:t>
            </w:r>
          </w:p>
        </w:tc>
      </w:tr>
      <w:tr w:rsidR="007577F1" w:rsidRPr="00922889" w14:paraId="47C6445A" w14:textId="77777777" w:rsidTr="001262CB">
        <w:tc>
          <w:tcPr>
            <w:tcW w:w="1998" w:type="dxa"/>
            <w:tcMar>
              <w:top w:w="0" w:type="dxa"/>
              <w:left w:w="108" w:type="dxa"/>
              <w:bottom w:w="0" w:type="dxa"/>
              <w:right w:w="108" w:type="dxa"/>
            </w:tcMar>
          </w:tcPr>
          <w:p w14:paraId="6F09A691" w14:textId="7C1257BF" w:rsidR="007577F1" w:rsidRPr="00545E19" w:rsidRDefault="007577F1" w:rsidP="0079197D">
            <w:pPr>
              <w:widowControl w:val="0"/>
              <w:spacing w:before="120"/>
              <w:rPr>
                <w:bCs/>
              </w:rPr>
            </w:pPr>
            <w:r w:rsidRPr="00545E19">
              <w:rPr>
                <w:bCs/>
              </w:rPr>
              <w:t>Keith</w:t>
            </w:r>
          </w:p>
        </w:tc>
        <w:tc>
          <w:tcPr>
            <w:tcW w:w="3240" w:type="dxa"/>
            <w:tcMar>
              <w:top w:w="0" w:type="dxa"/>
              <w:left w:w="108" w:type="dxa"/>
              <w:bottom w:w="0" w:type="dxa"/>
              <w:right w:w="108" w:type="dxa"/>
            </w:tcMar>
          </w:tcPr>
          <w:p w14:paraId="6047F313" w14:textId="7088ED92" w:rsidR="007577F1" w:rsidRPr="00545E19" w:rsidRDefault="007577F1" w:rsidP="0079197D">
            <w:pPr>
              <w:widowControl w:val="0"/>
              <w:spacing w:before="120"/>
              <w:rPr>
                <w:bCs/>
              </w:rPr>
            </w:pPr>
            <w:r w:rsidRPr="00545E19">
              <w:rPr>
                <w:bCs/>
              </w:rPr>
              <w:t>Dalia</w:t>
            </w:r>
          </w:p>
        </w:tc>
        <w:tc>
          <w:tcPr>
            <w:tcW w:w="3870" w:type="dxa"/>
            <w:tcMar>
              <w:top w:w="0" w:type="dxa"/>
              <w:left w:w="108" w:type="dxa"/>
              <w:bottom w:w="0" w:type="dxa"/>
              <w:right w:w="108" w:type="dxa"/>
            </w:tcMar>
          </w:tcPr>
          <w:p w14:paraId="4344F70B" w14:textId="500EF2AC" w:rsidR="007577F1" w:rsidRPr="00545E19" w:rsidRDefault="007577F1" w:rsidP="00A55C8D">
            <w:pPr>
              <w:keepNext/>
              <w:keepLines/>
              <w:widowControl w:val="0"/>
              <w:spacing w:before="120"/>
              <w:rPr>
                <w:bCs/>
              </w:rPr>
            </w:pPr>
            <w:r w:rsidRPr="00545E19">
              <w:rPr>
                <w:bCs/>
              </w:rPr>
              <w:t>Bonneville Power Administration</w:t>
            </w:r>
          </w:p>
        </w:tc>
      </w:tr>
      <w:tr w:rsidR="007577F1" w:rsidRPr="00922889" w14:paraId="6FF9E252" w14:textId="77777777" w:rsidTr="001262CB">
        <w:tc>
          <w:tcPr>
            <w:tcW w:w="1998" w:type="dxa"/>
            <w:tcMar>
              <w:top w:w="0" w:type="dxa"/>
              <w:left w:w="108" w:type="dxa"/>
              <w:bottom w:w="0" w:type="dxa"/>
              <w:right w:w="108" w:type="dxa"/>
            </w:tcMar>
          </w:tcPr>
          <w:p w14:paraId="5D3EF008" w14:textId="1D024B60" w:rsidR="007577F1" w:rsidRPr="00545E19" w:rsidRDefault="007577F1" w:rsidP="0079197D">
            <w:pPr>
              <w:widowControl w:val="0"/>
              <w:spacing w:before="120"/>
              <w:rPr>
                <w:bCs/>
              </w:rPr>
            </w:pPr>
            <w:r w:rsidRPr="00545E19">
              <w:rPr>
                <w:bCs/>
              </w:rPr>
              <w:t>Kate</w:t>
            </w:r>
          </w:p>
        </w:tc>
        <w:tc>
          <w:tcPr>
            <w:tcW w:w="3240" w:type="dxa"/>
            <w:tcMar>
              <w:top w:w="0" w:type="dxa"/>
              <w:left w:w="108" w:type="dxa"/>
              <w:bottom w:w="0" w:type="dxa"/>
              <w:right w:w="108" w:type="dxa"/>
            </w:tcMar>
          </w:tcPr>
          <w:p w14:paraId="528B5A91" w14:textId="063BB93D" w:rsidR="007577F1" w:rsidRPr="00545E19" w:rsidRDefault="007577F1" w:rsidP="0079197D">
            <w:pPr>
              <w:widowControl w:val="0"/>
              <w:spacing w:before="120"/>
              <w:rPr>
                <w:bCs/>
              </w:rPr>
            </w:pPr>
            <w:r w:rsidRPr="00545E19">
              <w:rPr>
                <w:bCs/>
              </w:rPr>
              <w:t>Davis</w:t>
            </w:r>
          </w:p>
        </w:tc>
        <w:tc>
          <w:tcPr>
            <w:tcW w:w="3870" w:type="dxa"/>
            <w:tcMar>
              <w:top w:w="0" w:type="dxa"/>
              <w:left w:w="108" w:type="dxa"/>
              <w:bottom w:w="0" w:type="dxa"/>
              <w:right w:w="108" w:type="dxa"/>
            </w:tcMar>
          </w:tcPr>
          <w:p w14:paraId="471E4996" w14:textId="13B35732" w:rsidR="007577F1" w:rsidRPr="00545E19" w:rsidRDefault="00545E19" w:rsidP="00A55C8D">
            <w:pPr>
              <w:keepNext/>
              <w:keepLines/>
              <w:widowControl w:val="0"/>
              <w:spacing w:before="120"/>
              <w:rPr>
                <w:bCs/>
              </w:rPr>
            </w:pPr>
            <w:r>
              <w:rPr>
                <w:bCs/>
              </w:rPr>
              <w:t>BPA</w:t>
            </w:r>
          </w:p>
        </w:tc>
      </w:tr>
      <w:tr w:rsidR="00545E19" w:rsidRPr="00922889" w14:paraId="3766A215" w14:textId="77777777" w:rsidTr="001262CB">
        <w:tc>
          <w:tcPr>
            <w:tcW w:w="1998" w:type="dxa"/>
            <w:tcMar>
              <w:top w:w="0" w:type="dxa"/>
              <w:left w:w="108" w:type="dxa"/>
              <w:bottom w:w="0" w:type="dxa"/>
              <w:right w:w="108" w:type="dxa"/>
            </w:tcMar>
          </w:tcPr>
          <w:p w14:paraId="53E58E1C" w14:textId="53ECC420" w:rsidR="00545E19" w:rsidRPr="00545E19" w:rsidRDefault="00545E19" w:rsidP="0079197D">
            <w:pPr>
              <w:widowControl w:val="0"/>
              <w:spacing w:before="120"/>
              <w:rPr>
                <w:bCs/>
              </w:rPr>
            </w:pPr>
            <w:r w:rsidRPr="00545E19">
              <w:rPr>
                <w:bCs/>
              </w:rPr>
              <w:t>John</w:t>
            </w:r>
          </w:p>
        </w:tc>
        <w:tc>
          <w:tcPr>
            <w:tcW w:w="3240" w:type="dxa"/>
            <w:tcMar>
              <w:top w:w="0" w:type="dxa"/>
              <w:left w:w="108" w:type="dxa"/>
              <w:bottom w:w="0" w:type="dxa"/>
              <w:right w:w="108" w:type="dxa"/>
            </w:tcMar>
          </w:tcPr>
          <w:p w14:paraId="2889AE73" w14:textId="2475EEFB" w:rsidR="00545E19" w:rsidRPr="00545E19" w:rsidRDefault="00545E19" w:rsidP="0079197D">
            <w:pPr>
              <w:widowControl w:val="0"/>
              <w:spacing w:before="120"/>
              <w:rPr>
                <w:bCs/>
              </w:rPr>
            </w:pPr>
            <w:r w:rsidRPr="00545E19">
              <w:rPr>
                <w:bCs/>
              </w:rPr>
              <w:t>Galloway</w:t>
            </w:r>
          </w:p>
        </w:tc>
        <w:tc>
          <w:tcPr>
            <w:tcW w:w="3870" w:type="dxa"/>
            <w:tcMar>
              <w:top w:w="0" w:type="dxa"/>
              <w:left w:w="108" w:type="dxa"/>
              <w:bottom w:w="0" w:type="dxa"/>
              <w:right w:w="108" w:type="dxa"/>
            </w:tcMar>
          </w:tcPr>
          <w:p w14:paraId="44F6494B" w14:textId="22BC1CBD" w:rsidR="00545E19" w:rsidRPr="00545E19" w:rsidRDefault="00545E19" w:rsidP="00A55C8D">
            <w:pPr>
              <w:keepNext/>
              <w:keepLines/>
              <w:widowControl w:val="0"/>
              <w:spacing w:before="120"/>
              <w:rPr>
                <w:bCs/>
              </w:rPr>
            </w:pPr>
            <w:r w:rsidRPr="00545E19">
              <w:rPr>
                <w:bCs/>
              </w:rPr>
              <w:t>ISO-New England</w:t>
            </w:r>
          </w:p>
        </w:tc>
      </w:tr>
      <w:tr w:rsidR="007577F1" w:rsidRPr="00922889" w14:paraId="7D66BD4F" w14:textId="77777777" w:rsidTr="001262CB">
        <w:tc>
          <w:tcPr>
            <w:tcW w:w="1998" w:type="dxa"/>
            <w:tcMar>
              <w:top w:w="0" w:type="dxa"/>
              <w:left w:w="108" w:type="dxa"/>
              <w:bottom w:w="0" w:type="dxa"/>
              <w:right w:w="108" w:type="dxa"/>
            </w:tcMar>
          </w:tcPr>
          <w:p w14:paraId="32376D40" w14:textId="0531B0D6" w:rsidR="007577F1" w:rsidRPr="00E47B73" w:rsidRDefault="007577F1" w:rsidP="0079197D">
            <w:pPr>
              <w:widowControl w:val="0"/>
              <w:spacing w:before="120"/>
              <w:rPr>
                <w:bCs/>
              </w:rPr>
            </w:pPr>
            <w:r w:rsidRPr="00E47B73">
              <w:rPr>
                <w:bCs/>
              </w:rPr>
              <w:lastRenderedPageBreak/>
              <w:t>Lila</w:t>
            </w:r>
          </w:p>
        </w:tc>
        <w:tc>
          <w:tcPr>
            <w:tcW w:w="3240" w:type="dxa"/>
            <w:tcMar>
              <w:top w:w="0" w:type="dxa"/>
              <w:left w:w="108" w:type="dxa"/>
              <w:bottom w:w="0" w:type="dxa"/>
              <w:right w:w="108" w:type="dxa"/>
            </w:tcMar>
          </w:tcPr>
          <w:p w14:paraId="1366F496" w14:textId="3B07433F" w:rsidR="007577F1" w:rsidRPr="00E47B73" w:rsidRDefault="007577F1" w:rsidP="0079197D">
            <w:pPr>
              <w:widowControl w:val="0"/>
              <w:spacing w:before="120"/>
              <w:rPr>
                <w:bCs/>
              </w:rPr>
            </w:pPr>
            <w:r w:rsidRPr="00E47B73">
              <w:rPr>
                <w:bCs/>
              </w:rPr>
              <w:t>Kee</w:t>
            </w:r>
          </w:p>
        </w:tc>
        <w:tc>
          <w:tcPr>
            <w:tcW w:w="3870" w:type="dxa"/>
            <w:tcMar>
              <w:top w:w="0" w:type="dxa"/>
              <w:left w:w="108" w:type="dxa"/>
              <w:bottom w:w="0" w:type="dxa"/>
              <w:right w:w="108" w:type="dxa"/>
            </w:tcMar>
          </w:tcPr>
          <w:p w14:paraId="6FC1EB24" w14:textId="141369C0" w:rsidR="007577F1" w:rsidRPr="00E47B73" w:rsidRDefault="00D811AE" w:rsidP="00A55C8D">
            <w:pPr>
              <w:keepNext/>
              <w:keepLines/>
              <w:widowControl w:val="0"/>
              <w:spacing w:before="120"/>
              <w:rPr>
                <w:bCs/>
              </w:rPr>
            </w:pPr>
            <w:r w:rsidRPr="00E47B73">
              <w:rPr>
                <w:bCs/>
              </w:rPr>
              <w:t>GlobalSign</w:t>
            </w:r>
          </w:p>
        </w:tc>
      </w:tr>
      <w:tr w:rsidR="00BB2358" w:rsidRPr="00922889" w14:paraId="760A580C" w14:textId="77777777" w:rsidTr="001262CB">
        <w:tc>
          <w:tcPr>
            <w:tcW w:w="1998" w:type="dxa"/>
            <w:tcMar>
              <w:top w:w="0" w:type="dxa"/>
              <w:left w:w="108" w:type="dxa"/>
              <w:bottom w:w="0" w:type="dxa"/>
              <w:right w:w="108" w:type="dxa"/>
            </w:tcMar>
          </w:tcPr>
          <w:p w14:paraId="70365333" w14:textId="23DD7F12" w:rsidR="00BB2358" w:rsidRPr="00E47B73" w:rsidRDefault="00BB2358" w:rsidP="0079197D">
            <w:pPr>
              <w:widowControl w:val="0"/>
              <w:spacing w:before="120"/>
              <w:rPr>
                <w:bCs/>
              </w:rPr>
            </w:pPr>
            <w:r>
              <w:rPr>
                <w:bCs/>
              </w:rPr>
              <w:t xml:space="preserve">Annabelle </w:t>
            </w:r>
          </w:p>
        </w:tc>
        <w:tc>
          <w:tcPr>
            <w:tcW w:w="3240" w:type="dxa"/>
            <w:tcMar>
              <w:top w:w="0" w:type="dxa"/>
              <w:left w:w="108" w:type="dxa"/>
              <w:bottom w:w="0" w:type="dxa"/>
              <w:right w:w="108" w:type="dxa"/>
            </w:tcMar>
          </w:tcPr>
          <w:p w14:paraId="6F22CA14" w14:textId="45FDEFA8" w:rsidR="00BB2358" w:rsidRPr="00E47B73" w:rsidRDefault="00BB2358" w:rsidP="0079197D">
            <w:pPr>
              <w:widowControl w:val="0"/>
              <w:spacing w:before="120"/>
              <w:rPr>
                <w:bCs/>
              </w:rPr>
            </w:pPr>
            <w:r>
              <w:rPr>
                <w:bCs/>
              </w:rPr>
              <w:t>Lee</w:t>
            </w:r>
          </w:p>
        </w:tc>
        <w:tc>
          <w:tcPr>
            <w:tcW w:w="3870" w:type="dxa"/>
            <w:tcMar>
              <w:top w:w="0" w:type="dxa"/>
              <w:left w:w="108" w:type="dxa"/>
              <w:bottom w:w="0" w:type="dxa"/>
              <w:right w:w="108" w:type="dxa"/>
            </w:tcMar>
          </w:tcPr>
          <w:p w14:paraId="24AF5987" w14:textId="55FDDC4D" w:rsidR="00BB2358" w:rsidRPr="00E47B73" w:rsidRDefault="00BB2358" w:rsidP="00A55C8D">
            <w:pPr>
              <w:keepNext/>
              <w:keepLines/>
              <w:widowControl w:val="0"/>
              <w:spacing w:before="120"/>
              <w:rPr>
                <w:bCs/>
              </w:rPr>
            </w:pPr>
            <w:r>
              <w:rPr>
                <w:bCs/>
              </w:rPr>
              <w:t>Nevermore Security</w:t>
            </w:r>
          </w:p>
        </w:tc>
      </w:tr>
      <w:tr w:rsidR="007577F1" w:rsidRPr="00922889" w14:paraId="4D31FE15" w14:textId="77777777" w:rsidTr="001262CB">
        <w:tc>
          <w:tcPr>
            <w:tcW w:w="1998" w:type="dxa"/>
            <w:tcMar>
              <w:top w:w="0" w:type="dxa"/>
              <w:left w:w="108" w:type="dxa"/>
              <w:bottom w:w="0" w:type="dxa"/>
              <w:right w:w="108" w:type="dxa"/>
            </w:tcMar>
          </w:tcPr>
          <w:p w14:paraId="404A3D09" w14:textId="4939CB45" w:rsidR="007577F1" w:rsidRPr="00545E19" w:rsidRDefault="007577F1" w:rsidP="0079197D">
            <w:pPr>
              <w:widowControl w:val="0"/>
              <w:spacing w:before="120"/>
              <w:rPr>
                <w:bCs/>
              </w:rPr>
            </w:pPr>
            <w:r w:rsidRPr="00545E19">
              <w:rPr>
                <w:bCs/>
              </w:rPr>
              <w:t>Elizabeth</w:t>
            </w:r>
          </w:p>
        </w:tc>
        <w:tc>
          <w:tcPr>
            <w:tcW w:w="3240" w:type="dxa"/>
            <w:tcMar>
              <w:top w:w="0" w:type="dxa"/>
              <w:left w:w="108" w:type="dxa"/>
              <w:bottom w:w="0" w:type="dxa"/>
              <w:right w:w="108" w:type="dxa"/>
            </w:tcMar>
          </w:tcPr>
          <w:p w14:paraId="7B146BC4" w14:textId="3455859C" w:rsidR="007577F1" w:rsidRPr="00545E19" w:rsidRDefault="007577F1" w:rsidP="0079197D">
            <w:pPr>
              <w:widowControl w:val="0"/>
              <w:spacing w:before="120"/>
              <w:rPr>
                <w:bCs/>
              </w:rPr>
            </w:pPr>
            <w:r w:rsidRPr="00545E19">
              <w:rPr>
                <w:bCs/>
              </w:rPr>
              <w:t>Mallett</w:t>
            </w:r>
          </w:p>
        </w:tc>
        <w:tc>
          <w:tcPr>
            <w:tcW w:w="3870" w:type="dxa"/>
            <w:tcMar>
              <w:top w:w="0" w:type="dxa"/>
              <w:left w:w="108" w:type="dxa"/>
              <w:bottom w:w="0" w:type="dxa"/>
              <w:right w:w="108" w:type="dxa"/>
            </w:tcMar>
          </w:tcPr>
          <w:p w14:paraId="597734D0" w14:textId="741A477F" w:rsidR="007577F1" w:rsidRPr="00545E19" w:rsidRDefault="007577F1" w:rsidP="00A55C8D">
            <w:pPr>
              <w:keepNext/>
              <w:keepLines/>
              <w:widowControl w:val="0"/>
              <w:spacing w:before="120"/>
              <w:rPr>
                <w:bCs/>
              </w:rPr>
            </w:pPr>
            <w:r w:rsidRPr="00545E19">
              <w:rPr>
                <w:bCs/>
              </w:rPr>
              <w:t>North American Energy Standards Board</w:t>
            </w:r>
          </w:p>
        </w:tc>
      </w:tr>
      <w:tr w:rsidR="007577F1" w:rsidRPr="00922889" w14:paraId="17128149" w14:textId="77777777" w:rsidTr="001262CB">
        <w:tc>
          <w:tcPr>
            <w:tcW w:w="1998" w:type="dxa"/>
            <w:tcMar>
              <w:top w:w="0" w:type="dxa"/>
              <w:left w:w="108" w:type="dxa"/>
              <w:bottom w:w="0" w:type="dxa"/>
              <w:right w:w="108" w:type="dxa"/>
            </w:tcMar>
          </w:tcPr>
          <w:p w14:paraId="7DCB94D8" w14:textId="69BE6BC8" w:rsidR="007577F1" w:rsidRPr="00545E19" w:rsidRDefault="007577F1" w:rsidP="0079197D">
            <w:pPr>
              <w:widowControl w:val="0"/>
              <w:spacing w:before="120"/>
              <w:rPr>
                <w:bCs/>
              </w:rPr>
            </w:pPr>
            <w:r w:rsidRPr="00545E19">
              <w:rPr>
                <w:bCs/>
              </w:rPr>
              <w:t>Catherine</w:t>
            </w:r>
          </w:p>
        </w:tc>
        <w:tc>
          <w:tcPr>
            <w:tcW w:w="3240" w:type="dxa"/>
            <w:tcMar>
              <w:top w:w="0" w:type="dxa"/>
              <w:left w:w="108" w:type="dxa"/>
              <w:bottom w:w="0" w:type="dxa"/>
              <w:right w:w="108" w:type="dxa"/>
            </w:tcMar>
          </w:tcPr>
          <w:p w14:paraId="061A0D18" w14:textId="5F0A0897" w:rsidR="007577F1" w:rsidRPr="00545E19" w:rsidRDefault="007577F1" w:rsidP="0079197D">
            <w:pPr>
              <w:widowControl w:val="0"/>
              <w:spacing w:before="120"/>
              <w:rPr>
                <w:bCs/>
              </w:rPr>
            </w:pPr>
            <w:r w:rsidRPr="00545E19">
              <w:rPr>
                <w:bCs/>
              </w:rPr>
              <w:t>Meiners</w:t>
            </w:r>
          </w:p>
        </w:tc>
        <w:tc>
          <w:tcPr>
            <w:tcW w:w="3870" w:type="dxa"/>
            <w:tcMar>
              <w:top w:w="0" w:type="dxa"/>
              <w:left w:w="108" w:type="dxa"/>
              <w:bottom w:w="0" w:type="dxa"/>
              <w:right w:w="108" w:type="dxa"/>
            </w:tcMar>
          </w:tcPr>
          <w:p w14:paraId="3075177A" w14:textId="0F8FD206" w:rsidR="007577F1" w:rsidRPr="00545E19" w:rsidRDefault="007577F1" w:rsidP="00A55C8D">
            <w:pPr>
              <w:keepNext/>
              <w:keepLines/>
              <w:widowControl w:val="0"/>
              <w:spacing w:before="120"/>
              <w:rPr>
                <w:bCs/>
              </w:rPr>
            </w:pPr>
            <w:r w:rsidRPr="00545E19">
              <w:rPr>
                <w:bCs/>
              </w:rPr>
              <w:t>ERCOT</w:t>
            </w:r>
          </w:p>
        </w:tc>
      </w:tr>
      <w:tr w:rsidR="00EA28F0" w:rsidRPr="00922889" w14:paraId="23E1C061" w14:textId="77777777" w:rsidTr="001262CB">
        <w:tc>
          <w:tcPr>
            <w:tcW w:w="1998" w:type="dxa"/>
            <w:tcMar>
              <w:top w:w="0" w:type="dxa"/>
              <w:left w:w="108" w:type="dxa"/>
              <w:bottom w:w="0" w:type="dxa"/>
              <w:right w:w="108" w:type="dxa"/>
            </w:tcMar>
          </w:tcPr>
          <w:p w14:paraId="3C5E8765" w14:textId="75A22DA8" w:rsidR="00EA28F0" w:rsidRPr="00545E19" w:rsidRDefault="00EA28F0" w:rsidP="0079197D">
            <w:pPr>
              <w:widowControl w:val="0"/>
              <w:spacing w:before="120"/>
              <w:rPr>
                <w:bCs/>
              </w:rPr>
            </w:pPr>
            <w:r w:rsidRPr="00545E19">
              <w:rPr>
                <w:bCs/>
              </w:rPr>
              <w:t>Joshua</w:t>
            </w:r>
          </w:p>
        </w:tc>
        <w:tc>
          <w:tcPr>
            <w:tcW w:w="3240" w:type="dxa"/>
            <w:tcMar>
              <w:top w:w="0" w:type="dxa"/>
              <w:left w:w="108" w:type="dxa"/>
              <w:bottom w:w="0" w:type="dxa"/>
              <w:right w:w="108" w:type="dxa"/>
            </w:tcMar>
          </w:tcPr>
          <w:p w14:paraId="117D0E94" w14:textId="5D650685" w:rsidR="00EA28F0" w:rsidRPr="00545E19" w:rsidRDefault="00EA28F0" w:rsidP="0079197D">
            <w:pPr>
              <w:widowControl w:val="0"/>
              <w:spacing w:before="120"/>
              <w:rPr>
                <w:bCs/>
              </w:rPr>
            </w:pPr>
            <w:r w:rsidRPr="00545E19">
              <w:rPr>
                <w:bCs/>
              </w:rPr>
              <w:t>Phillips</w:t>
            </w:r>
          </w:p>
        </w:tc>
        <w:tc>
          <w:tcPr>
            <w:tcW w:w="3870" w:type="dxa"/>
            <w:tcMar>
              <w:top w:w="0" w:type="dxa"/>
              <w:left w:w="108" w:type="dxa"/>
              <w:bottom w:w="0" w:type="dxa"/>
              <w:right w:w="108" w:type="dxa"/>
            </w:tcMar>
          </w:tcPr>
          <w:p w14:paraId="05A4F1ED" w14:textId="77DDEBE2" w:rsidR="00EA28F0" w:rsidRPr="00545E19" w:rsidRDefault="00EA28F0" w:rsidP="00A55C8D">
            <w:pPr>
              <w:keepNext/>
              <w:keepLines/>
              <w:widowControl w:val="0"/>
              <w:spacing w:before="120"/>
              <w:rPr>
                <w:bCs/>
              </w:rPr>
            </w:pPr>
            <w:r w:rsidRPr="00545E19">
              <w:rPr>
                <w:bCs/>
              </w:rPr>
              <w:t>S</w:t>
            </w:r>
            <w:r w:rsidR="00184FD1" w:rsidRPr="00545E19">
              <w:rPr>
                <w:bCs/>
              </w:rPr>
              <w:t xml:space="preserve">outhwest </w:t>
            </w:r>
            <w:r w:rsidRPr="00545E19">
              <w:rPr>
                <w:bCs/>
              </w:rPr>
              <w:t>P</w:t>
            </w:r>
            <w:r w:rsidR="00184FD1" w:rsidRPr="00545E19">
              <w:rPr>
                <w:bCs/>
              </w:rPr>
              <w:t xml:space="preserve">ower </w:t>
            </w:r>
            <w:r w:rsidRPr="00545E19">
              <w:rPr>
                <w:bCs/>
              </w:rPr>
              <w:t>P</w:t>
            </w:r>
            <w:r w:rsidR="00184FD1" w:rsidRPr="00545E19">
              <w:rPr>
                <w:bCs/>
              </w:rPr>
              <w:t>ool</w:t>
            </w:r>
          </w:p>
        </w:tc>
      </w:tr>
      <w:tr w:rsidR="007577F1" w:rsidRPr="00922889" w14:paraId="220AFFF3" w14:textId="77777777" w:rsidTr="001262CB">
        <w:tc>
          <w:tcPr>
            <w:tcW w:w="1998" w:type="dxa"/>
            <w:tcMar>
              <w:top w:w="0" w:type="dxa"/>
              <w:left w:w="108" w:type="dxa"/>
              <w:bottom w:w="0" w:type="dxa"/>
              <w:right w:w="108" w:type="dxa"/>
            </w:tcMar>
          </w:tcPr>
          <w:p w14:paraId="02A6F67A" w14:textId="56006C71" w:rsidR="007577F1" w:rsidRPr="00545E19" w:rsidRDefault="007577F1" w:rsidP="0079197D">
            <w:pPr>
              <w:widowControl w:val="0"/>
              <w:spacing w:before="120"/>
              <w:rPr>
                <w:bCs/>
              </w:rPr>
            </w:pPr>
            <w:r w:rsidRPr="00545E19">
              <w:rPr>
                <w:bCs/>
              </w:rPr>
              <w:t>Lisa</w:t>
            </w:r>
          </w:p>
        </w:tc>
        <w:tc>
          <w:tcPr>
            <w:tcW w:w="3240" w:type="dxa"/>
            <w:tcMar>
              <w:top w:w="0" w:type="dxa"/>
              <w:left w:w="108" w:type="dxa"/>
              <w:bottom w:w="0" w:type="dxa"/>
              <w:right w:w="108" w:type="dxa"/>
            </w:tcMar>
          </w:tcPr>
          <w:p w14:paraId="5A4A475D" w14:textId="26646D9F" w:rsidR="007577F1" w:rsidRPr="00545E19" w:rsidRDefault="007577F1" w:rsidP="0079197D">
            <w:pPr>
              <w:widowControl w:val="0"/>
              <w:spacing w:before="120"/>
              <w:rPr>
                <w:bCs/>
              </w:rPr>
            </w:pPr>
            <w:r w:rsidRPr="00545E19">
              <w:rPr>
                <w:bCs/>
              </w:rPr>
              <w:t>Sieg</w:t>
            </w:r>
          </w:p>
        </w:tc>
        <w:tc>
          <w:tcPr>
            <w:tcW w:w="3870" w:type="dxa"/>
            <w:tcMar>
              <w:top w:w="0" w:type="dxa"/>
              <w:left w:w="108" w:type="dxa"/>
              <w:bottom w:w="0" w:type="dxa"/>
              <w:right w:w="108" w:type="dxa"/>
            </w:tcMar>
          </w:tcPr>
          <w:p w14:paraId="6EA09898" w14:textId="66760C02" w:rsidR="007577F1" w:rsidRPr="00545E19" w:rsidRDefault="00307A76" w:rsidP="00A55C8D">
            <w:pPr>
              <w:keepNext/>
              <w:keepLines/>
              <w:widowControl w:val="0"/>
              <w:spacing w:before="120"/>
              <w:rPr>
                <w:bCs/>
              </w:rPr>
            </w:pPr>
            <w:r w:rsidRPr="00545E19">
              <w:rPr>
                <w:bCs/>
              </w:rPr>
              <w:t xml:space="preserve">LG&amp;E and KU </w:t>
            </w:r>
          </w:p>
        </w:tc>
      </w:tr>
      <w:tr w:rsidR="007577F1" w:rsidRPr="00286562" w14:paraId="24ED8ABC" w14:textId="77777777" w:rsidTr="001262CB">
        <w:tc>
          <w:tcPr>
            <w:tcW w:w="1998" w:type="dxa"/>
            <w:tcMar>
              <w:top w:w="0" w:type="dxa"/>
              <w:left w:w="108" w:type="dxa"/>
              <w:bottom w:w="0" w:type="dxa"/>
              <w:right w:w="108" w:type="dxa"/>
            </w:tcMar>
          </w:tcPr>
          <w:p w14:paraId="118A017B" w14:textId="4C0094C7" w:rsidR="007577F1" w:rsidRPr="00545E19" w:rsidRDefault="007577F1" w:rsidP="0079197D">
            <w:pPr>
              <w:widowControl w:val="0"/>
              <w:spacing w:before="120"/>
              <w:rPr>
                <w:bCs/>
              </w:rPr>
            </w:pPr>
            <w:r w:rsidRPr="00545E19">
              <w:rPr>
                <w:bCs/>
              </w:rPr>
              <w:t>Scott</w:t>
            </w:r>
          </w:p>
        </w:tc>
        <w:tc>
          <w:tcPr>
            <w:tcW w:w="3240" w:type="dxa"/>
            <w:tcMar>
              <w:top w:w="0" w:type="dxa"/>
              <w:left w:w="108" w:type="dxa"/>
              <w:bottom w:w="0" w:type="dxa"/>
              <w:right w:w="108" w:type="dxa"/>
            </w:tcMar>
          </w:tcPr>
          <w:p w14:paraId="766796AF" w14:textId="7B49522D" w:rsidR="007577F1" w:rsidRPr="00545E19" w:rsidRDefault="007577F1" w:rsidP="0079197D">
            <w:pPr>
              <w:widowControl w:val="0"/>
              <w:spacing w:before="120"/>
              <w:rPr>
                <w:bCs/>
              </w:rPr>
            </w:pPr>
            <w:r w:rsidRPr="00545E19">
              <w:rPr>
                <w:bCs/>
              </w:rPr>
              <w:t>Stewart</w:t>
            </w:r>
          </w:p>
        </w:tc>
        <w:tc>
          <w:tcPr>
            <w:tcW w:w="3870" w:type="dxa"/>
            <w:tcMar>
              <w:top w:w="0" w:type="dxa"/>
              <w:left w:w="108" w:type="dxa"/>
              <w:bottom w:w="0" w:type="dxa"/>
              <w:right w:w="108" w:type="dxa"/>
            </w:tcMar>
          </w:tcPr>
          <w:p w14:paraId="7F0CB0F4" w14:textId="5DC38B11" w:rsidR="007577F1" w:rsidRPr="00545E19" w:rsidRDefault="007577F1" w:rsidP="00A55C8D">
            <w:pPr>
              <w:keepNext/>
              <w:keepLines/>
              <w:widowControl w:val="0"/>
              <w:spacing w:before="120"/>
              <w:rPr>
                <w:bCs/>
              </w:rPr>
            </w:pPr>
            <w:r w:rsidRPr="00545E19">
              <w:rPr>
                <w:bCs/>
              </w:rPr>
              <w:t>Bonneville Power Administration</w:t>
            </w:r>
          </w:p>
        </w:tc>
      </w:tr>
      <w:tr w:rsidR="00BE24C3" w:rsidRPr="00286562" w14:paraId="5F9BFAF0" w14:textId="77777777" w:rsidTr="001262CB">
        <w:tc>
          <w:tcPr>
            <w:tcW w:w="1998" w:type="dxa"/>
            <w:tcMar>
              <w:top w:w="0" w:type="dxa"/>
              <w:left w:w="108" w:type="dxa"/>
              <w:bottom w:w="0" w:type="dxa"/>
              <w:right w:w="108" w:type="dxa"/>
            </w:tcMar>
            <w:hideMark/>
          </w:tcPr>
          <w:p w14:paraId="572E9716" w14:textId="43A27F75" w:rsidR="00BE24C3" w:rsidRPr="00545E19" w:rsidRDefault="007577F1" w:rsidP="0079197D">
            <w:pPr>
              <w:widowControl w:val="0"/>
              <w:spacing w:before="120"/>
              <w:rPr>
                <w:bCs/>
              </w:rPr>
            </w:pPr>
            <w:r w:rsidRPr="00545E19">
              <w:rPr>
                <w:bCs/>
              </w:rPr>
              <w:t>Caroline</w:t>
            </w:r>
          </w:p>
        </w:tc>
        <w:tc>
          <w:tcPr>
            <w:tcW w:w="3240" w:type="dxa"/>
            <w:tcMar>
              <w:top w:w="0" w:type="dxa"/>
              <w:left w:w="108" w:type="dxa"/>
              <w:bottom w:w="0" w:type="dxa"/>
              <w:right w:w="108" w:type="dxa"/>
            </w:tcMar>
            <w:hideMark/>
          </w:tcPr>
          <w:p w14:paraId="3166FE36" w14:textId="77777777" w:rsidR="00BE24C3" w:rsidRPr="00545E19" w:rsidRDefault="00BE24C3" w:rsidP="0079197D">
            <w:pPr>
              <w:widowControl w:val="0"/>
              <w:spacing w:before="120"/>
              <w:rPr>
                <w:bCs/>
              </w:rPr>
            </w:pPr>
            <w:r w:rsidRPr="00545E19">
              <w:rPr>
                <w:bCs/>
              </w:rPr>
              <w:t>Trum</w:t>
            </w:r>
          </w:p>
        </w:tc>
        <w:tc>
          <w:tcPr>
            <w:tcW w:w="3870" w:type="dxa"/>
            <w:tcMar>
              <w:top w:w="0" w:type="dxa"/>
              <w:left w:w="108" w:type="dxa"/>
              <w:bottom w:w="0" w:type="dxa"/>
              <w:right w:w="108" w:type="dxa"/>
            </w:tcMar>
            <w:hideMark/>
          </w:tcPr>
          <w:p w14:paraId="57332193" w14:textId="0D4561F1" w:rsidR="00BE24C3" w:rsidRPr="00545E19" w:rsidRDefault="00BE24C3" w:rsidP="00A55C8D">
            <w:pPr>
              <w:keepNext/>
              <w:keepLines/>
              <w:widowControl w:val="0"/>
              <w:spacing w:before="120"/>
              <w:rPr>
                <w:bCs/>
              </w:rPr>
            </w:pPr>
            <w:r w:rsidRPr="00545E19">
              <w:rPr>
                <w:bCs/>
              </w:rPr>
              <w:t>N</w:t>
            </w:r>
            <w:r w:rsidR="007577F1" w:rsidRPr="00545E19">
              <w:rPr>
                <w:bCs/>
              </w:rPr>
              <w:t>orth American Energy Standards Board</w:t>
            </w:r>
          </w:p>
        </w:tc>
      </w:tr>
      <w:tr w:rsidR="007577F1" w:rsidRPr="00286562" w14:paraId="44265368" w14:textId="77777777" w:rsidTr="001262CB">
        <w:tc>
          <w:tcPr>
            <w:tcW w:w="1998" w:type="dxa"/>
            <w:tcMar>
              <w:top w:w="0" w:type="dxa"/>
              <w:left w:w="108" w:type="dxa"/>
              <w:bottom w:w="0" w:type="dxa"/>
              <w:right w:w="108" w:type="dxa"/>
            </w:tcMar>
          </w:tcPr>
          <w:p w14:paraId="2544E291" w14:textId="72806B55" w:rsidR="007577F1" w:rsidRPr="00545E19" w:rsidRDefault="007577F1" w:rsidP="0079197D">
            <w:pPr>
              <w:widowControl w:val="0"/>
              <w:spacing w:before="120"/>
              <w:rPr>
                <w:bCs/>
              </w:rPr>
            </w:pPr>
            <w:r w:rsidRPr="00545E19">
              <w:rPr>
                <w:bCs/>
              </w:rPr>
              <w:t xml:space="preserve">Sam </w:t>
            </w:r>
          </w:p>
        </w:tc>
        <w:tc>
          <w:tcPr>
            <w:tcW w:w="3240" w:type="dxa"/>
            <w:tcMar>
              <w:top w:w="0" w:type="dxa"/>
              <w:left w:w="108" w:type="dxa"/>
              <w:bottom w:w="0" w:type="dxa"/>
              <w:right w:w="108" w:type="dxa"/>
            </w:tcMar>
          </w:tcPr>
          <w:p w14:paraId="5EB4927D" w14:textId="648527EF" w:rsidR="007577F1" w:rsidRPr="00545E19" w:rsidRDefault="007577F1" w:rsidP="0079197D">
            <w:pPr>
              <w:widowControl w:val="0"/>
              <w:spacing w:before="120"/>
              <w:rPr>
                <w:bCs/>
              </w:rPr>
            </w:pPr>
            <w:r w:rsidRPr="00545E19">
              <w:rPr>
                <w:bCs/>
              </w:rPr>
              <w:t>Watson</w:t>
            </w:r>
          </w:p>
        </w:tc>
        <w:tc>
          <w:tcPr>
            <w:tcW w:w="3870" w:type="dxa"/>
            <w:tcMar>
              <w:top w:w="0" w:type="dxa"/>
              <w:left w:w="108" w:type="dxa"/>
              <w:bottom w:w="0" w:type="dxa"/>
              <w:right w:w="108" w:type="dxa"/>
            </w:tcMar>
          </w:tcPr>
          <w:p w14:paraId="5064BFFE" w14:textId="09B45B1B" w:rsidR="007577F1" w:rsidRPr="00545E19" w:rsidRDefault="007577F1" w:rsidP="00A55C8D">
            <w:pPr>
              <w:keepNext/>
              <w:keepLines/>
              <w:widowControl w:val="0"/>
              <w:spacing w:before="120"/>
              <w:rPr>
                <w:bCs/>
              </w:rPr>
            </w:pPr>
            <w:r w:rsidRPr="00545E19">
              <w:rPr>
                <w:bCs/>
              </w:rPr>
              <w:t>North Carolina Utilities Commission</w:t>
            </w:r>
          </w:p>
        </w:tc>
      </w:tr>
      <w:tr w:rsidR="00F401CD" w:rsidRPr="00286562" w14:paraId="2273A6AA" w14:textId="77777777" w:rsidTr="001262CB">
        <w:tc>
          <w:tcPr>
            <w:tcW w:w="1998" w:type="dxa"/>
            <w:tcMar>
              <w:top w:w="0" w:type="dxa"/>
              <w:left w:w="108" w:type="dxa"/>
              <w:bottom w:w="0" w:type="dxa"/>
              <w:right w:w="108" w:type="dxa"/>
            </w:tcMar>
          </w:tcPr>
          <w:p w14:paraId="1A877716" w14:textId="0419F2B3" w:rsidR="00F401CD" w:rsidRPr="00545E19" w:rsidRDefault="00F401CD" w:rsidP="0079197D">
            <w:pPr>
              <w:widowControl w:val="0"/>
              <w:spacing w:before="120"/>
              <w:rPr>
                <w:bCs/>
              </w:rPr>
            </w:pPr>
            <w:r w:rsidRPr="00545E19">
              <w:rPr>
                <w:bCs/>
              </w:rPr>
              <w:t>Jason</w:t>
            </w:r>
          </w:p>
        </w:tc>
        <w:tc>
          <w:tcPr>
            <w:tcW w:w="3240" w:type="dxa"/>
            <w:tcMar>
              <w:top w:w="0" w:type="dxa"/>
              <w:left w:w="108" w:type="dxa"/>
              <w:bottom w:w="0" w:type="dxa"/>
              <w:right w:w="108" w:type="dxa"/>
            </w:tcMar>
          </w:tcPr>
          <w:p w14:paraId="59F0445B" w14:textId="572F0972" w:rsidR="00F401CD" w:rsidRPr="00545E19" w:rsidRDefault="00F401CD" w:rsidP="0079197D">
            <w:pPr>
              <w:widowControl w:val="0"/>
              <w:spacing w:before="120"/>
              <w:rPr>
                <w:bCs/>
              </w:rPr>
            </w:pPr>
            <w:r w:rsidRPr="00545E19">
              <w:rPr>
                <w:bCs/>
              </w:rPr>
              <w:t>Williams</w:t>
            </w:r>
          </w:p>
        </w:tc>
        <w:tc>
          <w:tcPr>
            <w:tcW w:w="3870" w:type="dxa"/>
            <w:tcMar>
              <w:top w:w="0" w:type="dxa"/>
              <w:left w:w="108" w:type="dxa"/>
              <w:bottom w:w="0" w:type="dxa"/>
              <w:right w:w="108" w:type="dxa"/>
            </w:tcMar>
          </w:tcPr>
          <w:p w14:paraId="717B4E31" w14:textId="4DB53E38" w:rsidR="00F401CD" w:rsidRPr="00545E19" w:rsidRDefault="00F401CD" w:rsidP="00A55C8D">
            <w:pPr>
              <w:keepNext/>
              <w:keepLines/>
              <w:widowControl w:val="0"/>
              <w:spacing w:before="120"/>
              <w:rPr>
                <w:bCs/>
              </w:rPr>
            </w:pPr>
            <w:r w:rsidRPr="00545E19">
              <w:rPr>
                <w:bCs/>
              </w:rPr>
              <w:t>Southern Company</w:t>
            </w:r>
          </w:p>
        </w:tc>
      </w:tr>
      <w:bookmarkEnd w:id="1"/>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9"/>
      <w:footerReference w:type="default" r:id="rId10"/>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A986" w14:textId="77777777" w:rsidR="00163933" w:rsidRDefault="00163933">
      <w:r>
        <w:separator/>
      </w:r>
    </w:p>
  </w:endnote>
  <w:endnote w:type="continuationSeparator" w:id="0">
    <w:p w14:paraId="1ED92425" w14:textId="77777777" w:rsidR="00163933" w:rsidRDefault="0016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FA7" w14:textId="304F3BA5" w:rsidR="00F7176E" w:rsidRPr="00176FB9" w:rsidRDefault="00F7176E" w:rsidP="005E6421">
    <w:pPr>
      <w:pStyle w:val="Footer"/>
      <w:pBdr>
        <w:top w:val="single" w:sz="12" w:space="1" w:color="auto"/>
      </w:pBdr>
      <w:jc w:val="right"/>
      <w:rPr>
        <w:sz w:val="18"/>
        <w:szCs w:val="18"/>
      </w:rPr>
    </w:pPr>
    <w:r>
      <w:rPr>
        <w:sz w:val="18"/>
        <w:szCs w:val="18"/>
      </w:rPr>
      <w:t>WEQ BPS</w:t>
    </w:r>
    <w:r w:rsidR="00941592">
      <w:rPr>
        <w:sz w:val="18"/>
        <w:szCs w:val="18"/>
      </w:rPr>
      <w:t xml:space="preserve">, RMQ BPS, and WEQ CSS </w:t>
    </w:r>
    <w:r w:rsidR="00FF4092">
      <w:rPr>
        <w:sz w:val="18"/>
        <w:szCs w:val="18"/>
      </w:rPr>
      <w:t>Final</w:t>
    </w:r>
    <w:r>
      <w:rPr>
        <w:sz w:val="18"/>
        <w:szCs w:val="18"/>
      </w:rPr>
      <w:t xml:space="preserve"> Meeting Minutes </w:t>
    </w:r>
    <w:r w:rsidRPr="00176FB9">
      <w:rPr>
        <w:sz w:val="18"/>
        <w:szCs w:val="18"/>
      </w:rPr>
      <w:t>–</w:t>
    </w:r>
    <w:r w:rsidR="0038023A">
      <w:rPr>
        <w:sz w:val="18"/>
        <w:szCs w:val="18"/>
      </w:rPr>
      <w:t xml:space="preserve"> </w:t>
    </w:r>
    <w:r w:rsidR="00941592">
      <w:rPr>
        <w:sz w:val="18"/>
        <w:szCs w:val="18"/>
      </w:rPr>
      <w:t xml:space="preserve">October </w:t>
    </w:r>
    <w:r w:rsidR="00E47B73">
      <w:rPr>
        <w:sz w:val="18"/>
        <w:szCs w:val="18"/>
      </w:rPr>
      <w:t>23</w:t>
    </w:r>
    <w:r w:rsidR="00941592">
      <w:rPr>
        <w:sz w:val="18"/>
        <w:szCs w:val="18"/>
      </w:rPr>
      <w:t>, 2023</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FCB7" w14:textId="77777777" w:rsidR="00163933" w:rsidRDefault="00163933">
      <w:r>
        <w:separator/>
      </w:r>
    </w:p>
  </w:footnote>
  <w:footnote w:type="continuationSeparator" w:id="0">
    <w:p w14:paraId="39C86136" w14:textId="77777777" w:rsidR="00163933" w:rsidRDefault="00163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B3D51E3"/>
    <w:multiLevelType w:val="hybridMultilevel"/>
    <w:tmpl w:val="1584C38A"/>
    <w:lvl w:ilvl="0" w:tplc="FFDE8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0" w15:restartNumberingAfterBreak="0">
    <w:nsid w:val="321622A9"/>
    <w:multiLevelType w:val="hybridMultilevel"/>
    <w:tmpl w:val="0CCA02BE"/>
    <w:lvl w:ilvl="0" w:tplc="8FD6AF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22"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6"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8"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40"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3"/>
  </w:num>
  <w:num w:numId="2" w16cid:durableId="213082767">
    <w:abstractNumId w:val="17"/>
  </w:num>
  <w:num w:numId="3" w16cid:durableId="228997703">
    <w:abstractNumId w:val="34"/>
  </w:num>
  <w:num w:numId="4" w16cid:durableId="1936547836">
    <w:abstractNumId w:val="41"/>
  </w:num>
  <w:num w:numId="5" w16cid:durableId="918439651">
    <w:abstractNumId w:val="10"/>
  </w:num>
  <w:num w:numId="6" w16cid:durableId="1601640830">
    <w:abstractNumId w:val="36"/>
  </w:num>
  <w:num w:numId="7" w16cid:durableId="38825310">
    <w:abstractNumId w:val="9"/>
  </w:num>
  <w:num w:numId="8" w16cid:durableId="1860660652">
    <w:abstractNumId w:val="12"/>
  </w:num>
  <w:num w:numId="9" w16cid:durableId="1096249235">
    <w:abstractNumId w:val="13"/>
  </w:num>
  <w:num w:numId="10" w16cid:durableId="1044909686">
    <w:abstractNumId w:val="4"/>
  </w:num>
  <w:num w:numId="11" w16cid:durableId="1653287285">
    <w:abstractNumId w:val="25"/>
  </w:num>
  <w:num w:numId="12" w16cid:durableId="693113558">
    <w:abstractNumId w:val="6"/>
  </w:num>
  <w:num w:numId="13" w16cid:durableId="1279530205">
    <w:abstractNumId w:val="15"/>
  </w:num>
  <w:num w:numId="14" w16cid:durableId="1358391778">
    <w:abstractNumId w:val="19"/>
  </w:num>
  <w:num w:numId="15" w16cid:durableId="797454161">
    <w:abstractNumId w:val="11"/>
  </w:num>
  <w:num w:numId="16" w16cid:durableId="641740180">
    <w:abstractNumId w:val="2"/>
  </w:num>
  <w:num w:numId="17" w16cid:durableId="154493278">
    <w:abstractNumId w:val="44"/>
  </w:num>
  <w:num w:numId="18" w16cid:durableId="919752428">
    <w:abstractNumId w:val="23"/>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6"/>
  </w:num>
  <w:num w:numId="21" w16cid:durableId="1327245217">
    <w:abstractNumId w:val="42"/>
  </w:num>
  <w:num w:numId="22" w16cid:durableId="1432434037">
    <w:abstractNumId w:val="27"/>
  </w:num>
  <w:num w:numId="23" w16cid:durableId="479855235">
    <w:abstractNumId w:val="38"/>
  </w:num>
  <w:num w:numId="24" w16cid:durableId="154879141">
    <w:abstractNumId w:val="39"/>
  </w:num>
  <w:num w:numId="25" w16cid:durableId="318770904">
    <w:abstractNumId w:val="21"/>
  </w:num>
  <w:num w:numId="26" w16cid:durableId="244800911">
    <w:abstractNumId w:val="37"/>
  </w:num>
  <w:num w:numId="27" w16cid:durableId="4988435">
    <w:abstractNumId w:val="22"/>
  </w:num>
  <w:num w:numId="28" w16cid:durableId="1289050080">
    <w:abstractNumId w:val="5"/>
  </w:num>
  <w:num w:numId="29" w16cid:durableId="185486468">
    <w:abstractNumId w:val="30"/>
  </w:num>
  <w:num w:numId="30" w16cid:durableId="1722486156">
    <w:abstractNumId w:val="35"/>
  </w:num>
  <w:num w:numId="31" w16cid:durableId="1437480256">
    <w:abstractNumId w:val="40"/>
  </w:num>
  <w:num w:numId="32" w16cid:durableId="18432699">
    <w:abstractNumId w:val="29"/>
  </w:num>
  <w:num w:numId="33" w16cid:durableId="585383483">
    <w:abstractNumId w:val="28"/>
  </w:num>
  <w:num w:numId="34" w16cid:durableId="501631256">
    <w:abstractNumId w:val="26"/>
  </w:num>
  <w:num w:numId="35" w16cid:durableId="1536885961">
    <w:abstractNumId w:val="31"/>
  </w:num>
  <w:num w:numId="36" w16cid:durableId="1118331430">
    <w:abstractNumId w:val="14"/>
  </w:num>
  <w:num w:numId="37" w16cid:durableId="951210971">
    <w:abstractNumId w:val="32"/>
  </w:num>
  <w:num w:numId="38" w16cid:durableId="479880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4"/>
  </w:num>
  <w:num w:numId="40" w16cid:durableId="1517188946">
    <w:abstractNumId w:val="8"/>
  </w:num>
  <w:num w:numId="41" w16cid:durableId="1042635673">
    <w:abstractNumId w:val="3"/>
  </w:num>
  <w:num w:numId="42" w16cid:durableId="1268544486">
    <w:abstractNumId w:val="1"/>
  </w:num>
  <w:num w:numId="43" w16cid:durableId="976567778">
    <w:abstractNumId w:val="0"/>
  </w:num>
  <w:num w:numId="44" w16cid:durableId="80439222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4880853">
    <w:abstractNumId w:val="20"/>
  </w:num>
  <w:num w:numId="46" w16cid:durableId="678656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71"/>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42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8E3"/>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3C1"/>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5A"/>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2A5"/>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933"/>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3FBD"/>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5B9"/>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C24"/>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64"/>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5D1"/>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4D35"/>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A7E9E"/>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DA5"/>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A76"/>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1FA"/>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297E"/>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5D"/>
    <w:rsid w:val="004257D7"/>
    <w:rsid w:val="004258BE"/>
    <w:rsid w:val="00425A0A"/>
    <w:rsid w:val="0042648A"/>
    <w:rsid w:val="0042675B"/>
    <w:rsid w:val="00426905"/>
    <w:rsid w:val="00426950"/>
    <w:rsid w:val="00426E32"/>
    <w:rsid w:val="00427228"/>
    <w:rsid w:val="004273A6"/>
    <w:rsid w:val="00427724"/>
    <w:rsid w:val="00427BF2"/>
    <w:rsid w:val="00430400"/>
    <w:rsid w:val="00430544"/>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021"/>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0D2"/>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8F0"/>
    <w:rsid w:val="004F7923"/>
    <w:rsid w:val="004F7A35"/>
    <w:rsid w:val="004F7E97"/>
    <w:rsid w:val="00500302"/>
    <w:rsid w:val="005003F1"/>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ED2"/>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6B6"/>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E19"/>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B5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74F"/>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277"/>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978"/>
    <w:rsid w:val="00585CCE"/>
    <w:rsid w:val="005860BF"/>
    <w:rsid w:val="0058669C"/>
    <w:rsid w:val="005869B0"/>
    <w:rsid w:val="00586A71"/>
    <w:rsid w:val="005905DC"/>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318"/>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F1"/>
    <w:rsid w:val="005B3AAE"/>
    <w:rsid w:val="005B3B38"/>
    <w:rsid w:val="005B3E5C"/>
    <w:rsid w:val="005B4EFA"/>
    <w:rsid w:val="005B576B"/>
    <w:rsid w:val="005B5A13"/>
    <w:rsid w:val="005B608F"/>
    <w:rsid w:val="005B60DC"/>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3C85"/>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4E0"/>
    <w:rsid w:val="005E056D"/>
    <w:rsid w:val="005E06C4"/>
    <w:rsid w:val="005E08D1"/>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B68"/>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44A"/>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388"/>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DBB"/>
    <w:rsid w:val="00716E47"/>
    <w:rsid w:val="00717A07"/>
    <w:rsid w:val="00717B5A"/>
    <w:rsid w:val="007200EA"/>
    <w:rsid w:val="00720361"/>
    <w:rsid w:val="007205CF"/>
    <w:rsid w:val="00720868"/>
    <w:rsid w:val="00720DF9"/>
    <w:rsid w:val="00721A70"/>
    <w:rsid w:val="007220DD"/>
    <w:rsid w:val="007222F2"/>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09AC"/>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2AB"/>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577F1"/>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2FA6"/>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97D"/>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64"/>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2AA4"/>
    <w:rsid w:val="007C390A"/>
    <w:rsid w:val="007C3958"/>
    <w:rsid w:val="007C3BD7"/>
    <w:rsid w:val="007C3C9B"/>
    <w:rsid w:val="007C3F26"/>
    <w:rsid w:val="007C4A4A"/>
    <w:rsid w:val="007C4F8B"/>
    <w:rsid w:val="007C533B"/>
    <w:rsid w:val="007C54E3"/>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AEA"/>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A3C"/>
    <w:rsid w:val="009023AC"/>
    <w:rsid w:val="0090289A"/>
    <w:rsid w:val="00902D5D"/>
    <w:rsid w:val="00903A10"/>
    <w:rsid w:val="00903A93"/>
    <w:rsid w:val="00903CD6"/>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1592"/>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64D"/>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56D"/>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E8B"/>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8E7"/>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0FAE"/>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2C"/>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AA"/>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58"/>
    <w:rsid w:val="00BB23AD"/>
    <w:rsid w:val="00BB2D4F"/>
    <w:rsid w:val="00BB2DC2"/>
    <w:rsid w:val="00BB33A0"/>
    <w:rsid w:val="00BB362E"/>
    <w:rsid w:val="00BB377E"/>
    <w:rsid w:val="00BB3795"/>
    <w:rsid w:val="00BB3B08"/>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082"/>
    <w:rsid w:val="00C1211F"/>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6D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032"/>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E47"/>
    <w:rsid w:val="00CE60C0"/>
    <w:rsid w:val="00CE614D"/>
    <w:rsid w:val="00CE66F0"/>
    <w:rsid w:val="00CE6E2F"/>
    <w:rsid w:val="00CE7641"/>
    <w:rsid w:val="00CE7C3A"/>
    <w:rsid w:val="00CE7CDB"/>
    <w:rsid w:val="00CE7D18"/>
    <w:rsid w:val="00CF053E"/>
    <w:rsid w:val="00CF061E"/>
    <w:rsid w:val="00CF063E"/>
    <w:rsid w:val="00CF09A2"/>
    <w:rsid w:val="00CF0F4B"/>
    <w:rsid w:val="00CF0FFD"/>
    <w:rsid w:val="00CF1419"/>
    <w:rsid w:val="00CF156E"/>
    <w:rsid w:val="00CF1880"/>
    <w:rsid w:val="00CF1A39"/>
    <w:rsid w:val="00CF1CBB"/>
    <w:rsid w:val="00CF227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CF794A"/>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D50"/>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4D"/>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1AE"/>
    <w:rsid w:val="00D81386"/>
    <w:rsid w:val="00D81411"/>
    <w:rsid w:val="00D817EC"/>
    <w:rsid w:val="00D81971"/>
    <w:rsid w:val="00D81ACD"/>
    <w:rsid w:val="00D81CD9"/>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987"/>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6E96"/>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3B8A"/>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47B73"/>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DE3"/>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840"/>
    <w:rsid w:val="00FE1B64"/>
    <w:rsid w:val="00FE1D81"/>
    <w:rsid w:val="00FE2077"/>
    <w:rsid w:val="00FE27AA"/>
    <w:rsid w:val="00FE2A98"/>
    <w:rsid w:val="00FE2BAB"/>
    <w:rsid w:val="00FE2C57"/>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092"/>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 w:type="character" w:customStyle="1" w:styleId="A7">
    <w:name w:val="A7"/>
    <w:basedOn w:val="DefaultParagraphFont"/>
    <w:uiPriority w:val="99"/>
    <w:rsid w:val="000C515A"/>
    <w:rPr>
      <w:rFonts w:ascii="Gotham Book" w:hAnsi="Gotham Book" w:hint="default"/>
      <w:color w:val="000000"/>
    </w:rPr>
  </w:style>
  <w:style w:type="paragraph" w:styleId="Revision">
    <w:name w:val="Revision"/>
    <w:hidden/>
    <w:uiPriority w:val="99"/>
    <w:semiHidden/>
    <w:rsid w:val="0059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423887990">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260943184">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769305583">
      <w:bodyDiv w:val="1"/>
      <w:marLeft w:val="0"/>
      <w:marRight w:val="0"/>
      <w:marTop w:val="0"/>
      <w:marBottom w:val="0"/>
      <w:divBdr>
        <w:top w:val="none" w:sz="0" w:space="0" w:color="auto"/>
        <w:left w:val="none" w:sz="0" w:space="0" w:color="auto"/>
        <w:bottom w:val="none" w:sz="0" w:space="0" w:color="auto"/>
        <w:right w:val="none" w:sz="0" w:space="0" w:color="auto"/>
      </w:divBdr>
    </w:div>
    <w:div w:id="1796866985">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css_rmqbps100523fm.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7673</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Elizabeth M</cp:lastModifiedBy>
  <cp:revision>3</cp:revision>
  <cp:lastPrinted>2012-04-04T10:38:00Z</cp:lastPrinted>
  <dcterms:created xsi:type="dcterms:W3CDTF">2023-11-15T18:59:00Z</dcterms:created>
  <dcterms:modified xsi:type="dcterms:W3CDTF">2023-11-15T19:07:00Z</dcterms:modified>
</cp:coreProperties>
</file>