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32F41EA0" w14:textId="77777777" w:rsidR="0075130B" w:rsidRDefault="00C44C62" w:rsidP="001062A5">
      <w:pPr>
        <w:ind w:left="1440" w:hanging="1440"/>
      </w:pPr>
      <w:r w:rsidRPr="000E5855">
        <w:rPr>
          <w:b/>
          <w:bCs/>
        </w:rPr>
        <w:t xml:space="preserve">FROM: </w:t>
      </w:r>
      <w:r w:rsidRPr="000E5855">
        <w:rPr>
          <w:b/>
          <w:bCs/>
        </w:rPr>
        <w:tab/>
      </w:r>
      <w:r w:rsidR="00815AEA">
        <w:t>Elizabeth Mallett</w:t>
      </w:r>
      <w:r w:rsidR="00230ECA">
        <w:t xml:space="preserve">, </w:t>
      </w:r>
      <w:r w:rsidR="00ED3FB5">
        <w:t xml:space="preserve">Director, Wholesale </w:t>
      </w:r>
      <w:r w:rsidR="00815AEA">
        <w:t>Gas and Retail Markets Quadrant</w:t>
      </w:r>
      <w:r w:rsidR="0075130B">
        <w:t xml:space="preserve">s, and </w:t>
      </w:r>
    </w:p>
    <w:p w14:paraId="53A9955D" w14:textId="6E0E3AD6" w:rsidR="00C44C62" w:rsidRPr="000E5855" w:rsidRDefault="0075130B" w:rsidP="0075130B">
      <w:pPr>
        <w:ind w:left="1440"/>
      </w:pPr>
      <w:r>
        <w:t>Caroline Trum, Director, Wholesale Electric Quadrant</w:t>
      </w:r>
    </w:p>
    <w:p w14:paraId="2BD3EE26" w14:textId="2F60E921" w:rsidR="00C44C62" w:rsidRPr="000E5855" w:rsidRDefault="00C44C62" w:rsidP="001062A5">
      <w:pPr>
        <w:ind w:left="1440" w:hanging="1440"/>
      </w:pPr>
      <w:r w:rsidRPr="000E5855">
        <w:rPr>
          <w:b/>
          <w:bCs/>
        </w:rPr>
        <w:t>RE:</w:t>
      </w:r>
      <w:r w:rsidRPr="000E5855">
        <w:rPr>
          <w:b/>
          <w:bCs/>
        </w:rPr>
        <w:tab/>
      </w:r>
      <w:r w:rsidR="00620BAC">
        <w:t xml:space="preserve">Final </w:t>
      </w:r>
      <w:r w:rsidR="00230ECA">
        <w:t>Minutes from</w:t>
      </w:r>
      <w:r w:rsidR="005965E2">
        <w:t xml:space="preserve"> </w:t>
      </w:r>
      <w:r w:rsidR="00815AEA">
        <w:t>October 5</w:t>
      </w:r>
      <w:r w:rsidR="00372AA2">
        <w:t>, 2023</w:t>
      </w:r>
      <w:r w:rsidR="00230ECA">
        <w:t xml:space="preserve"> WEQ B</w:t>
      </w:r>
      <w:r w:rsidR="00815AEA">
        <w:t xml:space="preserve">usiness </w:t>
      </w:r>
      <w:r w:rsidR="00230ECA">
        <w:t>P</w:t>
      </w:r>
      <w:r w:rsidR="00815AEA">
        <w:t xml:space="preserve">ractices </w:t>
      </w:r>
      <w:r w:rsidR="00230ECA">
        <w:t>S</w:t>
      </w:r>
      <w:r w:rsidR="00815AEA">
        <w:t xml:space="preserve">ubcommittee (BPS), RMQ BPS, and WEQ Cybersecurity Subcommittee (CSS) </w:t>
      </w:r>
      <w:r w:rsidR="00A856C9">
        <w:t>Meeti</w:t>
      </w:r>
      <w:r w:rsidR="00230ECA">
        <w:t>ng</w:t>
      </w:r>
    </w:p>
    <w:p w14:paraId="7C63E7B7" w14:textId="5D2F9E6B" w:rsidR="00C44C62" w:rsidRPr="000E5855" w:rsidRDefault="00C44C62" w:rsidP="001062A5">
      <w:pPr>
        <w:pBdr>
          <w:bottom w:val="single" w:sz="12" w:space="1" w:color="auto"/>
        </w:pBdr>
      </w:pPr>
      <w:r w:rsidRPr="000E5855">
        <w:rPr>
          <w:b/>
          <w:bCs/>
        </w:rPr>
        <w:t>DATE:</w:t>
      </w:r>
      <w:r w:rsidRPr="000E5855">
        <w:tab/>
      </w:r>
      <w:r w:rsidRPr="000E5855">
        <w:tab/>
      </w:r>
      <w:r w:rsidR="00941592">
        <w:t xml:space="preserve">October </w:t>
      </w:r>
      <w:r w:rsidR="00A848E7">
        <w:t>1</w:t>
      </w:r>
      <w:r w:rsidR="004F78F0">
        <w:t>6</w:t>
      </w:r>
      <w:r w:rsidR="00941592">
        <w:t>, 2023</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64490F17" w:rsidR="00C44C62" w:rsidRDefault="003141FA" w:rsidP="0063021A">
      <w:pPr>
        <w:widowControl w:val="0"/>
        <w:jc w:val="center"/>
        <w:outlineLvl w:val="2"/>
        <w:rPr>
          <w:b/>
          <w:bCs/>
        </w:rPr>
      </w:pPr>
      <w:r>
        <w:rPr>
          <w:b/>
          <w:bCs/>
        </w:rPr>
        <w:t xml:space="preserve">October </w:t>
      </w:r>
      <w:r w:rsidR="00941592">
        <w:rPr>
          <w:b/>
          <w:bCs/>
        </w:rPr>
        <w:t>5</w:t>
      </w:r>
      <w:r w:rsidR="000807B7">
        <w:rPr>
          <w:b/>
          <w:bCs/>
        </w:rPr>
        <w:t>, 2023</w:t>
      </w:r>
      <w:r w:rsidR="00B70957">
        <w:rPr>
          <w:b/>
          <w:bCs/>
        </w:rPr>
        <w:t xml:space="preserve"> – </w:t>
      </w:r>
      <w:r>
        <w:rPr>
          <w:b/>
          <w:bCs/>
        </w:rPr>
        <w:t>10</w:t>
      </w:r>
      <w:r w:rsidR="00F250F8">
        <w:rPr>
          <w:b/>
          <w:bCs/>
        </w:rPr>
        <w:t>:</w:t>
      </w:r>
      <w:r w:rsidR="00437FB7">
        <w:rPr>
          <w:b/>
          <w:bCs/>
        </w:rPr>
        <w:t>0</w:t>
      </w:r>
      <w:r w:rsidR="00F250F8">
        <w:rPr>
          <w:b/>
          <w:bCs/>
        </w:rPr>
        <w:t xml:space="preserve">0 </w:t>
      </w:r>
      <w:r>
        <w:rPr>
          <w:b/>
          <w:bCs/>
        </w:rPr>
        <w:t>A</w:t>
      </w:r>
      <w:r w:rsidR="00F250F8">
        <w:rPr>
          <w:b/>
          <w:bCs/>
        </w:rPr>
        <w:t>M</w:t>
      </w:r>
      <w:r w:rsidR="00B70957">
        <w:rPr>
          <w:b/>
          <w:bCs/>
        </w:rPr>
        <w:t xml:space="preserve"> to </w:t>
      </w:r>
      <w:r>
        <w:rPr>
          <w:b/>
          <w:bCs/>
        </w:rPr>
        <w:t>12</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118A3922" w:rsidR="00C44C62" w:rsidRPr="00EE257D" w:rsidRDefault="00620BAC" w:rsidP="0079197D">
      <w:pPr>
        <w:widowControl w:val="0"/>
        <w:spacing w:before="120"/>
        <w:jc w:val="center"/>
      </w:pPr>
      <w:r>
        <w:rPr>
          <w:b/>
          <w:bCs/>
          <w:u w:val="single"/>
        </w:rPr>
        <w:t xml:space="preserve">FINAL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5FB1BDC0" w14:textId="459EA1E1" w:rsidR="00A65292" w:rsidRDefault="00790D69" w:rsidP="0079197D">
      <w:pPr>
        <w:spacing w:before="120"/>
        <w:jc w:val="both"/>
      </w:pPr>
      <w:r>
        <w:t xml:space="preserve">Mr. </w:t>
      </w:r>
      <w:r w:rsidR="007577F1">
        <w:t xml:space="preserve">Buccigross </w:t>
      </w:r>
      <w:r w:rsidR="00C44C62" w:rsidRPr="005443F7">
        <w:t xml:space="preserve">welcomed </w:t>
      </w:r>
      <w:r w:rsidR="00DA493E">
        <w:t xml:space="preserve">the </w:t>
      </w:r>
      <w:r w:rsidR="00C44C62" w:rsidRPr="005443F7">
        <w:t xml:space="preserve">participants to the meeting. </w:t>
      </w:r>
      <w:r w:rsidR="002D6B08">
        <w:t>Ms.</w:t>
      </w:r>
      <w:r w:rsidR="007577F1">
        <w:t xml:space="preserve"> Mallett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Mr. Buccigross</w:t>
      </w:r>
      <w:r>
        <w:t xml:space="preserve"> </w:t>
      </w:r>
      <w:r w:rsidR="00515FAB">
        <w:t>reviewed the agenda</w:t>
      </w:r>
      <w:r w:rsidR="00340AF3">
        <w:t xml:space="preserve">.  </w:t>
      </w:r>
      <w:r w:rsidR="007577F1">
        <w:t>Mr. Sappenfield moved to adopt the agenda as final. Mr. Brooks seconded the motion which passed without opposition.</w:t>
      </w:r>
    </w:p>
    <w:p w14:paraId="0F2FDD99" w14:textId="1B523B64" w:rsidR="006C6388" w:rsidRPr="00C856DF" w:rsidRDefault="00C856DF" w:rsidP="0079197D">
      <w:pPr>
        <w:numPr>
          <w:ilvl w:val="0"/>
          <w:numId w:val="11"/>
        </w:numPr>
        <w:tabs>
          <w:tab w:val="num" w:pos="1620"/>
          <w:tab w:val="num" w:pos="2160"/>
        </w:tabs>
        <w:spacing w:before="120"/>
        <w:jc w:val="both"/>
        <w:rPr>
          <w:b/>
        </w:rPr>
      </w:pPr>
      <w:r>
        <w:rPr>
          <w:b/>
        </w:rPr>
        <w:t>D</w:t>
      </w:r>
      <w:r w:rsidRPr="00C856DF">
        <w:rPr>
          <w:b/>
        </w:rPr>
        <w:t xml:space="preserve">iscuss </w:t>
      </w:r>
      <w:bookmarkStart w:id="0" w:name="_Hlk145073326"/>
      <w:r w:rsidRPr="00C856DF">
        <w:rPr>
          <w:b/>
        </w:rPr>
        <w:t>2023 WEQ Annual Plan Item 3.d 2023 RMQ Annual Plan Item 4.a – Review cybersecurity</w:t>
      </w:r>
      <w:r w:rsidR="00307A76">
        <w:rPr>
          <w:b/>
        </w:rPr>
        <w:t xml:space="preserve"> </w:t>
      </w:r>
      <w:r w:rsidRPr="00C856DF">
        <w:rPr>
          <w:b/>
        </w:rPr>
        <w:t>protections, such as Public Key Infrastructure (PKI), that may be necessary to secure electronic communications for distributed energy resources (DERs), and develop business practices as needed</w:t>
      </w:r>
      <w:bookmarkEnd w:id="0"/>
    </w:p>
    <w:p w14:paraId="7EE7F9B7" w14:textId="0352F6C9" w:rsidR="001062A5" w:rsidRDefault="00C856DF" w:rsidP="0079197D">
      <w:pPr>
        <w:tabs>
          <w:tab w:val="num" w:pos="1620"/>
        </w:tabs>
        <w:spacing w:before="120"/>
        <w:jc w:val="both"/>
        <w:rPr>
          <w:bCs/>
        </w:rPr>
      </w:pPr>
      <w:r>
        <w:rPr>
          <w:bCs/>
        </w:rPr>
        <w:t>Mr. Buccigross noted that two documents from Mr. Brooks were posted for the meeting</w:t>
      </w:r>
      <w:r w:rsidR="007C54E3">
        <w:rPr>
          <w:bCs/>
        </w:rPr>
        <w:t>, the</w:t>
      </w:r>
      <w:r>
        <w:rPr>
          <w:bCs/>
        </w:rPr>
        <w:t xml:space="preserve"> </w:t>
      </w:r>
      <w:hyperlink r:id="rId8" w:tgtFrame="new" w:history="1">
        <w:r w:rsidR="007C54E3" w:rsidRPr="007C54E3">
          <w:rPr>
            <w:rStyle w:val="Hyperlink"/>
            <w:bCs/>
          </w:rPr>
          <w:t>CATSS Work Paper</w:t>
        </w:r>
      </w:hyperlink>
      <w:r w:rsidR="007C54E3">
        <w:rPr>
          <w:bCs/>
        </w:rPr>
        <w:t xml:space="preserve"> and the </w:t>
      </w:r>
      <w:hyperlink r:id="rId9" w:tgtFrame="new" w:history="1">
        <w:r w:rsidR="007C54E3" w:rsidRPr="007C54E3">
          <w:rPr>
            <w:rStyle w:val="Hyperlink"/>
            <w:bCs/>
          </w:rPr>
          <w:t>Cybersecurity Excerpt</w:t>
        </w:r>
      </w:hyperlink>
      <w:r w:rsidR="005A7318">
        <w:rPr>
          <w:bCs/>
        </w:rPr>
        <w:t xml:space="preserve"> document</w:t>
      </w:r>
      <w:r w:rsidR="007A0F64">
        <w:rPr>
          <w:bCs/>
        </w:rPr>
        <w:t>.</w:t>
      </w:r>
      <w:r w:rsidR="007C54E3">
        <w:rPr>
          <w:bCs/>
        </w:rPr>
        <w:t xml:space="preserve"> </w:t>
      </w:r>
      <w:r w:rsidR="007A0F64">
        <w:rPr>
          <w:bCs/>
        </w:rPr>
        <w:t xml:space="preserve"> </w:t>
      </w:r>
      <w:r>
        <w:rPr>
          <w:bCs/>
        </w:rPr>
        <w:t>Mr. Brooks review</w:t>
      </w:r>
      <w:r w:rsidR="00A848E7">
        <w:rPr>
          <w:bCs/>
        </w:rPr>
        <w:t>ed</w:t>
      </w:r>
      <w:r>
        <w:rPr>
          <w:bCs/>
        </w:rPr>
        <w:t xml:space="preserve"> the Cybersecurity </w:t>
      </w:r>
      <w:r w:rsidR="007C54E3">
        <w:rPr>
          <w:bCs/>
        </w:rPr>
        <w:t>Excerpt document</w:t>
      </w:r>
      <w:r w:rsidR="00A848E7">
        <w:rPr>
          <w:bCs/>
        </w:rPr>
        <w:t xml:space="preserve"> with the participants</w:t>
      </w:r>
      <w:r>
        <w:rPr>
          <w:bCs/>
        </w:rPr>
        <w:t xml:space="preserve">.  </w:t>
      </w:r>
      <w:r w:rsidR="00A848E7">
        <w:rPr>
          <w:bCs/>
        </w:rPr>
        <w:t>He</w:t>
      </w:r>
      <w:r>
        <w:rPr>
          <w:bCs/>
        </w:rPr>
        <w:t xml:space="preserve"> stated that</w:t>
      </w:r>
      <w:r w:rsidR="00DB6E96">
        <w:rPr>
          <w:bCs/>
        </w:rPr>
        <w:t xml:space="preserve"> </w:t>
      </w:r>
      <w:r w:rsidR="005905DC">
        <w:rPr>
          <w:bCs/>
        </w:rPr>
        <w:t xml:space="preserve">a bulk of </w:t>
      </w:r>
      <w:r w:rsidR="000A53C1">
        <w:rPr>
          <w:bCs/>
        </w:rPr>
        <w:t xml:space="preserve">the </w:t>
      </w:r>
      <w:r w:rsidR="00DB6E96">
        <w:rPr>
          <w:bCs/>
        </w:rPr>
        <w:t>exchanges</w:t>
      </w:r>
      <w:r w:rsidR="005905DC">
        <w:rPr>
          <w:bCs/>
        </w:rPr>
        <w:t xml:space="preserve"> between </w:t>
      </w:r>
      <w:r w:rsidR="00244D35">
        <w:rPr>
          <w:bCs/>
        </w:rPr>
        <w:t>distributed energy resources (</w:t>
      </w:r>
      <w:r w:rsidR="00577277">
        <w:rPr>
          <w:bCs/>
        </w:rPr>
        <w:t>DER</w:t>
      </w:r>
      <w:r w:rsidR="00307A76">
        <w:rPr>
          <w:bCs/>
        </w:rPr>
        <w:t>s</w:t>
      </w:r>
      <w:r w:rsidR="00244D35">
        <w:rPr>
          <w:bCs/>
        </w:rPr>
        <w:t>)</w:t>
      </w:r>
      <w:r w:rsidR="005905DC">
        <w:rPr>
          <w:bCs/>
        </w:rPr>
        <w:t xml:space="preserve">, DER aggregators, utilities, and system operators </w:t>
      </w:r>
      <w:r w:rsidR="00DB6E96">
        <w:rPr>
          <w:bCs/>
        </w:rPr>
        <w:t>to communicate information takes place electronically, over open networks</w:t>
      </w:r>
      <w:r w:rsidR="00D85987">
        <w:rPr>
          <w:bCs/>
        </w:rPr>
        <w:t xml:space="preserve">.  </w:t>
      </w:r>
      <w:r w:rsidR="00DB6E96">
        <w:rPr>
          <w:bCs/>
        </w:rPr>
        <w:t xml:space="preserve">Mr. Brooks </w:t>
      </w:r>
      <w:r w:rsidR="00D85987">
        <w:rPr>
          <w:bCs/>
        </w:rPr>
        <w:t xml:space="preserve">explained that the majority of guidance that has been developed for the industry regarding DERs operational and interoperability requirements but that there is a </w:t>
      </w:r>
      <w:r w:rsidR="00065271">
        <w:rPr>
          <w:bCs/>
        </w:rPr>
        <w:t>gap</w:t>
      </w:r>
      <w:r w:rsidR="000A53C1">
        <w:rPr>
          <w:bCs/>
        </w:rPr>
        <w:t xml:space="preserve"> in standards addressing command and control and authentication of parties.  He stated that an industry standard in this area could help support uniform integration of DERs at both the wholesale and distribution level.  Mr. Brooks noted that </w:t>
      </w:r>
      <w:r w:rsidR="00A848E7">
        <w:rPr>
          <w:bCs/>
        </w:rPr>
        <w:t xml:space="preserve">the </w:t>
      </w:r>
      <w:r w:rsidR="000C515A">
        <w:rPr>
          <w:bCs/>
        </w:rPr>
        <w:t>WEQ</w:t>
      </w:r>
      <w:r w:rsidR="007C54E3">
        <w:rPr>
          <w:bCs/>
        </w:rPr>
        <w:t>-</w:t>
      </w:r>
      <w:r w:rsidR="000C515A">
        <w:rPr>
          <w:bCs/>
        </w:rPr>
        <w:t xml:space="preserve">012 </w:t>
      </w:r>
      <w:r w:rsidR="007C54E3">
        <w:rPr>
          <w:bCs/>
        </w:rPr>
        <w:t>Public</w:t>
      </w:r>
      <w:r w:rsidR="000C515A">
        <w:rPr>
          <w:bCs/>
        </w:rPr>
        <w:t xml:space="preserve"> Key Infrastructure </w:t>
      </w:r>
      <w:r w:rsidR="00A848E7">
        <w:rPr>
          <w:bCs/>
        </w:rPr>
        <w:t xml:space="preserve">(PKI) </w:t>
      </w:r>
      <w:r w:rsidR="000C515A">
        <w:rPr>
          <w:bCs/>
        </w:rPr>
        <w:t xml:space="preserve">Business Practice Standards </w:t>
      </w:r>
      <w:r w:rsidR="000A53C1">
        <w:rPr>
          <w:bCs/>
        </w:rPr>
        <w:t xml:space="preserve">are used to control access to industry tools such as the Open Access Same Time Information Systems (OASIS) and the NAESB Electric Industry Registry and suggested the subcommittees consider developing standards that could apply this framework </w:t>
      </w:r>
      <w:r w:rsidR="000C515A">
        <w:rPr>
          <w:bCs/>
        </w:rPr>
        <w:t xml:space="preserve">to control access to DERs </w:t>
      </w:r>
      <w:r w:rsidR="001062A5">
        <w:rPr>
          <w:bCs/>
        </w:rPr>
        <w:t>and</w:t>
      </w:r>
      <w:r w:rsidR="000C515A">
        <w:rPr>
          <w:bCs/>
        </w:rPr>
        <w:t xml:space="preserve"> ensure only authorized parties perform command and control activities.  </w:t>
      </w:r>
    </w:p>
    <w:p w14:paraId="52128F16" w14:textId="0C4664E5" w:rsidR="00604B68" w:rsidRDefault="007A0F64" w:rsidP="0079197D">
      <w:pPr>
        <w:spacing w:before="120"/>
        <w:jc w:val="both"/>
      </w:pPr>
      <w:r>
        <w:t xml:space="preserve">Mr. </w:t>
      </w:r>
      <w:r w:rsidR="000C515A">
        <w:t>Rendon</w:t>
      </w:r>
      <w:r>
        <w:t xml:space="preserve"> stated that </w:t>
      </w:r>
      <w:r w:rsidR="00307A76">
        <w:t xml:space="preserve">the </w:t>
      </w:r>
      <w:r w:rsidR="000A53C1">
        <w:t>digital certificates issued by NAESB Authorized Certification Authorities (ACAs) under the WEQ-012 PKI Business Practice Standards could be impacted by changes currently being considered by</w:t>
      </w:r>
      <w:r w:rsidR="00307A76">
        <w:t xml:space="preserve"> </w:t>
      </w:r>
      <w:r>
        <w:t>t</w:t>
      </w:r>
      <w:r w:rsidR="000C515A">
        <w:t>he CA</w:t>
      </w:r>
      <w:r w:rsidR="005A7318">
        <w:t>/</w:t>
      </w:r>
      <w:r w:rsidR="000C515A">
        <w:t>B</w:t>
      </w:r>
      <w:r w:rsidR="005A7318">
        <w:t>rowser</w:t>
      </w:r>
      <w:r w:rsidR="000C515A">
        <w:t xml:space="preserve"> Forum</w:t>
      </w:r>
      <w:r w:rsidR="00604B68">
        <w:t>.</w:t>
      </w:r>
      <w:r w:rsidR="00307A76">
        <w:t xml:space="preserve"> </w:t>
      </w:r>
      <w:r>
        <w:t xml:space="preserve"> Ms. Trum stated that </w:t>
      </w:r>
      <w:r w:rsidR="00604B68">
        <w:t>if corresponding modifications are needed to the NAESB Accreditation Requirements for ACAs or the WEQ-012 PKI Business Practice Standards, the WEQ Cybersecurity Subcommittee should consider the issue</w:t>
      </w:r>
      <w:r w:rsidR="00244D35">
        <w:t xml:space="preserve"> separately from the current agenda item. </w:t>
      </w:r>
      <w:r w:rsidR="00307A76">
        <w:t xml:space="preserve"> </w:t>
      </w:r>
      <w:r w:rsidR="00604B68">
        <w:t>She stated that she would work with the chair of the WEQ Cybersecurity Subcommittee, Mr. Buccigross, to schedule a meeting.</w:t>
      </w:r>
    </w:p>
    <w:p w14:paraId="76FCE045" w14:textId="59078C22" w:rsidR="000C515A" w:rsidRDefault="00244D35" w:rsidP="0079197D">
      <w:pPr>
        <w:spacing w:before="120"/>
        <w:jc w:val="both"/>
      </w:pPr>
      <w:r>
        <w:t xml:space="preserve">Ms. Kee stated that </w:t>
      </w:r>
      <w:r w:rsidR="00604B68">
        <w:t xml:space="preserve">there is an industry need for DER cybersecurity-related standards, including those focused on preventing and mitigating denial of service attacks and party authentication.  She expressed agreement with Mr. Brooks proposal, noting that </w:t>
      </w:r>
      <w:r>
        <w:t xml:space="preserve">PKI is </w:t>
      </w:r>
      <w:r w:rsidR="00604B68">
        <w:t xml:space="preserve">a mature cybersecurity framework, already in use by the industry and scalable </w:t>
      </w:r>
      <w:r w:rsidR="00716DBB">
        <w:t>for DER applications.</w:t>
      </w:r>
      <w:r w:rsidR="000C515A">
        <w:t xml:space="preserve"> </w:t>
      </w:r>
      <w:r w:rsidR="00716DBB">
        <w:t xml:space="preserve"> </w:t>
      </w:r>
      <w:r>
        <w:t xml:space="preserve">Ms. Lee </w:t>
      </w:r>
      <w:r w:rsidR="00716DBB">
        <w:t xml:space="preserve">asked if </w:t>
      </w:r>
      <w:r w:rsidR="007222F2">
        <w:t>the use of</w:t>
      </w:r>
      <w:r w:rsidR="00716DBB">
        <w:t xml:space="preserve"> </w:t>
      </w:r>
      <w:r>
        <w:t>PKI certificates</w:t>
      </w:r>
      <w:r w:rsidR="00716DBB">
        <w:t xml:space="preserve"> for authentication of parties at the device level would require an assumption that the device itself is not malicious.</w:t>
      </w:r>
      <w:r>
        <w:t xml:space="preserve">  Mr. Rendon stated that</w:t>
      </w:r>
      <w:r w:rsidR="007222F2">
        <w:t xml:space="preserve"> the security checks included as part of the issuance, installation, validation, and auditing processes for both client-level and device-level PKI digital certificates help </w:t>
      </w:r>
      <w:r>
        <w:t>to ensure the</w:t>
      </w:r>
      <w:r w:rsidR="007222F2">
        <w:t xml:space="preserve"> installed </w:t>
      </w:r>
      <w:r>
        <w:t xml:space="preserve">certificate is </w:t>
      </w:r>
      <w:r w:rsidR="007222F2">
        <w:t>associated with the correct device or user and not been compromised.</w:t>
      </w:r>
      <w:r w:rsidR="00307A76">
        <w:t xml:space="preserve"> </w:t>
      </w:r>
      <w:r w:rsidR="007222F2">
        <w:t xml:space="preserve">  Mr. Brooks stated that the use of PKI digital certificates </w:t>
      </w:r>
      <w:r w:rsidR="0069544A">
        <w:t>could be used to secure</w:t>
      </w:r>
      <w:r w:rsidR="007222F2">
        <w:t xml:space="preserve"> the </w:t>
      </w:r>
      <w:r w:rsidR="007222F2">
        <w:lastRenderedPageBreak/>
        <w:t>processes for the installation of software patches and configuration changes for DERs by helping to ensure that only authorized parties are accessing the device and making modifications.  He suggested that the development of standards in this area would be consistent with the annual plan items.</w:t>
      </w:r>
    </w:p>
    <w:p w14:paraId="470091E1" w14:textId="15C33A96" w:rsidR="000C515A" w:rsidRDefault="005E04E0" w:rsidP="0079197D">
      <w:pPr>
        <w:spacing w:before="120"/>
        <w:jc w:val="both"/>
      </w:pPr>
      <w:r>
        <w:t xml:space="preserve">Ms. Kee asked whether an electronic vehicle </w:t>
      </w:r>
      <w:r w:rsidR="0038297E">
        <w:t xml:space="preserve">(EVs) fast charging devices </w:t>
      </w:r>
      <w:r>
        <w:t xml:space="preserve">could be considered a DER.  Mr. Brooks stated that </w:t>
      </w:r>
      <w:r w:rsidR="0038297E">
        <w:t xml:space="preserve">there are a growing number of industry activities regarding EVs and EV fast charging devices and noted a </w:t>
      </w:r>
      <w:r>
        <w:t>Duke</w:t>
      </w:r>
      <w:r w:rsidR="0038297E">
        <w:t xml:space="preserve"> pilot project to dispatch EVs as DERs.</w:t>
      </w:r>
      <w:r>
        <w:t xml:space="preserve">  Mr. Watson noted that </w:t>
      </w:r>
      <w:r w:rsidR="0038297E">
        <w:t xml:space="preserve">the pilot program is mainly focused on the use of EVs to support </w:t>
      </w:r>
      <w:r>
        <w:t>demand side management program</w:t>
      </w:r>
      <w:r w:rsidR="0038297E">
        <w:t>s.</w:t>
      </w:r>
      <w:r>
        <w:t xml:space="preserve"> </w:t>
      </w:r>
      <w:r w:rsidR="00307A76">
        <w:t xml:space="preserve"> </w:t>
      </w:r>
      <w:r>
        <w:t xml:space="preserve">Mr. Brooks stated </w:t>
      </w:r>
      <w:r w:rsidR="0038297E">
        <w:t>that in determining the scope of standards development, the participants should consider the types of devices that are currently being used or contemplated for use as DERs by the wholesale and retail electric markets</w:t>
      </w:r>
      <w:r w:rsidR="0069544A">
        <w:t xml:space="preserve"> and suggested that</w:t>
      </w:r>
      <w:r w:rsidR="0038297E">
        <w:t xml:space="preserve"> EVs could be a unique form of DERs</w:t>
      </w:r>
      <w:r w:rsidR="0069544A">
        <w:t>.  He explained that</w:t>
      </w:r>
      <w:r w:rsidR="0038297E">
        <w:t xml:space="preserve"> the </w:t>
      </w:r>
      <w:r w:rsidR="0069544A">
        <w:t>EV as a DER would not be a</w:t>
      </w:r>
      <w:r w:rsidR="0038297E">
        <w:t xml:space="preserve"> stationary</w:t>
      </w:r>
      <w:r w:rsidR="0069544A">
        <w:t xml:space="preserve"> resource</w:t>
      </w:r>
      <w:r w:rsidR="0038297E">
        <w:t xml:space="preserve">, </w:t>
      </w:r>
      <w:r w:rsidR="0069544A">
        <w:t xml:space="preserve">meaning </w:t>
      </w:r>
      <w:r>
        <w:t xml:space="preserve">that </w:t>
      </w:r>
      <w:r w:rsidR="0069544A">
        <w:t xml:space="preserve">while </w:t>
      </w:r>
      <w:r>
        <w:t xml:space="preserve">a parking lot </w:t>
      </w:r>
      <w:r w:rsidR="0069544A">
        <w:t>for EV charging w</w:t>
      </w:r>
      <w:r>
        <w:t xml:space="preserve">ould </w:t>
      </w:r>
      <w:r w:rsidR="0069544A">
        <w:t>be a</w:t>
      </w:r>
      <w:r>
        <w:t xml:space="preserve"> </w:t>
      </w:r>
      <w:r w:rsidR="0069544A">
        <w:t xml:space="preserve">stationary </w:t>
      </w:r>
      <w:r>
        <w:t>DER resource</w:t>
      </w:r>
      <w:r w:rsidR="0069544A">
        <w:t>, the ability of such a resource to perform when called upon may be dependent on several factors</w:t>
      </w:r>
      <w:r>
        <w:t>.  Mr. Watson stated t</w:t>
      </w:r>
      <w:r w:rsidR="002A7E9E">
        <w:t>h</w:t>
      </w:r>
      <w:r>
        <w:t>at</w:t>
      </w:r>
      <w:r w:rsidR="002A7E9E">
        <w:t xml:space="preserve"> another example is </w:t>
      </w:r>
      <w:r w:rsidR="004C60D2">
        <w:t xml:space="preserve">the ability </w:t>
      </w:r>
      <w:r w:rsidR="0042575D">
        <w:t xml:space="preserve">of </w:t>
      </w:r>
      <w:r w:rsidR="002A7E9E">
        <w:t xml:space="preserve">electric school buses </w:t>
      </w:r>
      <w:r w:rsidR="0042575D">
        <w:t xml:space="preserve">to </w:t>
      </w:r>
      <w:r w:rsidR="002A7E9E">
        <w:t>provid</w:t>
      </w:r>
      <w:r w:rsidR="0042575D">
        <w:t>e</w:t>
      </w:r>
      <w:r w:rsidR="002A7E9E">
        <w:t xml:space="preserve"> energy during the summer peak</w:t>
      </w:r>
      <w:r w:rsidR="00307A76">
        <w:t xml:space="preserve"> demands</w:t>
      </w:r>
      <w:r w:rsidR="002A7E9E">
        <w:t xml:space="preserve">. </w:t>
      </w:r>
      <w:r w:rsidR="0069544A">
        <w:t xml:space="preserve"> </w:t>
      </w:r>
      <w:r w:rsidR="002A7E9E">
        <w:t xml:space="preserve">Mr. Buccigross asked whether </w:t>
      </w:r>
      <w:r w:rsidR="0069544A">
        <w:t xml:space="preserve">a PKI digital </w:t>
      </w:r>
      <w:r w:rsidR="002A7E9E">
        <w:t xml:space="preserve">certificate would be provided to each </w:t>
      </w:r>
      <w:r w:rsidR="0069544A">
        <w:t>EV or to a DER aggregator</w:t>
      </w:r>
      <w:r w:rsidR="002A7E9E">
        <w:t xml:space="preserve">.  Mr. Rendon stated that </w:t>
      </w:r>
      <w:r w:rsidR="00762FA6">
        <w:t xml:space="preserve">for DERs and DER aggregations, there are several points of communication with various entities that would need to be protected.  He explained that </w:t>
      </w:r>
      <w:r w:rsidR="00504ED2">
        <w:t xml:space="preserve">for EVs, as well as a </w:t>
      </w:r>
      <w:r w:rsidR="0042575D">
        <w:t xml:space="preserve">majority of </w:t>
      </w:r>
      <w:r w:rsidR="00504ED2">
        <w:t xml:space="preserve">other </w:t>
      </w:r>
      <w:r w:rsidR="0042575D">
        <w:t>Internet of Things (IOT) devices</w:t>
      </w:r>
      <w:r w:rsidR="00504ED2">
        <w:t>,</w:t>
      </w:r>
      <w:r w:rsidR="0042575D">
        <w:t xml:space="preserve"> </w:t>
      </w:r>
      <w:r w:rsidR="00504ED2">
        <w:t xml:space="preserve">a TLS certificate is usually installed at the point of manufacture or shortly thereafter </w:t>
      </w:r>
      <w:r w:rsidR="00762FA6">
        <w:t xml:space="preserve">to protect communications between the device and a server </w:t>
      </w:r>
      <w:r w:rsidR="00504ED2">
        <w:t xml:space="preserve">but that </w:t>
      </w:r>
      <w:r w:rsidR="00CC1032">
        <w:t>it is possible to install additional certificates</w:t>
      </w:r>
      <w:r w:rsidR="00762FA6">
        <w:t>, such as a PKI digital certificate,</w:t>
      </w:r>
      <w:r w:rsidR="00CC1032">
        <w:t xml:space="preserve"> at the device level post-manufacturing</w:t>
      </w:r>
      <w:r w:rsidR="00504ED2">
        <w:t>.</w:t>
      </w:r>
    </w:p>
    <w:p w14:paraId="0AC745A5" w14:textId="6336A3B2" w:rsidR="00E03B8A" w:rsidRDefault="00E03B8A" w:rsidP="0079197D">
      <w:pPr>
        <w:spacing w:before="120"/>
        <w:jc w:val="both"/>
      </w:pPr>
      <w:r>
        <w:t xml:space="preserve">Ms. Kee stated that NIST and </w:t>
      </w:r>
      <w:proofErr w:type="spellStart"/>
      <w:r>
        <w:t>NCCoE</w:t>
      </w:r>
      <w:proofErr w:type="spellEnd"/>
      <w:r>
        <w:t xml:space="preserve"> recently released a Cybersecurity Framework Profile Electronic Vehicle Extreme Fast Charging Infrastructure, a reference architecture to assist </w:t>
      </w:r>
      <w:r w:rsidR="002E3DA5">
        <w:t xml:space="preserve">entities </w:t>
      </w:r>
      <w:r>
        <w:t>in assessing risk management processes and procedures</w:t>
      </w:r>
      <w:r w:rsidR="002E3DA5">
        <w:t xml:space="preserve"> around EV charging.  She explained that </w:t>
      </w:r>
      <w:r w:rsidR="00183FBD">
        <w:t xml:space="preserve">the framework </w:t>
      </w:r>
      <w:r w:rsidR="0096564D">
        <w:t>addresses areas such as</w:t>
      </w:r>
      <w:r w:rsidR="00183FBD">
        <w:t xml:space="preserve"> encryption and authentication processes to protect communications between parties such as EVs, aggregators, service providers, and utilities</w:t>
      </w:r>
      <w:r w:rsidR="0096564D">
        <w:t xml:space="preserve">, and is an application of the NIST Cybersecurity Framework to the EV and fast charging ecosystem.  Ms. Kee noted that the NAESB PKI Business Practice Standards align with guidance and recommendations provided in </w:t>
      </w:r>
      <w:r w:rsidR="00183FBD">
        <w:t>the NIST Cybersecurity Framework</w:t>
      </w:r>
      <w:r w:rsidR="0096564D">
        <w:t xml:space="preserve"> and suggested that the development of additional NAESB Business Practice Standards in this area could be beneficial.  Mr. Brooks stated that while the application of PKI to DERs and DER-related communications has been discussed in the past, the </w:t>
      </w:r>
      <w:r w:rsidR="007409AC">
        <w:t xml:space="preserve">identification of gaps in cybersecurity guidance, combined with industry focus on the deployment and integration of DERs and DER aggregations, supports renewed consideration by the subcommittees.  Mr. Sappenfield expressed agreement.  He stated that NAESB Business Practice Standards addressing cybersecurity protections and protocols would support interoperability of DERs and DER aggregations, which </w:t>
      </w:r>
      <w:r w:rsidR="009C0E8B">
        <w:t>can participate</w:t>
      </w:r>
      <w:r w:rsidR="007409AC">
        <w:t xml:space="preserve"> in both wholesale and retail markets, and improve upon the ability of a resource to perform when called upon.</w:t>
      </w:r>
    </w:p>
    <w:p w14:paraId="578E4E9C" w14:textId="28481E06" w:rsidR="009C0E8B" w:rsidRDefault="009C0E8B" w:rsidP="0079197D">
      <w:pPr>
        <w:spacing w:before="120"/>
        <w:jc w:val="both"/>
      </w:pPr>
      <w:r>
        <w:t>Ms. Hunt asked what NAESB Business Practice Standards in this area could look like and if there would be a need to involve other WEQ or RMQ Subcommittees.  Mr. Buccigross responded that standards could incorporate both business process and more technically-based requirements and that continuing to hold joint meetings between the WEQ and RMQ should allow the subcommittees to draw upon participants with the needed subject matter expertise in these areas.  He e</w:t>
      </w:r>
      <w:r w:rsidR="007C2AA4">
        <w:t>ncouraged participants to reach out to DER and cybersecurity subject matter experts within their companies who may have insights or be able to contribute to standards development.</w:t>
      </w:r>
    </w:p>
    <w:p w14:paraId="26C7A7D6" w14:textId="397CDAE2" w:rsidR="000C515A" w:rsidRDefault="007C2AA4" w:rsidP="0079197D">
      <w:pPr>
        <w:spacing w:before="120"/>
        <w:jc w:val="both"/>
      </w:pPr>
      <w:r>
        <w:t xml:space="preserve">Mr. Buccigross stated that, based on discussions during the meeting, the majority of participants appear to favor moving forward the development standards.  He noted that the next steps would likely include identifying the DER-related communications and interactions that could be supported through cybersecurity-related NAESB Business Practice Standards and asked if there was any objection to moving forward in this manner.  None was offered.  </w:t>
      </w:r>
      <w:r w:rsidDel="007C2AA4">
        <w:t>Mr. Brooks motioned to move forward on the development of cybersecurity standards for DERs.  Mr. Sappenfield seconded the motion.  Mr. Buccigross asked for any opposition.  There was no opposition to the motio</w:t>
      </w:r>
      <w:r>
        <w:t>n.</w:t>
      </w:r>
    </w:p>
    <w:p w14:paraId="71A52718" w14:textId="77777777" w:rsidR="0075130B" w:rsidRDefault="00D7354D" w:rsidP="0079197D">
      <w:pPr>
        <w:pStyle w:val="ListParagraph"/>
        <w:widowControl w:val="0"/>
        <w:numPr>
          <w:ilvl w:val="0"/>
          <w:numId w:val="11"/>
        </w:numPr>
        <w:tabs>
          <w:tab w:val="left" w:pos="1440"/>
        </w:tabs>
        <w:spacing w:before="120"/>
        <w:jc w:val="both"/>
        <w:rPr>
          <w:b/>
          <w:bCs/>
        </w:rPr>
      </w:pPr>
      <w:r w:rsidRPr="0075130B">
        <w:rPr>
          <w:b/>
          <w:bCs/>
        </w:rPr>
        <w:t>Other Business</w:t>
      </w:r>
    </w:p>
    <w:p w14:paraId="090CE403" w14:textId="1C408118" w:rsidR="0079197D" w:rsidRPr="0075130B" w:rsidRDefault="0079197D" w:rsidP="0075130B">
      <w:pPr>
        <w:widowControl w:val="0"/>
        <w:tabs>
          <w:tab w:val="left" w:pos="1440"/>
        </w:tabs>
        <w:spacing w:before="120"/>
        <w:jc w:val="both"/>
        <w:rPr>
          <w:b/>
          <w:bCs/>
        </w:rPr>
      </w:pPr>
      <w:r>
        <w:t xml:space="preserve">Mr. Buccigross stated that </w:t>
      </w:r>
      <w:r w:rsidR="00445021">
        <w:t xml:space="preserve">it may be helpful if </w:t>
      </w:r>
      <w:r>
        <w:t xml:space="preserve">the next meeting </w:t>
      </w:r>
      <w:r w:rsidR="00445021">
        <w:t xml:space="preserve">was educational in nature, such as presentations </w:t>
      </w:r>
      <w:r w:rsidR="00445021">
        <w:lastRenderedPageBreak/>
        <w:t>or a review of white papers</w:t>
      </w:r>
      <w:r>
        <w:t xml:space="preserve"> on relevant topics.</w:t>
      </w:r>
      <w:r w:rsidR="00445021">
        <w:t xml:space="preserve">  Ms. Trum noted that participants could contact the NAESB office with work paper and presentation suggestions and that she and Ms. Mallett would work with the subcommittee co-chairs.</w:t>
      </w:r>
    </w:p>
    <w:p w14:paraId="3691BDEB" w14:textId="71C0E59A"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17C40952"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0C515A">
        <w:rPr>
          <w:bCs/>
        </w:rPr>
        <w:t>11:04 AM</w:t>
      </w:r>
      <w:r w:rsidR="002155FC">
        <w:rPr>
          <w:bCs/>
        </w:rPr>
        <w:t xml:space="preserve"> </w:t>
      </w:r>
      <w:r w:rsidR="00EC0254">
        <w:rPr>
          <w:bCs/>
        </w:rPr>
        <w:t xml:space="preserve">Central on a motion by </w:t>
      </w:r>
      <w:r w:rsidR="00922889">
        <w:rPr>
          <w:bCs/>
        </w:rPr>
        <w:t xml:space="preserve">Mr. </w:t>
      </w:r>
      <w:r w:rsidR="00F401CD">
        <w:rPr>
          <w:bCs/>
        </w:rPr>
        <w:t>Brooks, seconded by Mr. Williams.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79197D">
            <w:pPr>
              <w:widowControl w:val="0"/>
              <w:spacing w:before="120"/>
              <w:rPr>
                <w:rFonts w:ascii="Calibri" w:eastAsiaTheme="minorHAnsi" w:hAnsi="Calibri" w:cs="Calibri"/>
                <w:sz w:val="22"/>
                <w:szCs w:val="22"/>
              </w:rPr>
            </w:pPr>
            <w:bookmarkStart w:id="1"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79197D">
            <w:pPr>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7577F1" w:rsidRPr="00922889" w14:paraId="705E1D91" w14:textId="77777777" w:rsidTr="001262CB">
        <w:tc>
          <w:tcPr>
            <w:tcW w:w="1998" w:type="dxa"/>
            <w:tcMar>
              <w:top w:w="0" w:type="dxa"/>
              <w:left w:w="108" w:type="dxa"/>
              <w:bottom w:w="0" w:type="dxa"/>
              <w:right w:w="108" w:type="dxa"/>
            </w:tcMar>
          </w:tcPr>
          <w:p w14:paraId="23213574" w14:textId="59636B0D" w:rsidR="007577F1" w:rsidRDefault="007577F1" w:rsidP="0079197D">
            <w:pPr>
              <w:widowControl w:val="0"/>
              <w:spacing w:before="120"/>
              <w:rPr>
                <w:bCs/>
              </w:rPr>
            </w:pPr>
            <w:r>
              <w:rPr>
                <w:bCs/>
              </w:rPr>
              <w:t>Tanner</w:t>
            </w:r>
          </w:p>
        </w:tc>
        <w:tc>
          <w:tcPr>
            <w:tcW w:w="3240" w:type="dxa"/>
            <w:tcMar>
              <w:top w:w="0" w:type="dxa"/>
              <w:left w:w="108" w:type="dxa"/>
              <w:bottom w:w="0" w:type="dxa"/>
              <w:right w:w="108" w:type="dxa"/>
            </w:tcMar>
          </w:tcPr>
          <w:p w14:paraId="4C0C7197" w14:textId="216FDDC0" w:rsidR="007577F1" w:rsidRDefault="007577F1" w:rsidP="0079197D">
            <w:pPr>
              <w:widowControl w:val="0"/>
              <w:spacing w:before="120"/>
              <w:rPr>
                <w:bCs/>
              </w:rPr>
            </w:pPr>
            <w:r>
              <w:rPr>
                <w:bCs/>
              </w:rPr>
              <w:t>Brier</w:t>
            </w:r>
          </w:p>
        </w:tc>
        <w:tc>
          <w:tcPr>
            <w:tcW w:w="3870" w:type="dxa"/>
            <w:tcMar>
              <w:top w:w="0" w:type="dxa"/>
              <w:left w:w="108" w:type="dxa"/>
              <w:bottom w:w="0" w:type="dxa"/>
              <w:right w:w="108" w:type="dxa"/>
            </w:tcMar>
          </w:tcPr>
          <w:p w14:paraId="146E8E84" w14:textId="5B9ADDB9" w:rsidR="007577F1" w:rsidRDefault="007577F1" w:rsidP="00A55C8D">
            <w:pPr>
              <w:keepNext/>
              <w:keepLines/>
              <w:widowControl w:val="0"/>
              <w:spacing w:before="120"/>
              <w:rPr>
                <w:bCs/>
              </w:rPr>
            </w:pPr>
            <w:r>
              <w:rPr>
                <w:bCs/>
              </w:rPr>
              <w:t>Bonneville Power Administration</w:t>
            </w:r>
          </w:p>
        </w:tc>
      </w:tr>
      <w:tr w:rsidR="00F401CD" w:rsidRPr="00922889" w14:paraId="69E38AD8" w14:textId="77777777" w:rsidTr="001262CB">
        <w:tc>
          <w:tcPr>
            <w:tcW w:w="1998" w:type="dxa"/>
            <w:tcMar>
              <w:top w:w="0" w:type="dxa"/>
              <w:left w:w="108" w:type="dxa"/>
              <w:bottom w:w="0" w:type="dxa"/>
              <w:right w:w="108" w:type="dxa"/>
            </w:tcMar>
          </w:tcPr>
          <w:p w14:paraId="08E7FFAD" w14:textId="2F292B00" w:rsidR="00F401CD" w:rsidRPr="00F401CD" w:rsidRDefault="00F401CD" w:rsidP="0079197D">
            <w:pPr>
              <w:widowControl w:val="0"/>
              <w:spacing w:before="120"/>
              <w:rPr>
                <w:bCs/>
              </w:rPr>
            </w:pPr>
            <w:r>
              <w:rPr>
                <w:bCs/>
              </w:rPr>
              <w:t>Dick</w:t>
            </w:r>
          </w:p>
        </w:tc>
        <w:tc>
          <w:tcPr>
            <w:tcW w:w="3240" w:type="dxa"/>
            <w:tcMar>
              <w:top w:w="0" w:type="dxa"/>
              <w:left w:w="108" w:type="dxa"/>
              <w:bottom w:w="0" w:type="dxa"/>
              <w:right w:w="108" w:type="dxa"/>
            </w:tcMar>
          </w:tcPr>
          <w:p w14:paraId="47483670" w14:textId="5EEB78F0" w:rsidR="00F401CD" w:rsidRPr="00F401CD" w:rsidRDefault="00F401CD" w:rsidP="0079197D">
            <w:pPr>
              <w:widowControl w:val="0"/>
              <w:spacing w:before="120"/>
              <w:rPr>
                <w:bCs/>
              </w:rPr>
            </w:pPr>
            <w:r>
              <w:rPr>
                <w:bCs/>
              </w:rPr>
              <w:t>Brooks</w:t>
            </w:r>
          </w:p>
        </w:tc>
        <w:tc>
          <w:tcPr>
            <w:tcW w:w="3870" w:type="dxa"/>
            <w:tcMar>
              <w:top w:w="0" w:type="dxa"/>
              <w:left w:w="108" w:type="dxa"/>
              <w:bottom w:w="0" w:type="dxa"/>
              <w:right w:w="108" w:type="dxa"/>
            </w:tcMar>
          </w:tcPr>
          <w:p w14:paraId="385D2F12" w14:textId="4B4D8467" w:rsidR="00F401CD" w:rsidRPr="00F401CD" w:rsidRDefault="00F401CD" w:rsidP="00A55C8D">
            <w:pPr>
              <w:keepNext/>
              <w:keepLines/>
              <w:widowControl w:val="0"/>
              <w:spacing w:before="120"/>
              <w:rPr>
                <w:bCs/>
              </w:rPr>
            </w:pPr>
            <w:r>
              <w:rPr>
                <w:bCs/>
              </w:rPr>
              <w:t>Reliable Energy Analytics</w:t>
            </w:r>
          </w:p>
        </w:tc>
      </w:tr>
      <w:tr w:rsidR="007577F1" w:rsidRPr="00922889" w14:paraId="01EA8595" w14:textId="77777777" w:rsidTr="001262CB">
        <w:tc>
          <w:tcPr>
            <w:tcW w:w="1998" w:type="dxa"/>
            <w:tcMar>
              <w:top w:w="0" w:type="dxa"/>
              <w:left w:w="108" w:type="dxa"/>
              <w:bottom w:w="0" w:type="dxa"/>
              <w:right w:w="108" w:type="dxa"/>
            </w:tcMar>
          </w:tcPr>
          <w:p w14:paraId="3B593D90" w14:textId="03E97B3B" w:rsidR="007577F1" w:rsidRDefault="007577F1" w:rsidP="0079197D">
            <w:pPr>
              <w:widowControl w:val="0"/>
              <w:spacing w:before="120"/>
              <w:rPr>
                <w:bCs/>
              </w:rPr>
            </w:pPr>
            <w:r>
              <w:rPr>
                <w:bCs/>
              </w:rPr>
              <w:t>Jim</w:t>
            </w:r>
          </w:p>
        </w:tc>
        <w:tc>
          <w:tcPr>
            <w:tcW w:w="3240" w:type="dxa"/>
            <w:tcMar>
              <w:top w:w="0" w:type="dxa"/>
              <w:left w:w="108" w:type="dxa"/>
              <w:bottom w:w="0" w:type="dxa"/>
              <w:right w:w="108" w:type="dxa"/>
            </w:tcMar>
          </w:tcPr>
          <w:p w14:paraId="699B7E6C" w14:textId="25CAC239" w:rsidR="007577F1" w:rsidRDefault="007577F1" w:rsidP="0079197D">
            <w:pPr>
              <w:widowControl w:val="0"/>
              <w:spacing w:before="120"/>
              <w:rPr>
                <w:bCs/>
              </w:rPr>
            </w:pPr>
            <w:r>
              <w:rPr>
                <w:bCs/>
              </w:rPr>
              <w:t>Buccigross</w:t>
            </w:r>
          </w:p>
        </w:tc>
        <w:tc>
          <w:tcPr>
            <w:tcW w:w="3870" w:type="dxa"/>
            <w:tcMar>
              <w:top w:w="0" w:type="dxa"/>
              <w:left w:w="108" w:type="dxa"/>
              <w:bottom w:w="0" w:type="dxa"/>
              <w:right w:w="108" w:type="dxa"/>
            </w:tcMar>
          </w:tcPr>
          <w:p w14:paraId="0D4DEF85" w14:textId="04946136" w:rsidR="007577F1" w:rsidRDefault="007577F1" w:rsidP="00A55C8D">
            <w:pPr>
              <w:keepNext/>
              <w:keepLines/>
              <w:widowControl w:val="0"/>
              <w:spacing w:before="120"/>
              <w:rPr>
                <w:bCs/>
              </w:rPr>
            </w:pPr>
            <w:r>
              <w:rPr>
                <w:bCs/>
              </w:rPr>
              <w:t>Group 8760, LLC</w:t>
            </w:r>
          </w:p>
        </w:tc>
      </w:tr>
      <w:tr w:rsidR="007577F1" w:rsidRPr="00922889" w14:paraId="4C5DF025" w14:textId="77777777" w:rsidTr="001262CB">
        <w:tc>
          <w:tcPr>
            <w:tcW w:w="1998" w:type="dxa"/>
            <w:tcMar>
              <w:top w:w="0" w:type="dxa"/>
              <w:left w:w="108" w:type="dxa"/>
              <w:bottom w:w="0" w:type="dxa"/>
              <w:right w:w="108" w:type="dxa"/>
            </w:tcMar>
          </w:tcPr>
          <w:p w14:paraId="51B846DA" w14:textId="66BD36BA" w:rsidR="007577F1" w:rsidRDefault="007577F1" w:rsidP="0079197D">
            <w:pPr>
              <w:widowControl w:val="0"/>
              <w:spacing w:before="120"/>
              <w:rPr>
                <w:bCs/>
              </w:rPr>
            </w:pPr>
            <w:r>
              <w:rPr>
                <w:bCs/>
              </w:rPr>
              <w:t>Michelle</w:t>
            </w:r>
          </w:p>
        </w:tc>
        <w:tc>
          <w:tcPr>
            <w:tcW w:w="3240" w:type="dxa"/>
            <w:tcMar>
              <w:top w:w="0" w:type="dxa"/>
              <w:left w:w="108" w:type="dxa"/>
              <w:bottom w:w="0" w:type="dxa"/>
              <w:right w:w="108" w:type="dxa"/>
            </w:tcMar>
          </w:tcPr>
          <w:p w14:paraId="2582F702" w14:textId="7055867F" w:rsidR="007577F1" w:rsidRDefault="007577F1" w:rsidP="0079197D">
            <w:pPr>
              <w:widowControl w:val="0"/>
              <w:spacing w:before="120"/>
              <w:rPr>
                <w:bCs/>
              </w:rPr>
            </w:pPr>
            <w:r>
              <w:rPr>
                <w:bCs/>
              </w:rPr>
              <w:t>Coon</w:t>
            </w:r>
          </w:p>
        </w:tc>
        <w:tc>
          <w:tcPr>
            <w:tcW w:w="3870" w:type="dxa"/>
            <w:tcMar>
              <w:top w:w="0" w:type="dxa"/>
              <w:left w:w="108" w:type="dxa"/>
              <w:bottom w:w="0" w:type="dxa"/>
              <w:right w:w="108" w:type="dxa"/>
            </w:tcMar>
          </w:tcPr>
          <w:p w14:paraId="2C4ACB17" w14:textId="66FF713E" w:rsidR="007577F1" w:rsidRDefault="007577F1" w:rsidP="00A55C8D">
            <w:pPr>
              <w:keepNext/>
              <w:keepLines/>
              <w:widowControl w:val="0"/>
              <w:spacing w:before="120"/>
              <w:rPr>
                <w:bCs/>
              </w:rPr>
            </w:pPr>
            <w:r>
              <w:rPr>
                <w:bCs/>
              </w:rPr>
              <w:t>OATI</w:t>
            </w:r>
          </w:p>
        </w:tc>
      </w:tr>
      <w:tr w:rsidR="007577F1" w:rsidRPr="00922889" w14:paraId="47C6445A" w14:textId="77777777" w:rsidTr="001262CB">
        <w:tc>
          <w:tcPr>
            <w:tcW w:w="1998" w:type="dxa"/>
            <w:tcMar>
              <w:top w:w="0" w:type="dxa"/>
              <w:left w:w="108" w:type="dxa"/>
              <w:bottom w:w="0" w:type="dxa"/>
              <w:right w:w="108" w:type="dxa"/>
            </w:tcMar>
          </w:tcPr>
          <w:p w14:paraId="6F09A691" w14:textId="7C1257BF" w:rsidR="007577F1" w:rsidRDefault="007577F1" w:rsidP="0079197D">
            <w:pPr>
              <w:widowControl w:val="0"/>
              <w:spacing w:before="120"/>
              <w:rPr>
                <w:bCs/>
              </w:rPr>
            </w:pPr>
            <w:r>
              <w:rPr>
                <w:bCs/>
              </w:rPr>
              <w:t>Keith</w:t>
            </w:r>
          </w:p>
        </w:tc>
        <w:tc>
          <w:tcPr>
            <w:tcW w:w="3240" w:type="dxa"/>
            <w:tcMar>
              <w:top w:w="0" w:type="dxa"/>
              <w:left w:w="108" w:type="dxa"/>
              <w:bottom w:w="0" w:type="dxa"/>
              <w:right w:w="108" w:type="dxa"/>
            </w:tcMar>
          </w:tcPr>
          <w:p w14:paraId="6047F313" w14:textId="7088ED92" w:rsidR="007577F1" w:rsidRDefault="007577F1" w:rsidP="0079197D">
            <w:pPr>
              <w:widowControl w:val="0"/>
              <w:spacing w:before="120"/>
              <w:rPr>
                <w:bCs/>
              </w:rPr>
            </w:pPr>
            <w:r>
              <w:rPr>
                <w:bCs/>
              </w:rPr>
              <w:t>Dalia</w:t>
            </w:r>
          </w:p>
        </w:tc>
        <w:tc>
          <w:tcPr>
            <w:tcW w:w="3870" w:type="dxa"/>
            <w:tcMar>
              <w:top w:w="0" w:type="dxa"/>
              <w:left w:w="108" w:type="dxa"/>
              <w:bottom w:w="0" w:type="dxa"/>
              <w:right w:w="108" w:type="dxa"/>
            </w:tcMar>
          </w:tcPr>
          <w:p w14:paraId="4344F70B" w14:textId="500EF2AC" w:rsidR="007577F1" w:rsidRDefault="007577F1" w:rsidP="00A55C8D">
            <w:pPr>
              <w:keepNext/>
              <w:keepLines/>
              <w:widowControl w:val="0"/>
              <w:spacing w:before="120"/>
              <w:rPr>
                <w:bCs/>
              </w:rPr>
            </w:pPr>
            <w:r>
              <w:rPr>
                <w:bCs/>
              </w:rPr>
              <w:t>Bonneville Power Administration</w:t>
            </w:r>
          </w:p>
        </w:tc>
      </w:tr>
      <w:tr w:rsidR="007577F1" w:rsidRPr="00922889" w14:paraId="6FF9E252" w14:textId="77777777" w:rsidTr="001262CB">
        <w:tc>
          <w:tcPr>
            <w:tcW w:w="1998" w:type="dxa"/>
            <w:tcMar>
              <w:top w:w="0" w:type="dxa"/>
              <w:left w:w="108" w:type="dxa"/>
              <w:bottom w:w="0" w:type="dxa"/>
              <w:right w:w="108" w:type="dxa"/>
            </w:tcMar>
          </w:tcPr>
          <w:p w14:paraId="5D3EF008" w14:textId="1D024B60" w:rsidR="007577F1" w:rsidRDefault="007577F1" w:rsidP="0079197D">
            <w:pPr>
              <w:widowControl w:val="0"/>
              <w:spacing w:before="120"/>
              <w:rPr>
                <w:bCs/>
              </w:rPr>
            </w:pPr>
            <w:r>
              <w:rPr>
                <w:bCs/>
              </w:rPr>
              <w:t>Kate</w:t>
            </w:r>
          </w:p>
        </w:tc>
        <w:tc>
          <w:tcPr>
            <w:tcW w:w="3240" w:type="dxa"/>
            <w:tcMar>
              <w:top w:w="0" w:type="dxa"/>
              <w:left w:w="108" w:type="dxa"/>
              <w:bottom w:w="0" w:type="dxa"/>
              <w:right w:w="108" w:type="dxa"/>
            </w:tcMar>
          </w:tcPr>
          <w:p w14:paraId="528B5A91" w14:textId="063BB93D" w:rsidR="007577F1" w:rsidRDefault="007577F1" w:rsidP="0079197D">
            <w:pPr>
              <w:widowControl w:val="0"/>
              <w:spacing w:before="120"/>
              <w:rPr>
                <w:bCs/>
              </w:rPr>
            </w:pPr>
            <w:r>
              <w:rPr>
                <w:bCs/>
              </w:rPr>
              <w:t>Davis</w:t>
            </w:r>
          </w:p>
        </w:tc>
        <w:tc>
          <w:tcPr>
            <w:tcW w:w="3870" w:type="dxa"/>
            <w:tcMar>
              <w:top w:w="0" w:type="dxa"/>
              <w:left w:w="108" w:type="dxa"/>
              <w:bottom w:w="0" w:type="dxa"/>
              <w:right w:w="108" w:type="dxa"/>
            </w:tcMar>
          </w:tcPr>
          <w:p w14:paraId="471E4996" w14:textId="19BA744A" w:rsidR="007577F1" w:rsidRDefault="00307A76" w:rsidP="00A55C8D">
            <w:pPr>
              <w:keepNext/>
              <w:keepLines/>
              <w:widowControl w:val="0"/>
              <w:spacing w:before="120"/>
              <w:rPr>
                <w:bCs/>
              </w:rPr>
            </w:pPr>
            <w:r>
              <w:rPr>
                <w:bCs/>
              </w:rPr>
              <w:t>Bonneville Power Administration</w:t>
            </w:r>
          </w:p>
        </w:tc>
      </w:tr>
      <w:tr w:rsidR="00F401CD" w:rsidRPr="00922889" w14:paraId="44AB0964" w14:textId="77777777" w:rsidTr="001262CB">
        <w:tc>
          <w:tcPr>
            <w:tcW w:w="1998" w:type="dxa"/>
            <w:tcMar>
              <w:top w:w="0" w:type="dxa"/>
              <w:left w:w="108" w:type="dxa"/>
              <w:bottom w:w="0" w:type="dxa"/>
              <w:right w:w="108" w:type="dxa"/>
            </w:tcMar>
          </w:tcPr>
          <w:p w14:paraId="5C3E99D0" w14:textId="0189C2C9" w:rsidR="00F401CD" w:rsidRPr="00F401CD" w:rsidRDefault="00F401CD" w:rsidP="0079197D">
            <w:pPr>
              <w:widowControl w:val="0"/>
              <w:spacing w:before="120"/>
              <w:rPr>
                <w:bCs/>
              </w:rPr>
            </w:pPr>
            <w:proofErr w:type="spellStart"/>
            <w:r>
              <w:rPr>
                <w:bCs/>
              </w:rPr>
              <w:t>Pedrom</w:t>
            </w:r>
            <w:proofErr w:type="spellEnd"/>
          </w:p>
        </w:tc>
        <w:tc>
          <w:tcPr>
            <w:tcW w:w="3240" w:type="dxa"/>
            <w:tcMar>
              <w:top w:w="0" w:type="dxa"/>
              <w:left w:w="108" w:type="dxa"/>
              <w:bottom w:w="0" w:type="dxa"/>
              <w:right w:w="108" w:type="dxa"/>
            </w:tcMar>
          </w:tcPr>
          <w:p w14:paraId="689FA7A9" w14:textId="3B4A3E8C" w:rsidR="00F401CD" w:rsidRPr="00F401CD" w:rsidRDefault="00F401CD" w:rsidP="0079197D">
            <w:pPr>
              <w:widowControl w:val="0"/>
              <w:spacing w:before="120"/>
              <w:rPr>
                <w:bCs/>
              </w:rPr>
            </w:pPr>
            <w:r>
              <w:rPr>
                <w:bCs/>
              </w:rPr>
              <w:t>Farsi</w:t>
            </w:r>
          </w:p>
        </w:tc>
        <w:tc>
          <w:tcPr>
            <w:tcW w:w="3870" w:type="dxa"/>
            <w:tcMar>
              <w:top w:w="0" w:type="dxa"/>
              <w:left w:w="108" w:type="dxa"/>
              <w:bottom w:w="0" w:type="dxa"/>
              <w:right w:w="108" w:type="dxa"/>
            </w:tcMar>
          </w:tcPr>
          <w:p w14:paraId="4FEFFC33" w14:textId="43286DA8" w:rsidR="00F401CD" w:rsidRPr="00F401CD" w:rsidRDefault="00F401CD" w:rsidP="00A55C8D">
            <w:pPr>
              <w:keepNext/>
              <w:keepLines/>
              <w:widowControl w:val="0"/>
              <w:spacing w:before="120"/>
              <w:rPr>
                <w:bCs/>
              </w:rPr>
            </w:pPr>
            <w:r>
              <w:rPr>
                <w:bCs/>
              </w:rPr>
              <w:t>Arizona Public Service</w:t>
            </w:r>
          </w:p>
        </w:tc>
      </w:tr>
      <w:tr w:rsidR="007577F1" w:rsidRPr="00922889" w14:paraId="156427EA" w14:textId="77777777" w:rsidTr="001262CB">
        <w:tc>
          <w:tcPr>
            <w:tcW w:w="1998" w:type="dxa"/>
            <w:tcMar>
              <w:top w:w="0" w:type="dxa"/>
              <w:left w:w="108" w:type="dxa"/>
              <w:bottom w:w="0" w:type="dxa"/>
              <w:right w:w="108" w:type="dxa"/>
            </w:tcMar>
          </w:tcPr>
          <w:p w14:paraId="2EC868EF" w14:textId="32DA7365" w:rsidR="007577F1" w:rsidRDefault="007577F1" w:rsidP="0079197D">
            <w:pPr>
              <w:widowControl w:val="0"/>
              <w:spacing w:before="120"/>
              <w:rPr>
                <w:bCs/>
              </w:rPr>
            </w:pPr>
            <w:r>
              <w:rPr>
                <w:bCs/>
              </w:rPr>
              <w:t>Eva</w:t>
            </w:r>
          </w:p>
        </w:tc>
        <w:tc>
          <w:tcPr>
            <w:tcW w:w="3240" w:type="dxa"/>
            <w:tcMar>
              <w:top w:w="0" w:type="dxa"/>
              <w:left w:w="108" w:type="dxa"/>
              <w:bottom w:w="0" w:type="dxa"/>
              <w:right w:w="108" w:type="dxa"/>
            </w:tcMar>
          </w:tcPr>
          <w:p w14:paraId="596E5211" w14:textId="7696CCCF" w:rsidR="007577F1" w:rsidRDefault="007577F1" w:rsidP="0079197D">
            <w:pPr>
              <w:widowControl w:val="0"/>
              <w:spacing w:before="120"/>
              <w:rPr>
                <w:bCs/>
              </w:rPr>
            </w:pPr>
            <w:r>
              <w:rPr>
                <w:bCs/>
              </w:rPr>
              <w:t>Hunt</w:t>
            </w:r>
          </w:p>
        </w:tc>
        <w:tc>
          <w:tcPr>
            <w:tcW w:w="3870" w:type="dxa"/>
            <w:tcMar>
              <w:top w:w="0" w:type="dxa"/>
              <w:left w:w="108" w:type="dxa"/>
              <w:bottom w:w="0" w:type="dxa"/>
              <w:right w:w="108" w:type="dxa"/>
            </w:tcMar>
          </w:tcPr>
          <w:p w14:paraId="784F4DAF" w14:textId="7188DC2C" w:rsidR="007577F1" w:rsidRDefault="00D7354D" w:rsidP="00A55C8D">
            <w:pPr>
              <w:keepNext/>
              <w:keepLines/>
              <w:widowControl w:val="0"/>
              <w:spacing w:before="120"/>
              <w:rPr>
                <w:bCs/>
              </w:rPr>
            </w:pPr>
            <w:proofErr w:type="spellStart"/>
            <w:r>
              <w:rPr>
                <w:bCs/>
              </w:rPr>
              <w:t>Avista</w:t>
            </w:r>
            <w:r w:rsidR="00D811AE">
              <w:rPr>
                <w:bCs/>
              </w:rPr>
              <w:t>Corp</w:t>
            </w:r>
            <w:proofErr w:type="spellEnd"/>
          </w:p>
        </w:tc>
      </w:tr>
      <w:tr w:rsidR="007577F1" w:rsidRPr="00922889" w14:paraId="5155B4E3" w14:textId="77777777" w:rsidTr="001262CB">
        <w:tc>
          <w:tcPr>
            <w:tcW w:w="1998" w:type="dxa"/>
            <w:tcMar>
              <w:top w:w="0" w:type="dxa"/>
              <w:left w:w="108" w:type="dxa"/>
              <w:bottom w:w="0" w:type="dxa"/>
              <w:right w:w="108" w:type="dxa"/>
            </w:tcMar>
          </w:tcPr>
          <w:p w14:paraId="1296F832" w14:textId="5E59B750" w:rsidR="007577F1" w:rsidRDefault="007577F1" w:rsidP="0079197D">
            <w:pPr>
              <w:widowControl w:val="0"/>
              <w:spacing w:before="120"/>
              <w:rPr>
                <w:bCs/>
              </w:rPr>
            </w:pPr>
            <w:r>
              <w:rPr>
                <w:bCs/>
              </w:rPr>
              <w:t>Alan</w:t>
            </w:r>
          </w:p>
        </w:tc>
        <w:tc>
          <w:tcPr>
            <w:tcW w:w="3240" w:type="dxa"/>
            <w:tcMar>
              <w:top w:w="0" w:type="dxa"/>
              <w:left w:w="108" w:type="dxa"/>
              <w:bottom w:w="0" w:type="dxa"/>
              <w:right w:w="108" w:type="dxa"/>
            </w:tcMar>
          </w:tcPr>
          <w:p w14:paraId="44BC6224" w14:textId="06A9EAB9" w:rsidR="007577F1" w:rsidRDefault="007577F1" w:rsidP="0079197D">
            <w:pPr>
              <w:widowControl w:val="0"/>
              <w:spacing w:before="120"/>
              <w:rPr>
                <w:bCs/>
              </w:rPr>
            </w:pPr>
            <w:r>
              <w:rPr>
                <w:bCs/>
              </w:rPr>
              <w:t>Johnson</w:t>
            </w:r>
          </w:p>
        </w:tc>
        <w:tc>
          <w:tcPr>
            <w:tcW w:w="3870" w:type="dxa"/>
            <w:tcMar>
              <w:top w:w="0" w:type="dxa"/>
              <w:left w:w="108" w:type="dxa"/>
              <w:bottom w:w="0" w:type="dxa"/>
              <w:right w:w="108" w:type="dxa"/>
            </w:tcMar>
          </w:tcPr>
          <w:p w14:paraId="0A0DDFF7" w14:textId="443BCA04" w:rsidR="007577F1" w:rsidRDefault="00D811AE" w:rsidP="00A55C8D">
            <w:pPr>
              <w:keepNext/>
              <w:keepLines/>
              <w:widowControl w:val="0"/>
              <w:spacing w:before="120"/>
              <w:rPr>
                <w:bCs/>
              </w:rPr>
            </w:pPr>
            <w:r>
              <w:rPr>
                <w:bCs/>
              </w:rPr>
              <w:t>NRG</w:t>
            </w:r>
          </w:p>
        </w:tc>
      </w:tr>
      <w:tr w:rsidR="007577F1" w:rsidRPr="00922889" w14:paraId="7D66BD4F" w14:textId="77777777" w:rsidTr="001262CB">
        <w:tc>
          <w:tcPr>
            <w:tcW w:w="1998" w:type="dxa"/>
            <w:tcMar>
              <w:top w:w="0" w:type="dxa"/>
              <w:left w:w="108" w:type="dxa"/>
              <w:bottom w:w="0" w:type="dxa"/>
              <w:right w:w="108" w:type="dxa"/>
            </w:tcMar>
          </w:tcPr>
          <w:p w14:paraId="32376D40" w14:textId="0531B0D6" w:rsidR="007577F1" w:rsidRDefault="007577F1" w:rsidP="0079197D">
            <w:pPr>
              <w:widowControl w:val="0"/>
              <w:spacing w:before="120"/>
              <w:rPr>
                <w:bCs/>
              </w:rPr>
            </w:pPr>
            <w:r>
              <w:rPr>
                <w:bCs/>
              </w:rPr>
              <w:t>Lila</w:t>
            </w:r>
          </w:p>
        </w:tc>
        <w:tc>
          <w:tcPr>
            <w:tcW w:w="3240" w:type="dxa"/>
            <w:tcMar>
              <w:top w:w="0" w:type="dxa"/>
              <w:left w:w="108" w:type="dxa"/>
              <w:bottom w:w="0" w:type="dxa"/>
              <w:right w:w="108" w:type="dxa"/>
            </w:tcMar>
          </w:tcPr>
          <w:p w14:paraId="1366F496" w14:textId="3B07433F" w:rsidR="007577F1" w:rsidRDefault="007577F1" w:rsidP="0079197D">
            <w:pPr>
              <w:widowControl w:val="0"/>
              <w:spacing w:before="120"/>
              <w:rPr>
                <w:bCs/>
              </w:rPr>
            </w:pPr>
            <w:r>
              <w:rPr>
                <w:bCs/>
              </w:rPr>
              <w:t>Kee</w:t>
            </w:r>
          </w:p>
        </w:tc>
        <w:tc>
          <w:tcPr>
            <w:tcW w:w="3870" w:type="dxa"/>
            <w:tcMar>
              <w:top w:w="0" w:type="dxa"/>
              <w:left w:w="108" w:type="dxa"/>
              <w:bottom w:w="0" w:type="dxa"/>
              <w:right w:w="108" w:type="dxa"/>
            </w:tcMar>
          </w:tcPr>
          <w:p w14:paraId="6FC1EB24" w14:textId="141369C0" w:rsidR="007577F1" w:rsidRDefault="00D811AE" w:rsidP="00A55C8D">
            <w:pPr>
              <w:keepNext/>
              <w:keepLines/>
              <w:widowControl w:val="0"/>
              <w:spacing w:before="120"/>
              <w:rPr>
                <w:bCs/>
              </w:rPr>
            </w:pPr>
            <w:r>
              <w:rPr>
                <w:bCs/>
              </w:rPr>
              <w:t>GlobalSign</w:t>
            </w:r>
          </w:p>
        </w:tc>
      </w:tr>
      <w:tr w:rsidR="007577F1" w:rsidRPr="00922889" w14:paraId="3039B9DC" w14:textId="77777777" w:rsidTr="001262CB">
        <w:tc>
          <w:tcPr>
            <w:tcW w:w="1998" w:type="dxa"/>
            <w:tcMar>
              <w:top w:w="0" w:type="dxa"/>
              <w:left w:w="108" w:type="dxa"/>
              <w:bottom w:w="0" w:type="dxa"/>
              <w:right w:w="108" w:type="dxa"/>
            </w:tcMar>
          </w:tcPr>
          <w:p w14:paraId="4DCE1E07" w14:textId="038AF6FB" w:rsidR="007577F1" w:rsidRDefault="007577F1" w:rsidP="0079197D">
            <w:pPr>
              <w:widowControl w:val="0"/>
              <w:spacing w:before="120"/>
              <w:rPr>
                <w:bCs/>
              </w:rPr>
            </w:pPr>
            <w:r>
              <w:rPr>
                <w:bCs/>
              </w:rPr>
              <w:t>Darren</w:t>
            </w:r>
          </w:p>
        </w:tc>
        <w:tc>
          <w:tcPr>
            <w:tcW w:w="3240" w:type="dxa"/>
            <w:tcMar>
              <w:top w:w="0" w:type="dxa"/>
              <w:left w:w="108" w:type="dxa"/>
              <w:bottom w:w="0" w:type="dxa"/>
              <w:right w:w="108" w:type="dxa"/>
            </w:tcMar>
          </w:tcPr>
          <w:p w14:paraId="7762E3E9" w14:textId="4B1A8B8F" w:rsidR="007577F1" w:rsidRDefault="007577F1" w:rsidP="0079197D">
            <w:pPr>
              <w:widowControl w:val="0"/>
              <w:spacing w:before="120"/>
              <w:rPr>
                <w:bCs/>
              </w:rPr>
            </w:pPr>
            <w:r>
              <w:rPr>
                <w:bCs/>
              </w:rPr>
              <w:t>Lamb</w:t>
            </w:r>
          </w:p>
        </w:tc>
        <w:tc>
          <w:tcPr>
            <w:tcW w:w="3870" w:type="dxa"/>
            <w:tcMar>
              <w:top w:w="0" w:type="dxa"/>
              <w:left w:w="108" w:type="dxa"/>
              <w:bottom w:w="0" w:type="dxa"/>
              <w:right w:w="108" w:type="dxa"/>
            </w:tcMar>
          </w:tcPr>
          <w:p w14:paraId="27CE4BAB" w14:textId="723506E8" w:rsidR="007577F1" w:rsidRDefault="00445021" w:rsidP="00A55C8D">
            <w:pPr>
              <w:keepNext/>
              <w:keepLines/>
              <w:widowControl w:val="0"/>
              <w:spacing w:before="120"/>
              <w:rPr>
                <w:bCs/>
              </w:rPr>
            </w:pPr>
            <w:r>
              <w:rPr>
                <w:bCs/>
              </w:rPr>
              <w:t>CAISO</w:t>
            </w:r>
          </w:p>
        </w:tc>
      </w:tr>
      <w:tr w:rsidR="007577F1" w:rsidRPr="00922889" w14:paraId="2F2C6F39" w14:textId="77777777" w:rsidTr="001262CB">
        <w:tc>
          <w:tcPr>
            <w:tcW w:w="1998" w:type="dxa"/>
            <w:tcMar>
              <w:top w:w="0" w:type="dxa"/>
              <w:left w:w="108" w:type="dxa"/>
              <w:bottom w:w="0" w:type="dxa"/>
              <w:right w:w="108" w:type="dxa"/>
            </w:tcMar>
          </w:tcPr>
          <w:p w14:paraId="31C4727D" w14:textId="4937FA52" w:rsidR="007577F1" w:rsidRDefault="007577F1" w:rsidP="0079197D">
            <w:pPr>
              <w:widowControl w:val="0"/>
              <w:spacing w:before="120"/>
              <w:rPr>
                <w:bCs/>
              </w:rPr>
            </w:pPr>
            <w:r>
              <w:rPr>
                <w:bCs/>
              </w:rPr>
              <w:t>Annabelle</w:t>
            </w:r>
          </w:p>
        </w:tc>
        <w:tc>
          <w:tcPr>
            <w:tcW w:w="3240" w:type="dxa"/>
            <w:tcMar>
              <w:top w:w="0" w:type="dxa"/>
              <w:left w:w="108" w:type="dxa"/>
              <w:bottom w:w="0" w:type="dxa"/>
              <w:right w:w="108" w:type="dxa"/>
            </w:tcMar>
          </w:tcPr>
          <w:p w14:paraId="5868E732" w14:textId="3F8C19E2" w:rsidR="007577F1" w:rsidRDefault="007577F1" w:rsidP="0079197D">
            <w:pPr>
              <w:widowControl w:val="0"/>
              <w:spacing w:before="120"/>
              <w:rPr>
                <w:bCs/>
              </w:rPr>
            </w:pPr>
            <w:r>
              <w:rPr>
                <w:bCs/>
              </w:rPr>
              <w:t>Lee</w:t>
            </w:r>
          </w:p>
        </w:tc>
        <w:tc>
          <w:tcPr>
            <w:tcW w:w="3870" w:type="dxa"/>
            <w:tcMar>
              <w:top w:w="0" w:type="dxa"/>
              <w:left w:w="108" w:type="dxa"/>
              <w:bottom w:w="0" w:type="dxa"/>
              <w:right w:w="108" w:type="dxa"/>
            </w:tcMar>
          </w:tcPr>
          <w:p w14:paraId="4B7A556F" w14:textId="7B4F8052" w:rsidR="007577F1" w:rsidRDefault="00D811AE" w:rsidP="00A55C8D">
            <w:pPr>
              <w:keepNext/>
              <w:keepLines/>
              <w:widowControl w:val="0"/>
              <w:spacing w:before="120"/>
              <w:rPr>
                <w:bCs/>
              </w:rPr>
            </w:pPr>
            <w:r>
              <w:rPr>
                <w:bCs/>
              </w:rPr>
              <w:t>Nevermore Security</w:t>
            </w:r>
          </w:p>
        </w:tc>
      </w:tr>
      <w:tr w:rsidR="007577F1" w:rsidRPr="00922889" w14:paraId="4D31FE15" w14:textId="77777777" w:rsidTr="001262CB">
        <w:tc>
          <w:tcPr>
            <w:tcW w:w="1998" w:type="dxa"/>
            <w:tcMar>
              <w:top w:w="0" w:type="dxa"/>
              <w:left w:w="108" w:type="dxa"/>
              <w:bottom w:w="0" w:type="dxa"/>
              <w:right w:w="108" w:type="dxa"/>
            </w:tcMar>
          </w:tcPr>
          <w:p w14:paraId="404A3D09" w14:textId="4939CB45" w:rsidR="007577F1" w:rsidRDefault="007577F1" w:rsidP="0079197D">
            <w:pPr>
              <w:widowControl w:val="0"/>
              <w:spacing w:before="120"/>
              <w:rPr>
                <w:bCs/>
              </w:rPr>
            </w:pPr>
            <w:r>
              <w:rPr>
                <w:bCs/>
              </w:rPr>
              <w:t>Elizabeth</w:t>
            </w:r>
          </w:p>
        </w:tc>
        <w:tc>
          <w:tcPr>
            <w:tcW w:w="3240" w:type="dxa"/>
            <w:tcMar>
              <w:top w:w="0" w:type="dxa"/>
              <w:left w:w="108" w:type="dxa"/>
              <w:bottom w:w="0" w:type="dxa"/>
              <w:right w:w="108" w:type="dxa"/>
            </w:tcMar>
          </w:tcPr>
          <w:p w14:paraId="7B146BC4" w14:textId="3455859C" w:rsidR="007577F1" w:rsidRDefault="007577F1" w:rsidP="0079197D">
            <w:pPr>
              <w:widowControl w:val="0"/>
              <w:spacing w:before="120"/>
              <w:rPr>
                <w:bCs/>
              </w:rPr>
            </w:pPr>
            <w:r>
              <w:rPr>
                <w:bCs/>
              </w:rPr>
              <w:t>Mallett</w:t>
            </w:r>
          </w:p>
        </w:tc>
        <w:tc>
          <w:tcPr>
            <w:tcW w:w="3870" w:type="dxa"/>
            <w:tcMar>
              <w:top w:w="0" w:type="dxa"/>
              <w:left w:w="108" w:type="dxa"/>
              <w:bottom w:w="0" w:type="dxa"/>
              <w:right w:w="108" w:type="dxa"/>
            </w:tcMar>
          </w:tcPr>
          <w:p w14:paraId="597734D0" w14:textId="741A477F" w:rsidR="007577F1" w:rsidRDefault="007577F1" w:rsidP="00A55C8D">
            <w:pPr>
              <w:keepNext/>
              <w:keepLines/>
              <w:widowControl w:val="0"/>
              <w:spacing w:before="120"/>
              <w:rPr>
                <w:bCs/>
              </w:rPr>
            </w:pPr>
            <w:r w:rsidRPr="00F401CD">
              <w:rPr>
                <w:bCs/>
              </w:rPr>
              <w:t>N</w:t>
            </w:r>
            <w:r>
              <w:rPr>
                <w:bCs/>
              </w:rPr>
              <w:t>orth American Energy Standards Board</w:t>
            </w:r>
          </w:p>
        </w:tc>
      </w:tr>
      <w:tr w:rsidR="007577F1" w:rsidRPr="00922889" w14:paraId="17128149" w14:textId="77777777" w:rsidTr="001262CB">
        <w:tc>
          <w:tcPr>
            <w:tcW w:w="1998" w:type="dxa"/>
            <w:tcMar>
              <w:top w:w="0" w:type="dxa"/>
              <w:left w:w="108" w:type="dxa"/>
              <w:bottom w:w="0" w:type="dxa"/>
              <w:right w:w="108" w:type="dxa"/>
            </w:tcMar>
          </w:tcPr>
          <w:p w14:paraId="7DCB94D8" w14:textId="69BE6BC8" w:rsidR="007577F1" w:rsidRDefault="007577F1" w:rsidP="0079197D">
            <w:pPr>
              <w:widowControl w:val="0"/>
              <w:spacing w:before="120"/>
              <w:rPr>
                <w:bCs/>
              </w:rPr>
            </w:pPr>
            <w:r>
              <w:rPr>
                <w:bCs/>
              </w:rPr>
              <w:t>Catherine</w:t>
            </w:r>
          </w:p>
        </w:tc>
        <w:tc>
          <w:tcPr>
            <w:tcW w:w="3240" w:type="dxa"/>
            <w:tcMar>
              <w:top w:w="0" w:type="dxa"/>
              <w:left w:w="108" w:type="dxa"/>
              <w:bottom w:w="0" w:type="dxa"/>
              <w:right w:w="108" w:type="dxa"/>
            </w:tcMar>
          </w:tcPr>
          <w:p w14:paraId="061A0D18" w14:textId="5F0A0897" w:rsidR="007577F1" w:rsidRDefault="007577F1" w:rsidP="0079197D">
            <w:pPr>
              <w:widowControl w:val="0"/>
              <w:spacing w:before="120"/>
              <w:rPr>
                <w:bCs/>
              </w:rPr>
            </w:pPr>
            <w:r>
              <w:rPr>
                <w:bCs/>
              </w:rPr>
              <w:t>Meiners</w:t>
            </w:r>
          </w:p>
        </w:tc>
        <w:tc>
          <w:tcPr>
            <w:tcW w:w="3870" w:type="dxa"/>
            <w:tcMar>
              <w:top w:w="0" w:type="dxa"/>
              <w:left w:w="108" w:type="dxa"/>
              <w:bottom w:w="0" w:type="dxa"/>
              <w:right w:w="108" w:type="dxa"/>
            </w:tcMar>
          </w:tcPr>
          <w:p w14:paraId="3075177A" w14:textId="0F8FD206" w:rsidR="007577F1" w:rsidRDefault="007577F1" w:rsidP="00A55C8D">
            <w:pPr>
              <w:keepNext/>
              <w:keepLines/>
              <w:widowControl w:val="0"/>
              <w:spacing w:before="120"/>
              <w:rPr>
                <w:bCs/>
              </w:rPr>
            </w:pPr>
            <w:r>
              <w:rPr>
                <w:bCs/>
              </w:rPr>
              <w:t>ERCOT</w:t>
            </w:r>
          </w:p>
        </w:tc>
      </w:tr>
      <w:tr w:rsidR="00445021" w:rsidRPr="00922889" w14:paraId="04F78EDB" w14:textId="77777777" w:rsidTr="001262CB">
        <w:tc>
          <w:tcPr>
            <w:tcW w:w="1998" w:type="dxa"/>
            <w:tcMar>
              <w:top w:w="0" w:type="dxa"/>
              <w:left w:w="108" w:type="dxa"/>
              <w:bottom w:w="0" w:type="dxa"/>
              <w:right w:w="108" w:type="dxa"/>
            </w:tcMar>
          </w:tcPr>
          <w:p w14:paraId="1568213A" w14:textId="5D4E0072" w:rsidR="00445021" w:rsidRDefault="00445021" w:rsidP="0079197D">
            <w:pPr>
              <w:widowControl w:val="0"/>
              <w:spacing w:before="120"/>
              <w:rPr>
                <w:bCs/>
              </w:rPr>
            </w:pPr>
            <w:r>
              <w:rPr>
                <w:bCs/>
              </w:rPr>
              <w:t>Farrokh</w:t>
            </w:r>
          </w:p>
        </w:tc>
        <w:tc>
          <w:tcPr>
            <w:tcW w:w="3240" w:type="dxa"/>
            <w:tcMar>
              <w:top w:w="0" w:type="dxa"/>
              <w:left w:w="108" w:type="dxa"/>
              <w:bottom w:w="0" w:type="dxa"/>
              <w:right w:w="108" w:type="dxa"/>
            </w:tcMar>
          </w:tcPr>
          <w:p w14:paraId="56CF76C0" w14:textId="58403569" w:rsidR="00445021" w:rsidRDefault="00445021" w:rsidP="0079197D">
            <w:pPr>
              <w:widowControl w:val="0"/>
              <w:spacing w:before="120"/>
              <w:rPr>
                <w:bCs/>
              </w:rPr>
            </w:pPr>
            <w:r>
              <w:rPr>
                <w:bCs/>
              </w:rPr>
              <w:t>Rahimi</w:t>
            </w:r>
          </w:p>
        </w:tc>
        <w:tc>
          <w:tcPr>
            <w:tcW w:w="3870" w:type="dxa"/>
            <w:tcMar>
              <w:top w:w="0" w:type="dxa"/>
              <w:left w:w="108" w:type="dxa"/>
              <w:bottom w:w="0" w:type="dxa"/>
              <w:right w:w="108" w:type="dxa"/>
            </w:tcMar>
          </w:tcPr>
          <w:p w14:paraId="700B84EE" w14:textId="4AEF1108" w:rsidR="00445021" w:rsidRDefault="00445021" w:rsidP="00A55C8D">
            <w:pPr>
              <w:keepNext/>
              <w:keepLines/>
              <w:widowControl w:val="0"/>
              <w:spacing w:before="120"/>
              <w:rPr>
                <w:bCs/>
              </w:rPr>
            </w:pPr>
            <w:r>
              <w:rPr>
                <w:bCs/>
              </w:rPr>
              <w:t>OATI</w:t>
            </w:r>
          </w:p>
        </w:tc>
      </w:tr>
      <w:tr w:rsidR="00445021" w:rsidRPr="00922889" w14:paraId="4F5CA72B" w14:textId="77777777" w:rsidTr="001262CB">
        <w:tc>
          <w:tcPr>
            <w:tcW w:w="1998" w:type="dxa"/>
            <w:tcMar>
              <w:top w:w="0" w:type="dxa"/>
              <w:left w:w="108" w:type="dxa"/>
              <w:bottom w:w="0" w:type="dxa"/>
              <w:right w:w="108" w:type="dxa"/>
            </w:tcMar>
          </w:tcPr>
          <w:p w14:paraId="65B4AEBA" w14:textId="5C5866E9" w:rsidR="00445021" w:rsidRPr="00F401CD" w:rsidRDefault="00445021" w:rsidP="0079197D">
            <w:pPr>
              <w:widowControl w:val="0"/>
              <w:spacing w:before="120"/>
              <w:rPr>
                <w:bCs/>
              </w:rPr>
            </w:pPr>
            <w:r>
              <w:rPr>
                <w:bCs/>
              </w:rPr>
              <w:t>Cory</w:t>
            </w:r>
          </w:p>
        </w:tc>
        <w:tc>
          <w:tcPr>
            <w:tcW w:w="3240" w:type="dxa"/>
            <w:tcMar>
              <w:top w:w="0" w:type="dxa"/>
              <w:left w:w="108" w:type="dxa"/>
              <w:bottom w:w="0" w:type="dxa"/>
              <w:right w:w="108" w:type="dxa"/>
            </w:tcMar>
          </w:tcPr>
          <w:p w14:paraId="5FA00570" w14:textId="36D2F6B3" w:rsidR="00445021" w:rsidRPr="00F401CD" w:rsidRDefault="00445021" w:rsidP="0079197D">
            <w:pPr>
              <w:widowControl w:val="0"/>
              <w:spacing w:before="120"/>
              <w:rPr>
                <w:bCs/>
              </w:rPr>
            </w:pPr>
            <w:r>
              <w:rPr>
                <w:bCs/>
              </w:rPr>
              <w:t>Rasmussen</w:t>
            </w:r>
          </w:p>
        </w:tc>
        <w:tc>
          <w:tcPr>
            <w:tcW w:w="3870" w:type="dxa"/>
            <w:tcMar>
              <w:top w:w="0" w:type="dxa"/>
              <w:left w:w="108" w:type="dxa"/>
              <w:bottom w:w="0" w:type="dxa"/>
              <w:right w:w="108" w:type="dxa"/>
            </w:tcMar>
          </w:tcPr>
          <w:p w14:paraId="18FD7ACC" w14:textId="08F898FB" w:rsidR="00445021" w:rsidRPr="00F401CD" w:rsidRDefault="00445021" w:rsidP="00A55C8D">
            <w:pPr>
              <w:keepNext/>
              <w:keepLines/>
              <w:widowControl w:val="0"/>
              <w:spacing w:before="120"/>
              <w:rPr>
                <w:bCs/>
              </w:rPr>
            </w:pPr>
            <w:r>
              <w:rPr>
                <w:bCs/>
              </w:rPr>
              <w:t>OATI</w:t>
            </w:r>
          </w:p>
        </w:tc>
      </w:tr>
      <w:tr w:rsidR="007577F1" w:rsidRPr="00922889" w14:paraId="2DDDD0DB" w14:textId="77777777" w:rsidTr="001262CB">
        <w:tc>
          <w:tcPr>
            <w:tcW w:w="1998" w:type="dxa"/>
            <w:tcMar>
              <w:top w:w="0" w:type="dxa"/>
              <w:left w:w="108" w:type="dxa"/>
              <w:bottom w:w="0" w:type="dxa"/>
              <w:right w:w="108" w:type="dxa"/>
            </w:tcMar>
          </w:tcPr>
          <w:p w14:paraId="5E2F3CFE" w14:textId="57DDDE33" w:rsidR="007577F1" w:rsidRPr="00F401CD" w:rsidRDefault="007577F1" w:rsidP="0079197D">
            <w:pPr>
              <w:widowControl w:val="0"/>
              <w:spacing w:before="120"/>
              <w:rPr>
                <w:bCs/>
              </w:rPr>
            </w:pPr>
            <w:r>
              <w:rPr>
                <w:bCs/>
              </w:rPr>
              <w:t>Daniel</w:t>
            </w:r>
          </w:p>
        </w:tc>
        <w:tc>
          <w:tcPr>
            <w:tcW w:w="3240" w:type="dxa"/>
            <w:tcMar>
              <w:top w:w="0" w:type="dxa"/>
              <w:left w:w="108" w:type="dxa"/>
              <w:bottom w:w="0" w:type="dxa"/>
              <w:right w:w="108" w:type="dxa"/>
            </w:tcMar>
          </w:tcPr>
          <w:p w14:paraId="5543C3AC" w14:textId="3D0D168C" w:rsidR="007577F1" w:rsidRPr="00F401CD" w:rsidRDefault="007577F1" w:rsidP="0079197D">
            <w:pPr>
              <w:widowControl w:val="0"/>
              <w:spacing w:before="120"/>
              <w:rPr>
                <w:bCs/>
              </w:rPr>
            </w:pPr>
            <w:r>
              <w:rPr>
                <w:bCs/>
              </w:rPr>
              <w:t>Rendon</w:t>
            </w:r>
          </w:p>
        </w:tc>
        <w:tc>
          <w:tcPr>
            <w:tcW w:w="3870" w:type="dxa"/>
            <w:tcMar>
              <w:top w:w="0" w:type="dxa"/>
              <w:left w:w="108" w:type="dxa"/>
              <w:bottom w:w="0" w:type="dxa"/>
              <w:right w:w="108" w:type="dxa"/>
            </w:tcMar>
          </w:tcPr>
          <w:p w14:paraId="23B690CD" w14:textId="04608175" w:rsidR="007577F1" w:rsidRPr="00F401CD" w:rsidRDefault="00307A76" w:rsidP="00A55C8D">
            <w:pPr>
              <w:keepNext/>
              <w:keepLines/>
              <w:widowControl w:val="0"/>
              <w:spacing w:before="120"/>
              <w:rPr>
                <w:bCs/>
              </w:rPr>
            </w:pPr>
            <w:r>
              <w:rPr>
                <w:bCs/>
              </w:rPr>
              <w:t>SSL.com</w:t>
            </w:r>
          </w:p>
        </w:tc>
      </w:tr>
      <w:tr w:rsidR="00A54E45" w:rsidRPr="00922889" w14:paraId="5AAD65E8" w14:textId="77777777" w:rsidTr="001262CB">
        <w:tc>
          <w:tcPr>
            <w:tcW w:w="1998" w:type="dxa"/>
            <w:tcMar>
              <w:top w:w="0" w:type="dxa"/>
              <w:left w:w="108" w:type="dxa"/>
              <w:bottom w:w="0" w:type="dxa"/>
              <w:right w:w="108" w:type="dxa"/>
            </w:tcMar>
          </w:tcPr>
          <w:p w14:paraId="2A52AEE1" w14:textId="4ED4E18E" w:rsidR="00A54E45" w:rsidRPr="00F401CD" w:rsidRDefault="00A54E45" w:rsidP="0079197D">
            <w:pPr>
              <w:widowControl w:val="0"/>
              <w:spacing w:before="120"/>
              <w:rPr>
                <w:bCs/>
              </w:rPr>
            </w:pPr>
            <w:r w:rsidRPr="00F401CD">
              <w:rPr>
                <w:bCs/>
              </w:rPr>
              <w:t>Ron</w:t>
            </w:r>
          </w:p>
        </w:tc>
        <w:tc>
          <w:tcPr>
            <w:tcW w:w="3240" w:type="dxa"/>
            <w:tcMar>
              <w:top w:w="0" w:type="dxa"/>
              <w:left w:w="108" w:type="dxa"/>
              <w:bottom w:w="0" w:type="dxa"/>
              <w:right w:w="108" w:type="dxa"/>
            </w:tcMar>
          </w:tcPr>
          <w:p w14:paraId="410BADA7" w14:textId="3F1A80C3" w:rsidR="00A54E45" w:rsidRPr="00F401CD" w:rsidRDefault="00A54E45" w:rsidP="0079197D">
            <w:pPr>
              <w:widowControl w:val="0"/>
              <w:spacing w:before="120"/>
              <w:rPr>
                <w:bCs/>
              </w:rPr>
            </w:pPr>
            <w:r w:rsidRPr="00F401CD">
              <w:rPr>
                <w:bCs/>
              </w:rPr>
              <w:t>Robinson</w:t>
            </w:r>
          </w:p>
        </w:tc>
        <w:tc>
          <w:tcPr>
            <w:tcW w:w="3870" w:type="dxa"/>
            <w:tcMar>
              <w:top w:w="0" w:type="dxa"/>
              <w:left w:w="108" w:type="dxa"/>
              <w:bottom w:w="0" w:type="dxa"/>
              <w:right w:w="108" w:type="dxa"/>
            </w:tcMar>
          </w:tcPr>
          <w:p w14:paraId="7811B72E" w14:textId="68434C00" w:rsidR="00A54E45" w:rsidRPr="00F401CD" w:rsidRDefault="00A54E45" w:rsidP="00A55C8D">
            <w:pPr>
              <w:keepNext/>
              <w:keepLines/>
              <w:widowControl w:val="0"/>
              <w:spacing w:before="120"/>
              <w:rPr>
                <w:bCs/>
              </w:rPr>
            </w:pPr>
            <w:r w:rsidRPr="00F401CD">
              <w:rPr>
                <w:bCs/>
              </w:rPr>
              <w:t>T</w:t>
            </w:r>
            <w:r w:rsidR="007577F1">
              <w:rPr>
                <w:bCs/>
              </w:rPr>
              <w:t>ennessee Valley Authority</w:t>
            </w:r>
          </w:p>
        </w:tc>
      </w:tr>
      <w:tr w:rsidR="007577F1" w:rsidRPr="00922889" w14:paraId="2A8F3047" w14:textId="77777777" w:rsidTr="001262CB">
        <w:tc>
          <w:tcPr>
            <w:tcW w:w="1998" w:type="dxa"/>
            <w:tcMar>
              <w:top w:w="0" w:type="dxa"/>
              <w:left w:w="108" w:type="dxa"/>
              <w:bottom w:w="0" w:type="dxa"/>
              <w:right w:w="108" w:type="dxa"/>
            </w:tcMar>
          </w:tcPr>
          <w:p w14:paraId="472B89C7" w14:textId="694D2016" w:rsidR="007577F1" w:rsidRDefault="007577F1" w:rsidP="0079197D">
            <w:pPr>
              <w:widowControl w:val="0"/>
              <w:spacing w:before="120"/>
              <w:rPr>
                <w:bCs/>
              </w:rPr>
            </w:pPr>
            <w:r>
              <w:rPr>
                <w:bCs/>
              </w:rPr>
              <w:t>Keith</w:t>
            </w:r>
          </w:p>
        </w:tc>
        <w:tc>
          <w:tcPr>
            <w:tcW w:w="3240" w:type="dxa"/>
            <w:tcMar>
              <w:top w:w="0" w:type="dxa"/>
              <w:left w:w="108" w:type="dxa"/>
              <w:bottom w:w="0" w:type="dxa"/>
              <w:right w:w="108" w:type="dxa"/>
            </w:tcMar>
          </w:tcPr>
          <w:p w14:paraId="6C5167D7" w14:textId="4741D2FE" w:rsidR="007577F1" w:rsidRPr="00F401CD" w:rsidRDefault="007577F1" w:rsidP="0079197D">
            <w:pPr>
              <w:widowControl w:val="0"/>
              <w:spacing w:before="120"/>
              <w:rPr>
                <w:bCs/>
              </w:rPr>
            </w:pPr>
            <w:r>
              <w:rPr>
                <w:bCs/>
              </w:rPr>
              <w:t>Sappenfield</w:t>
            </w:r>
          </w:p>
        </w:tc>
        <w:tc>
          <w:tcPr>
            <w:tcW w:w="3870" w:type="dxa"/>
            <w:tcMar>
              <w:top w:w="0" w:type="dxa"/>
              <w:left w:w="108" w:type="dxa"/>
              <w:bottom w:w="0" w:type="dxa"/>
              <w:right w:w="108" w:type="dxa"/>
            </w:tcMar>
          </w:tcPr>
          <w:p w14:paraId="0A098710" w14:textId="59BF9FB7" w:rsidR="007577F1" w:rsidRPr="00F401CD" w:rsidRDefault="007577F1" w:rsidP="00A55C8D">
            <w:pPr>
              <w:keepNext/>
              <w:keepLines/>
              <w:widowControl w:val="0"/>
              <w:spacing w:before="120"/>
              <w:rPr>
                <w:bCs/>
              </w:rPr>
            </w:pPr>
            <w:r>
              <w:rPr>
                <w:bCs/>
              </w:rPr>
              <w:t>Corpus Christi Liquefaction</w:t>
            </w:r>
          </w:p>
        </w:tc>
      </w:tr>
      <w:tr w:rsidR="007577F1" w:rsidRPr="00922889" w14:paraId="220AFFF3" w14:textId="77777777" w:rsidTr="001262CB">
        <w:tc>
          <w:tcPr>
            <w:tcW w:w="1998" w:type="dxa"/>
            <w:tcMar>
              <w:top w:w="0" w:type="dxa"/>
              <w:left w:w="108" w:type="dxa"/>
              <w:bottom w:w="0" w:type="dxa"/>
              <w:right w:w="108" w:type="dxa"/>
            </w:tcMar>
          </w:tcPr>
          <w:p w14:paraId="02A6F67A" w14:textId="56006C71" w:rsidR="007577F1" w:rsidRDefault="007577F1" w:rsidP="0079197D">
            <w:pPr>
              <w:widowControl w:val="0"/>
              <w:spacing w:before="120"/>
              <w:rPr>
                <w:bCs/>
              </w:rPr>
            </w:pPr>
            <w:r>
              <w:rPr>
                <w:bCs/>
              </w:rPr>
              <w:t>Lisa</w:t>
            </w:r>
          </w:p>
        </w:tc>
        <w:tc>
          <w:tcPr>
            <w:tcW w:w="3240" w:type="dxa"/>
            <w:tcMar>
              <w:top w:w="0" w:type="dxa"/>
              <w:left w:w="108" w:type="dxa"/>
              <w:bottom w:w="0" w:type="dxa"/>
              <w:right w:w="108" w:type="dxa"/>
            </w:tcMar>
          </w:tcPr>
          <w:p w14:paraId="5A4A475D" w14:textId="26646D9F" w:rsidR="007577F1" w:rsidRDefault="007577F1" w:rsidP="0079197D">
            <w:pPr>
              <w:widowControl w:val="0"/>
              <w:spacing w:before="120"/>
              <w:rPr>
                <w:bCs/>
              </w:rPr>
            </w:pPr>
            <w:r>
              <w:rPr>
                <w:bCs/>
              </w:rPr>
              <w:t>Sieg</w:t>
            </w:r>
          </w:p>
        </w:tc>
        <w:tc>
          <w:tcPr>
            <w:tcW w:w="3870" w:type="dxa"/>
            <w:tcMar>
              <w:top w:w="0" w:type="dxa"/>
              <w:left w:w="108" w:type="dxa"/>
              <w:bottom w:w="0" w:type="dxa"/>
              <w:right w:w="108" w:type="dxa"/>
            </w:tcMar>
          </w:tcPr>
          <w:p w14:paraId="6EA09898" w14:textId="66760C02" w:rsidR="007577F1" w:rsidRDefault="00307A76" w:rsidP="00A55C8D">
            <w:pPr>
              <w:keepNext/>
              <w:keepLines/>
              <w:widowControl w:val="0"/>
              <w:spacing w:before="120"/>
              <w:rPr>
                <w:bCs/>
              </w:rPr>
            </w:pPr>
            <w:r>
              <w:rPr>
                <w:bCs/>
              </w:rPr>
              <w:t xml:space="preserve">LG&amp;E and KU </w:t>
            </w:r>
          </w:p>
        </w:tc>
      </w:tr>
      <w:tr w:rsidR="00F401CD" w:rsidRPr="00286562" w14:paraId="7C98CBA5" w14:textId="77777777" w:rsidTr="001262CB">
        <w:tc>
          <w:tcPr>
            <w:tcW w:w="1998" w:type="dxa"/>
            <w:tcMar>
              <w:top w:w="0" w:type="dxa"/>
              <w:left w:w="108" w:type="dxa"/>
              <w:bottom w:w="0" w:type="dxa"/>
              <w:right w:w="108" w:type="dxa"/>
            </w:tcMar>
          </w:tcPr>
          <w:p w14:paraId="153D94A4" w14:textId="4D587800" w:rsidR="00F401CD" w:rsidRPr="00F401CD" w:rsidRDefault="00F401CD" w:rsidP="0079197D">
            <w:pPr>
              <w:widowControl w:val="0"/>
              <w:spacing w:before="120"/>
              <w:rPr>
                <w:bCs/>
              </w:rPr>
            </w:pPr>
            <w:r>
              <w:rPr>
                <w:bCs/>
              </w:rPr>
              <w:t>Karen</w:t>
            </w:r>
          </w:p>
        </w:tc>
        <w:tc>
          <w:tcPr>
            <w:tcW w:w="3240" w:type="dxa"/>
            <w:tcMar>
              <w:top w:w="0" w:type="dxa"/>
              <w:left w:w="108" w:type="dxa"/>
              <w:bottom w:w="0" w:type="dxa"/>
              <w:right w:w="108" w:type="dxa"/>
            </w:tcMar>
          </w:tcPr>
          <w:p w14:paraId="767C10B5" w14:textId="085ADBC9" w:rsidR="00F401CD" w:rsidRPr="00F401CD" w:rsidRDefault="00F401CD" w:rsidP="0079197D">
            <w:pPr>
              <w:widowControl w:val="0"/>
              <w:spacing w:before="120"/>
              <w:rPr>
                <w:bCs/>
              </w:rPr>
            </w:pPr>
            <w:r>
              <w:rPr>
                <w:bCs/>
              </w:rPr>
              <w:t>Stampfli</w:t>
            </w:r>
          </w:p>
        </w:tc>
        <w:tc>
          <w:tcPr>
            <w:tcW w:w="3870" w:type="dxa"/>
            <w:tcMar>
              <w:top w:w="0" w:type="dxa"/>
              <w:left w:w="108" w:type="dxa"/>
              <w:bottom w:w="0" w:type="dxa"/>
              <w:right w:w="108" w:type="dxa"/>
            </w:tcMar>
          </w:tcPr>
          <w:p w14:paraId="1099EFFF" w14:textId="296AA416" w:rsidR="00F401CD" w:rsidRPr="00F401CD" w:rsidRDefault="00F401CD" w:rsidP="00A55C8D">
            <w:pPr>
              <w:keepNext/>
              <w:keepLines/>
              <w:widowControl w:val="0"/>
              <w:spacing w:before="120"/>
              <w:rPr>
                <w:bCs/>
              </w:rPr>
            </w:pPr>
            <w:r>
              <w:rPr>
                <w:bCs/>
              </w:rPr>
              <w:t>T</w:t>
            </w:r>
            <w:r w:rsidR="007577F1">
              <w:rPr>
                <w:bCs/>
              </w:rPr>
              <w:t>ennessee Valley Authority</w:t>
            </w:r>
          </w:p>
        </w:tc>
      </w:tr>
      <w:tr w:rsidR="007577F1" w:rsidRPr="00286562" w14:paraId="24ED8ABC" w14:textId="77777777" w:rsidTr="001262CB">
        <w:tc>
          <w:tcPr>
            <w:tcW w:w="1998" w:type="dxa"/>
            <w:tcMar>
              <w:top w:w="0" w:type="dxa"/>
              <w:left w:w="108" w:type="dxa"/>
              <w:bottom w:w="0" w:type="dxa"/>
              <w:right w:w="108" w:type="dxa"/>
            </w:tcMar>
          </w:tcPr>
          <w:p w14:paraId="118A017B" w14:textId="4C0094C7" w:rsidR="007577F1" w:rsidRDefault="007577F1" w:rsidP="0079197D">
            <w:pPr>
              <w:widowControl w:val="0"/>
              <w:spacing w:before="120"/>
              <w:rPr>
                <w:bCs/>
              </w:rPr>
            </w:pPr>
            <w:r>
              <w:rPr>
                <w:bCs/>
              </w:rPr>
              <w:t>Scott</w:t>
            </w:r>
          </w:p>
        </w:tc>
        <w:tc>
          <w:tcPr>
            <w:tcW w:w="3240" w:type="dxa"/>
            <w:tcMar>
              <w:top w:w="0" w:type="dxa"/>
              <w:left w:w="108" w:type="dxa"/>
              <w:bottom w:w="0" w:type="dxa"/>
              <w:right w:w="108" w:type="dxa"/>
            </w:tcMar>
          </w:tcPr>
          <w:p w14:paraId="766796AF" w14:textId="7B49522D" w:rsidR="007577F1" w:rsidRDefault="007577F1" w:rsidP="0079197D">
            <w:pPr>
              <w:widowControl w:val="0"/>
              <w:spacing w:before="120"/>
              <w:rPr>
                <w:bCs/>
              </w:rPr>
            </w:pPr>
            <w:r>
              <w:rPr>
                <w:bCs/>
              </w:rPr>
              <w:t>Stewart</w:t>
            </w:r>
          </w:p>
        </w:tc>
        <w:tc>
          <w:tcPr>
            <w:tcW w:w="3870" w:type="dxa"/>
            <w:tcMar>
              <w:top w:w="0" w:type="dxa"/>
              <w:left w:w="108" w:type="dxa"/>
              <w:bottom w:w="0" w:type="dxa"/>
              <w:right w:w="108" w:type="dxa"/>
            </w:tcMar>
          </w:tcPr>
          <w:p w14:paraId="7F0CB0F4" w14:textId="5DC38B11" w:rsidR="007577F1" w:rsidRDefault="007577F1" w:rsidP="00A55C8D">
            <w:pPr>
              <w:keepNext/>
              <w:keepLines/>
              <w:widowControl w:val="0"/>
              <w:spacing w:before="120"/>
              <w:rPr>
                <w:bCs/>
              </w:rPr>
            </w:pPr>
            <w:r>
              <w:rPr>
                <w:bCs/>
              </w:rPr>
              <w:t>Bonneville Power Administration</w:t>
            </w:r>
          </w:p>
        </w:tc>
      </w:tr>
      <w:tr w:rsidR="00BE24C3" w:rsidRPr="00286562" w14:paraId="5F9BFAF0" w14:textId="77777777" w:rsidTr="001262CB">
        <w:tc>
          <w:tcPr>
            <w:tcW w:w="1998" w:type="dxa"/>
            <w:tcMar>
              <w:top w:w="0" w:type="dxa"/>
              <w:left w:w="108" w:type="dxa"/>
              <w:bottom w:w="0" w:type="dxa"/>
              <w:right w:w="108" w:type="dxa"/>
            </w:tcMar>
            <w:hideMark/>
          </w:tcPr>
          <w:p w14:paraId="572E9716" w14:textId="43A27F75" w:rsidR="00BE24C3" w:rsidRPr="00F401CD" w:rsidRDefault="007577F1" w:rsidP="0079197D">
            <w:pPr>
              <w:widowControl w:val="0"/>
              <w:spacing w:before="120"/>
              <w:rPr>
                <w:bCs/>
              </w:rPr>
            </w:pPr>
            <w:r>
              <w:rPr>
                <w:bCs/>
              </w:rPr>
              <w:t>Caroline</w:t>
            </w:r>
          </w:p>
        </w:tc>
        <w:tc>
          <w:tcPr>
            <w:tcW w:w="3240" w:type="dxa"/>
            <w:tcMar>
              <w:top w:w="0" w:type="dxa"/>
              <w:left w:w="108" w:type="dxa"/>
              <w:bottom w:w="0" w:type="dxa"/>
              <w:right w:w="108" w:type="dxa"/>
            </w:tcMar>
            <w:hideMark/>
          </w:tcPr>
          <w:p w14:paraId="3166FE36" w14:textId="77777777" w:rsidR="00BE24C3" w:rsidRPr="00F401CD" w:rsidRDefault="00BE24C3" w:rsidP="0079197D">
            <w:pPr>
              <w:widowControl w:val="0"/>
              <w:spacing w:before="120"/>
              <w:rPr>
                <w:bCs/>
              </w:rPr>
            </w:pPr>
            <w:r w:rsidRPr="00F401CD">
              <w:rPr>
                <w:bCs/>
              </w:rPr>
              <w:t>Trum</w:t>
            </w:r>
          </w:p>
        </w:tc>
        <w:tc>
          <w:tcPr>
            <w:tcW w:w="3870" w:type="dxa"/>
            <w:tcMar>
              <w:top w:w="0" w:type="dxa"/>
              <w:left w:w="108" w:type="dxa"/>
              <w:bottom w:w="0" w:type="dxa"/>
              <w:right w:w="108" w:type="dxa"/>
            </w:tcMar>
            <w:hideMark/>
          </w:tcPr>
          <w:p w14:paraId="57332193" w14:textId="0D4561F1" w:rsidR="00BE24C3" w:rsidRPr="00F401CD" w:rsidRDefault="00BE24C3" w:rsidP="00A55C8D">
            <w:pPr>
              <w:keepNext/>
              <w:keepLines/>
              <w:widowControl w:val="0"/>
              <w:spacing w:before="120"/>
              <w:rPr>
                <w:bCs/>
              </w:rPr>
            </w:pPr>
            <w:r w:rsidRPr="00F401CD">
              <w:rPr>
                <w:bCs/>
              </w:rPr>
              <w:t>N</w:t>
            </w:r>
            <w:r w:rsidR="007577F1">
              <w:rPr>
                <w:bCs/>
              </w:rPr>
              <w:t>orth American Energy Standards Board</w:t>
            </w:r>
          </w:p>
        </w:tc>
      </w:tr>
      <w:tr w:rsidR="007577F1" w:rsidRPr="00286562" w14:paraId="44265368" w14:textId="77777777" w:rsidTr="001262CB">
        <w:tc>
          <w:tcPr>
            <w:tcW w:w="1998" w:type="dxa"/>
            <w:tcMar>
              <w:top w:w="0" w:type="dxa"/>
              <w:left w:w="108" w:type="dxa"/>
              <w:bottom w:w="0" w:type="dxa"/>
              <w:right w:w="108" w:type="dxa"/>
            </w:tcMar>
          </w:tcPr>
          <w:p w14:paraId="2544E291" w14:textId="72806B55" w:rsidR="007577F1" w:rsidRPr="00F401CD" w:rsidRDefault="007577F1" w:rsidP="0079197D">
            <w:pPr>
              <w:widowControl w:val="0"/>
              <w:spacing w:before="120"/>
              <w:rPr>
                <w:bCs/>
              </w:rPr>
            </w:pPr>
            <w:r>
              <w:rPr>
                <w:bCs/>
              </w:rPr>
              <w:t xml:space="preserve">Sam </w:t>
            </w:r>
          </w:p>
        </w:tc>
        <w:tc>
          <w:tcPr>
            <w:tcW w:w="3240" w:type="dxa"/>
            <w:tcMar>
              <w:top w:w="0" w:type="dxa"/>
              <w:left w:w="108" w:type="dxa"/>
              <w:bottom w:w="0" w:type="dxa"/>
              <w:right w:w="108" w:type="dxa"/>
            </w:tcMar>
          </w:tcPr>
          <w:p w14:paraId="5EB4927D" w14:textId="648527EF" w:rsidR="007577F1" w:rsidRPr="00F401CD" w:rsidRDefault="007577F1" w:rsidP="0079197D">
            <w:pPr>
              <w:widowControl w:val="0"/>
              <w:spacing w:before="120"/>
              <w:rPr>
                <w:bCs/>
              </w:rPr>
            </w:pPr>
            <w:r>
              <w:rPr>
                <w:bCs/>
              </w:rPr>
              <w:t>Watson</w:t>
            </w:r>
          </w:p>
        </w:tc>
        <w:tc>
          <w:tcPr>
            <w:tcW w:w="3870" w:type="dxa"/>
            <w:tcMar>
              <w:top w:w="0" w:type="dxa"/>
              <w:left w:w="108" w:type="dxa"/>
              <w:bottom w:w="0" w:type="dxa"/>
              <w:right w:w="108" w:type="dxa"/>
            </w:tcMar>
          </w:tcPr>
          <w:p w14:paraId="5064BFFE" w14:textId="09B45B1B" w:rsidR="007577F1" w:rsidRPr="00F401CD" w:rsidRDefault="007577F1" w:rsidP="00A55C8D">
            <w:pPr>
              <w:keepNext/>
              <w:keepLines/>
              <w:widowControl w:val="0"/>
              <w:spacing w:before="120"/>
              <w:rPr>
                <w:bCs/>
              </w:rPr>
            </w:pPr>
            <w:r>
              <w:rPr>
                <w:bCs/>
              </w:rPr>
              <w:t>North Carolina Utilities Commission</w:t>
            </w:r>
          </w:p>
        </w:tc>
      </w:tr>
      <w:tr w:rsidR="00F401CD" w:rsidRPr="00286562" w14:paraId="2273A6AA" w14:textId="77777777" w:rsidTr="001262CB">
        <w:tc>
          <w:tcPr>
            <w:tcW w:w="1998" w:type="dxa"/>
            <w:tcMar>
              <w:top w:w="0" w:type="dxa"/>
              <w:left w:w="108" w:type="dxa"/>
              <w:bottom w:w="0" w:type="dxa"/>
              <w:right w:w="108" w:type="dxa"/>
            </w:tcMar>
          </w:tcPr>
          <w:p w14:paraId="1A877716" w14:textId="0419F2B3" w:rsidR="00F401CD" w:rsidRPr="00F401CD" w:rsidRDefault="00F401CD" w:rsidP="0079197D">
            <w:pPr>
              <w:widowControl w:val="0"/>
              <w:spacing w:before="120"/>
              <w:rPr>
                <w:bCs/>
              </w:rPr>
            </w:pPr>
            <w:r>
              <w:rPr>
                <w:bCs/>
              </w:rPr>
              <w:t>Jason</w:t>
            </w:r>
          </w:p>
        </w:tc>
        <w:tc>
          <w:tcPr>
            <w:tcW w:w="3240" w:type="dxa"/>
            <w:tcMar>
              <w:top w:w="0" w:type="dxa"/>
              <w:left w:w="108" w:type="dxa"/>
              <w:bottom w:w="0" w:type="dxa"/>
              <w:right w:w="108" w:type="dxa"/>
            </w:tcMar>
          </w:tcPr>
          <w:p w14:paraId="59F0445B" w14:textId="572F0972" w:rsidR="00F401CD" w:rsidRPr="00F401CD" w:rsidRDefault="00F401CD" w:rsidP="0079197D">
            <w:pPr>
              <w:widowControl w:val="0"/>
              <w:spacing w:before="120"/>
              <w:rPr>
                <w:bCs/>
              </w:rPr>
            </w:pPr>
            <w:r>
              <w:rPr>
                <w:bCs/>
              </w:rPr>
              <w:t>Williams</w:t>
            </w:r>
          </w:p>
        </w:tc>
        <w:tc>
          <w:tcPr>
            <w:tcW w:w="3870" w:type="dxa"/>
            <w:tcMar>
              <w:top w:w="0" w:type="dxa"/>
              <w:left w:w="108" w:type="dxa"/>
              <w:bottom w:w="0" w:type="dxa"/>
              <w:right w:w="108" w:type="dxa"/>
            </w:tcMar>
          </w:tcPr>
          <w:p w14:paraId="717B4E31" w14:textId="4DB53E38" w:rsidR="00F401CD" w:rsidRPr="00F401CD" w:rsidRDefault="00F401CD" w:rsidP="00A55C8D">
            <w:pPr>
              <w:keepNext/>
              <w:keepLines/>
              <w:widowControl w:val="0"/>
              <w:spacing w:before="120"/>
              <w:rPr>
                <w:bCs/>
              </w:rPr>
            </w:pPr>
            <w:r>
              <w:rPr>
                <w:bCs/>
              </w:rPr>
              <w:t>Southern Company</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0"/>
      <w:footerReference w:type="default" r:id="rId11"/>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0020" w14:textId="77777777" w:rsidR="00461FA3" w:rsidRDefault="00461FA3">
      <w:r>
        <w:separator/>
      </w:r>
    </w:p>
  </w:endnote>
  <w:endnote w:type="continuationSeparator" w:id="0">
    <w:p w14:paraId="6A58FD76" w14:textId="77777777" w:rsidR="00461FA3" w:rsidRDefault="0046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379370AB"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sidR="00620BAC">
      <w:rPr>
        <w:sz w:val="18"/>
        <w:szCs w:val="18"/>
      </w:rPr>
      <w:t>Final</w:t>
    </w:r>
    <w:r>
      <w:rPr>
        <w:sz w:val="18"/>
        <w:szCs w:val="18"/>
      </w:rPr>
      <w:t xml:space="preserve"> Meeting Minutes </w:t>
    </w:r>
    <w:r w:rsidRPr="00176FB9">
      <w:rPr>
        <w:sz w:val="18"/>
        <w:szCs w:val="18"/>
      </w:rPr>
      <w:t>–</w:t>
    </w:r>
    <w:r w:rsidR="0038023A">
      <w:rPr>
        <w:sz w:val="18"/>
        <w:szCs w:val="18"/>
      </w:rPr>
      <w:t xml:space="preserve"> </w:t>
    </w:r>
    <w:r w:rsidR="00941592">
      <w:rPr>
        <w:sz w:val="18"/>
        <w:szCs w:val="18"/>
      </w:rPr>
      <w:t>October 5,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7C83" w14:textId="77777777" w:rsidR="00461FA3" w:rsidRDefault="00461FA3">
      <w:r>
        <w:separator/>
      </w:r>
    </w:p>
  </w:footnote>
  <w:footnote w:type="continuationSeparator" w:id="0">
    <w:p w14:paraId="2E755CFB" w14:textId="77777777" w:rsidR="00461FA3" w:rsidRDefault="0046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1FA3"/>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BAC"/>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2AB"/>
    <w:rsid w:val="00744671"/>
    <w:rsid w:val="007447ED"/>
    <w:rsid w:val="00744A0E"/>
    <w:rsid w:val="0074610C"/>
    <w:rsid w:val="00746173"/>
    <w:rsid w:val="007461BB"/>
    <w:rsid w:val="00746BA4"/>
    <w:rsid w:val="0074739F"/>
    <w:rsid w:val="00747677"/>
    <w:rsid w:val="00747A68"/>
    <w:rsid w:val="00747F33"/>
    <w:rsid w:val="0075130B"/>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BA"/>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2DB"/>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B3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_weq_css100523w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weq_rmq_bps_weq_css100523w2.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10257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3</cp:revision>
  <cp:lastPrinted>2012-04-04T10:38:00Z</cp:lastPrinted>
  <dcterms:created xsi:type="dcterms:W3CDTF">2023-10-23T20:24:00Z</dcterms:created>
  <dcterms:modified xsi:type="dcterms:W3CDTF">2023-10-23T20:24:00Z</dcterms:modified>
</cp:coreProperties>
</file>