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1062A5">
      <w:pPr>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183F7AF9" w:rsidR="00C44C62" w:rsidRPr="000E5855" w:rsidRDefault="00C44C62" w:rsidP="001062A5">
      <w:pPr>
        <w:ind w:left="1440" w:hanging="1440"/>
      </w:pPr>
      <w:r w:rsidRPr="000E5855">
        <w:rPr>
          <w:b/>
          <w:bCs/>
        </w:rPr>
        <w:t xml:space="preserve">FROM: </w:t>
      </w:r>
      <w:r w:rsidRPr="000E5855">
        <w:rPr>
          <w:b/>
          <w:bCs/>
        </w:rPr>
        <w:tab/>
      </w:r>
      <w:r w:rsidR="002E4F17">
        <w:t>Caroline Trum</w:t>
      </w:r>
      <w:r w:rsidR="00230ECA">
        <w:t xml:space="preserve">, </w:t>
      </w:r>
      <w:r w:rsidR="00ED3FB5">
        <w:t>Director</w:t>
      </w:r>
      <w:r w:rsidR="00424D68">
        <w:t xml:space="preserve"> of Wholesale Electric Activities</w:t>
      </w:r>
    </w:p>
    <w:p w14:paraId="2BD3EE26" w14:textId="6D5D149A" w:rsidR="00C44C62" w:rsidRPr="000E5855" w:rsidRDefault="00C44C62" w:rsidP="001062A5">
      <w:pPr>
        <w:ind w:left="1440" w:hanging="1440"/>
      </w:pPr>
      <w:r w:rsidRPr="000E5855">
        <w:rPr>
          <w:b/>
          <w:bCs/>
        </w:rPr>
        <w:t>RE:</w:t>
      </w:r>
      <w:r w:rsidRPr="000E5855">
        <w:rPr>
          <w:b/>
          <w:bCs/>
        </w:rPr>
        <w:tab/>
      </w:r>
      <w:r w:rsidR="002E4F17">
        <w:t xml:space="preserve">Joint </w:t>
      </w:r>
      <w:r w:rsidR="00230ECA">
        <w:t>WEQ B</w:t>
      </w:r>
      <w:r w:rsidR="00815AEA">
        <w:t xml:space="preserve">usiness </w:t>
      </w:r>
      <w:r w:rsidR="00230ECA">
        <w:t>P</w:t>
      </w:r>
      <w:r w:rsidR="00815AEA">
        <w:t xml:space="preserve">ractices </w:t>
      </w:r>
      <w:r w:rsidR="00230ECA">
        <w:t>S</w:t>
      </w:r>
      <w:r w:rsidR="00815AEA">
        <w:t>ubcommittee (BPS), RMQ BPS, and WEQ Cybersecurity Subcommittee</w:t>
      </w:r>
      <w:r w:rsidR="002E4F17">
        <w:t xml:space="preserve"> </w:t>
      </w:r>
      <w:r w:rsidR="00A856C9">
        <w:t>Meeti</w:t>
      </w:r>
      <w:r w:rsidR="00230ECA">
        <w:t>ng</w:t>
      </w:r>
      <w:r w:rsidR="00424D68">
        <w:t xml:space="preserve"> – Draft Minutes – </w:t>
      </w:r>
      <w:r w:rsidR="001B4755">
        <w:t>November 20</w:t>
      </w:r>
      <w:r w:rsidR="00424D68">
        <w:t>, 2024</w:t>
      </w:r>
    </w:p>
    <w:p w14:paraId="7C63E7B7" w14:textId="546C542A" w:rsidR="00C44C62" w:rsidRPr="000E5855" w:rsidRDefault="00C44C62" w:rsidP="001062A5">
      <w:pPr>
        <w:pBdr>
          <w:bottom w:val="single" w:sz="12" w:space="1" w:color="auto"/>
        </w:pBdr>
      </w:pPr>
      <w:r w:rsidRPr="000E5855">
        <w:rPr>
          <w:b/>
          <w:bCs/>
        </w:rPr>
        <w:t>DATE:</w:t>
      </w:r>
      <w:r w:rsidRPr="000E5855">
        <w:tab/>
      </w:r>
      <w:r w:rsidRPr="000E5855">
        <w:tab/>
      </w:r>
      <w:r w:rsidR="00424D68">
        <w:t xml:space="preserve">November </w:t>
      </w:r>
      <w:r w:rsidR="001B4755">
        <w:t>22</w:t>
      </w:r>
      <w:r w:rsidR="00424D68">
        <w:t>, 2024</w:t>
      </w:r>
    </w:p>
    <w:p w14:paraId="1FBD555D" w14:textId="77777777" w:rsidR="00C44C62" w:rsidRDefault="00C44C62" w:rsidP="00EA2474">
      <w:pPr>
        <w:widowControl w:val="0"/>
        <w:jc w:val="center"/>
        <w:rPr>
          <w:b/>
          <w:bCs/>
        </w:rPr>
      </w:pPr>
      <w:r>
        <w:rPr>
          <w:b/>
          <w:bCs/>
        </w:rPr>
        <w:t>WHOLESALE ELECTRIC QUADRANT</w:t>
      </w:r>
    </w:p>
    <w:p w14:paraId="08DBD211" w14:textId="13987B47" w:rsidR="003141FA" w:rsidRDefault="003141FA" w:rsidP="003141FA">
      <w:pPr>
        <w:widowControl w:val="0"/>
        <w:jc w:val="center"/>
        <w:rPr>
          <w:b/>
          <w:bCs/>
        </w:rPr>
      </w:pPr>
      <w:r>
        <w:rPr>
          <w:b/>
          <w:bCs/>
        </w:rPr>
        <w:t>RETAIL MARKETS QUADRANT</w:t>
      </w:r>
    </w:p>
    <w:p w14:paraId="3D808A41" w14:textId="52CDD410" w:rsidR="00C44C62" w:rsidRPr="000E5855" w:rsidRDefault="00C44C62" w:rsidP="00EA2474">
      <w:pPr>
        <w:widowControl w:val="0"/>
        <w:jc w:val="center"/>
        <w:rPr>
          <w:b/>
          <w:bCs/>
        </w:rPr>
      </w:pPr>
      <w:r>
        <w:rPr>
          <w:b/>
          <w:bCs/>
        </w:rPr>
        <w:t>Business Practices Subcommittee</w:t>
      </w:r>
      <w:r w:rsidR="003141FA">
        <w:rPr>
          <w:b/>
          <w:bCs/>
        </w:rPr>
        <w:t>s and Cybersecurity Subcommittee</w:t>
      </w:r>
      <w:r>
        <w:rPr>
          <w:b/>
          <w:bCs/>
        </w:rPr>
        <w:t xml:space="preserve"> </w:t>
      </w:r>
    </w:p>
    <w:p w14:paraId="0744C5AB" w14:textId="77777777" w:rsidR="00C44C62" w:rsidRPr="00A51F65" w:rsidRDefault="006403FE" w:rsidP="00EA2474">
      <w:pPr>
        <w:widowControl w:val="0"/>
        <w:jc w:val="center"/>
        <w:outlineLvl w:val="2"/>
        <w:rPr>
          <w:b/>
          <w:bCs/>
        </w:rPr>
      </w:pPr>
      <w:r>
        <w:rPr>
          <w:b/>
          <w:bCs/>
        </w:rPr>
        <w:t>Conference Call</w:t>
      </w:r>
    </w:p>
    <w:p w14:paraId="20163922" w14:textId="30FE29CB" w:rsidR="00C44C62" w:rsidRDefault="001B4755" w:rsidP="0063021A">
      <w:pPr>
        <w:widowControl w:val="0"/>
        <w:jc w:val="center"/>
        <w:outlineLvl w:val="2"/>
        <w:rPr>
          <w:b/>
          <w:bCs/>
        </w:rPr>
      </w:pPr>
      <w:r>
        <w:rPr>
          <w:b/>
          <w:bCs/>
        </w:rPr>
        <w:t>November 20</w:t>
      </w:r>
      <w:r w:rsidR="00424D68">
        <w:rPr>
          <w:b/>
          <w:bCs/>
        </w:rPr>
        <w:t>, 2024</w:t>
      </w:r>
      <w:r w:rsidR="00B70957">
        <w:rPr>
          <w:b/>
          <w:bCs/>
        </w:rPr>
        <w:t xml:space="preserve"> – </w:t>
      </w:r>
      <w:r>
        <w:rPr>
          <w:b/>
          <w:bCs/>
        </w:rPr>
        <w:t>1</w:t>
      </w:r>
      <w:r w:rsidR="002E4F17">
        <w:rPr>
          <w:b/>
          <w:bCs/>
        </w:rPr>
        <w:t>:</w:t>
      </w:r>
      <w:r w:rsidR="00424D68">
        <w:rPr>
          <w:b/>
          <w:bCs/>
        </w:rPr>
        <w:t>0</w:t>
      </w:r>
      <w:r w:rsidR="002E4F17">
        <w:rPr>
          <w:b/>
          <w:bCs/>
        </w:rPr>
        <w:t>0</w:t>
      </w:r>
      <w:r w:rsidR="00F250F8">
        <w:rPr>
          <w:b/>
          <w:bCs/>
        </w:rPr>
        <w:t xml:space="preserve"> </w:t>
      </w:r>
      <w:r>
        <w:rPr>
          <w:b/>
          <w:bCs/>
        </w:rPr>
        <w:t>P</w:t>
      </w:r>
      <w:r w:rsidR="00F250F8">
        <w:rPr>
          <w:b/>
          <w:bCs/>
        </w:rPr>
        <w:t>M</w:t>
      </w:r>
      <w:r w:rsidR="00B70957">
        <w:rPr>
          <w:b/>
          <w:bCs/>
        </w:rPr>
        <w:t xml:space="preserve"> to </w:t>
      </w:r>
      <w:r>
        <w:rPr>
          <w:b/>
          <w:bCs/>
        </w:rPr>
        <w:t>3</w:t>
      </w:r>
      <w:r w:rsidR="00424D68">
        <w:rPr>
          <w:b/>
          <w:bCs/>
        </w:rPr>
        <w:t>:00</w:t>
      </w:r>
      <w:r w:rsidR="00F250F8">
        <w:rPr>
          <w:b/>
          <w:bCs/>
        </w:rPr>
        <w:t xml:space="preserve"> </w:t>
      </w:r>
      <w:r>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79197D">
      <w:pPr>
        <w:widowControl w:val="0"/>
        <w:spacing w:before="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79197D">
      <w:pPr>
        <w:numPr>
          <w:ilvl w:val="0"/>
          <w:numId w:val="11"/>
        </w:numPr>
        <w:tabs>
          <w:tab w:val="left" w:pos="1440"/>
        </w:tabs>
        <w:spacing w:before="120"/>
        <w:ind w:left="0" w:firstLine="0"/>
        <w:jc w:val="both"/>
        <w:rPr>
          <w:b/>
          <w:bCs/>
        </w:rPr>
      </w:pPr>
      <w:r w:rsidRPr="00EF45DE">
        <w:rPr>
          <w:b/>
          <w:bCs/>
        </w:rPr>
        <w:t>Welcome</w:t>
      </w:r>
    </w:p>
    <w:p w14:paraId="315A07D3" w14:textId="45F7626E" w:rsidR="001D1C24" w:rsidRDefault="00790D69" w:rsidP="0079197D">
      <w:pPr>
        <w:spacing w:before="120"/>
        <w:jc w:val="both"/>
      </w:pPr>
      <w:r>
        <w:t xml:space="preserve">Mr. </w:t>
      </w:r>
      <w:r w:rsidR="00424D68">
        <w:t>Brooks</w:t>
      </w:r>
      <w:r w:rsidR="007577F1">
        <w:t xml:space="preserve"> </w:t>
      </w:r>
      <w:r w:rsidR="00C44C62" w:rsidRPr="005443F7">
        <w:t xml:space="preserve">welcomed </w:t>
      </w:r>
      <w:r w:rsidR="00DA493E">
        <w:t xml:space="preserve">the </w:t>
      </w:r>
      <w:r w:rsidR="00C44C62" w:rsidRPr="005443F7">
        <w:t xml:space="preserve">participants to the meeting. </w:t>
      </w:r>
      <w:r w:rsidR="002D6B08">
        <w:t>Ms.</w:t>
      </w:r>
      <w:r w:rsidR="007577F1">
        <w:t xml:space="preserve"> </w:t>
      </w:r>
      <w:r w:rsidR="001D1C24">
        <w:t>Trum</w:t>
      </w:r>
      <w:r w:rsidR="007577F1">
        <w:t xml:space="preserve"> </w:t>
      </w:r>
      <w:r w:rsidR="002D2E6E">
        <w:t>provided the antitrust and meeting policies reminder</w:t>
      </w:r>
      <w:r w:rsidR="00C44C62" w:rsidRPr="005443F7">
        <w:t>.</w:t>
      </w:r>
      <w:r w:rsidR="00AB6EB6">
        <w:t xml:space="preserve">  </w:t>
      </w:r>
      <w:r w:rsidR="00F04232">
        <w:t>The participants introduced themselves</w:t>
      </w:r>
      <w:r w:rsidR="007C241C">
        <w:t xml:space="preserve">.  </w:t>
      </w:r>
      <w:r w:rsidR="007577F1">
        <w:t xml:space="preserve">Mr. </w:t>
      </w:r>
      <w:r w:rsidR="00424D68">
        <w:t>Brooks</w:t>
      </w:r>
      <w:r>
        <w:t xml:space="preserve"> </w:t>
      </w:r>
      <w:r w:rsidR="00515FAB">
        <w:t>reviewed the agenda</w:t>
      </w:r>
      <w:r w:rsidR="00340AF3">
        <w:t xml:space="preserve">.  </w:t>
      </w:r>
      <w:r w:rsidR="007577F1">
        <w:t xml:space="preserve">Mr. </w:t>
      </w:r>
      <w:r w:rsidR="00424D68">
        <w:t>Galloway</w:t>
      </w:r>
      <w:r w:rsidR="007577F1">
        <w:t xml:space="preserve"> moved</w:t>
      </w:r>
      <w:r w:rsidR="004D3338">
        <w:t>, seconded by Mr. Watson,</w:t>
      </w:r>
      <w:r w:rsidR="007577F1">
        <w:t xml:space="preserve"> to adopt the agenda as final.</w:t>
      </w:r>
      <w:r w:rsidR="001D1C24">
        <w:t xml:space="preserve">  The motion passed a simple majority vote without opposition.</w:t>
      </w:r>
    </w:p>
    <w:p w14:paraId="72C2DE41" w14:textId="775CC7AE" w:rsidR="001D1C24" w:rsidRPr="001D1C24" w:rsidRDefault="001D1C24" w:rsidP="001D1C24">
      <w:pPr>
        <w:spacing w:before="120"/>
        <w:jc w:val="both"/>
      </w:pPr>
      <w:r>
        <w:t xml:space="preserve">The participants reviewed the draft minutes from the </w:t>
      </w:r>
      <w:r w:rsidR="00F61C77">
        <w:t>October 30, 2024</w:t>
      </w:r>
      <w:r>
        <w:t xml:space="preserve"> meeting.  </w:t>
      </w:r>
      <w:r w:rsidR="002E4F17">
        <w:t>Mr. Galloway</w:t>
      </w:r>
      <w:r w:rsidR="00424D68">
        <w:t xml:space="preserve"> moved</w:t>
      </w:r>
      <w:r w:rsidR="004D3338">
        <w:t>, seconded by Mr. Watson,</w:t>
      </w:r>
      <w:r>
        <w:t xml:space="preserve"> to adopt the</w:t>
      </w:r>
      <w:r w:rsidR="002E4F17">
        <w:t xml:space="preserve"> </w:t>
      </w:r>
      <w:r w:rsidR="00424D68">
        <w:t>draft</w:t>
      </w:r>
      <w:r>
        <w:t xml:space="preserve"> minutes as final.  The motion passed a simple majority vote without opposition.  The final minutes for the </w:t>
      </w:r>
      <w:r w:rsidR="00F61C77">
        <w:t>October 30, 2024</w:t>
      </w:r>
      <w:r w:rsidR="00424D68">
        <w:t xml:space="preserve"> </w:t>
      </w:r>
      <w:r>
        <w:t xml:space="preserve">meeting can be viewed at the following </w:t>
      </w:r>
      <w:r w:rsidR="00424D68">
        <w:t>hyper</w:t>
      </w:r>
      <w:r>
        <w:t>link:</w:t>
      </w:r>
      <w:r w:rsidR="00545E19">
        <w:t xml:space="preserve"> </w:t>
      </w:r>
      <w:hyperlink r:id="rId8" w:history="1">
        <w:r w:rsidR="00F61C77" w:rsidRPr="002C4844">
          <w:rPr>
            <w:rStyle w:val="Hyperlink"/>
          </w:rPr>
          <w:t>https://naesb.org/pdf4/weq_bps_css_rmq_bps103024fm.docx</w:t>
        </w:r>
      </w:hyperlink>
      <w:r w:rsidR="00F61C77">
        <w:t xml:space="preserve"> </w:t>
      </w:r>
    </w:p>
    <w:p w14:paraId="0F2FDD99" w14:textId="2D8A38D0" w:rsidR="006C6388" w:rsidRPr="00C856DF" w:rsidRDefault="00F61C77" w:rsidP="0079197D">
      <w:pPr>
        <w:numPr>
          <w:ilvl w:val="0"/>
          <w:numId w:val="11"/>
        </w:numPr>
        <w:tabs>
          <w:tab w:val="num" w:pos="1620"/>
          <w:tab w:val="num" w:pos="2160"/>
        </w:tabs>
        <w:spacing w:before="120"/>
        <w:jc w:val="both"/>
        <w:rPr>
          <w:b/>
        </w:rPr>
      </w:pPr>
      <w:r>
        <w:rPr>
          <w:b/>
        </w:rPr>
        <w:t xml:space="preserve">Continue to </w:t>
      </w:r>
      <w:r w:rsidR="00C856DF">
        <w:rPr>
          <w:b/>
        </w:rPr>
        <w:t>D</w:t>
      </w:r>
      <w:r w:rsidR="00C856DF" w:rsidRPr="00C856DF">
        <w:rPr>
          <w:b/>
        </w:rPr>
        <w:t xml:space="preserve">iscuss </w:t>
      </w:r>
      <w:bookmarkStart w:id="0" w:name="_Hlk145073326"/>
      <w:r w:rsidR="00C856DF" w:rsidRPr="00C856DF">
        <w:rPr>
          <w:b/>
        </w:rPr>
        <w:t>202</w:t>
      </w:r>
      <w:r w:rsidR="00424D68">
        <w:rPr>
          <w:b/>
        </w:rPr>
        <w:t>4</w:t>
      </w:r>
      <w:r w:rsidR="00C856DF" w:rsidRPr="00C856DF">
        <w:rPr>
          <w:b/>
        </w:rPr>
        <w:t xml:space="preserve"> WEQ Annual Plan Item </w:t>
      </w:r>
      <w:r w:rsidR="00424D68">
        <w:rPr>
          <w:b/>
        </w:rPr>
        <w:t>3.c and</w:t>
      </w:r>
      <w:r w:rsidR="00C856DF" w:rsidRPr="00C856DF">
        <w:rPr>
          <w:b/>
        </w:rPr>
        <w:t xml:space="preserve"> 202</w:t>
      </w:r>
      <w:r w:rsidR="00424D68">
        <w:rPr>
          <w:b/>
        </w:rPr>
        <w:t>4</w:t>
      </w:r>
      <w:r w:rsidR="00C856DF" w:rsidRPr="00C856DF">
        <w:rPr>
          <w:b/>
        </w:rPr>
        <w:t xml:space="preserve"> RMQ Annual Plan Item </w:t>
      </w:r>
      <w:r w:rsidR="00424D68">
        <w:rPr>
          <w:b/>
        </w:rPr>
        <w:t>2</w:t>
      </w:r>
      <w:r w:rsidR="00C856DF" w:rsidRPr="00C856DF">
        <w:rPr>
          <w:b/>
        </w:rPr>
        <w:t>.a – Review cybersecurity</w:t>
      </w:r>
      <w:r w:rsidR="00307A76">
        <w:rPr>
          <w:b/>
        </w:rPr>
        <w:t xml:space="preserve"> </w:t>
      </w:r>
      <w:r w:rsidR="00C856DF" w:rsidRPr="00C856DF">
        <w:rPr>
          <w:b/>
        </w:rPr>
        <w:t>protections, such as Public Key Infrastructure (PKI), that may be necessary to secure electronic communications for distributed energy resources (DERs), and develop business practices as needed</w:t>
      </w:r>
      <w:bookmarkEnd w:id="0"/>
    </w:p>
    <w:p w14:paraId="17F38CC5" w14:textId="1013A55D" w:rsidR="00291AC0" w:rsidRDefault="001D1C24" w:rsidP="00F61C77">
      <w:pPr>
        <w:tabs>
          <w:tab w:val="num" w:pos="1620"/>
        </w:tabs>
        <w:spacing w:before="120"/>
        <w:jc w:val="both"/>
        <w:rPr>
          <w:bCs/>
        </w:rPr>
      </w:pPr>
      <w:r>
        <w:rPr>
          <w:bCs/>
        </w:rPr>
        <w:t xml:space="preserve">Mr. </w:t>
      </w:r>
      <w:r w:rsidR="00D354BC">
        <w:rPr>
          <w:bCs/>
        </w:rPr>
        <w:t xml:space="preserve">Brooks </w:t>
      </w:r>
      <w:r w:rsidR="00BD70F9">
        <w:rPr>
          <w:bCs/>
        </w:rPr>
        <w:t>stated</w:t>
      </w:r>
      <w:r w:rsidR="00D354BC">
        <w:rPr>
          <w:bCs/>
        </w:rPr>
        <w:t xml:space="preserve"> </w:t>
      </w:r>
      <w:r w:rsidR="004D3338">
        <w:rPr>
          <w:bCs/>
        </w:rPr>
        <w:t>that during the previous meeting, th</w:t>
      </w:r>
      <w:r w:rsidR="00620708">
        <w:rPr>
          <w:bCs/>
        </w:rPr>
        <w:t>ere was consensus among participants to focus on a use case for the commercial communications between a DER aggregator and distribution utility necessary to conduct transactions for distribution grid services and identify applicable cybersecurity protections to consider for standards development.  He explained tha</w:t>
      </w:r>
      <w:r w:rsidR="00B635D2">
        <w:rPr>
          <w:bCs/>
        </w:rPr>
        <w:t xml:space="preserve">t, if the subcommittees determine to move forward, the goal would be to develop standards that identify communication protocols </w:t>
      </w:r>
      <w:r w:rsidR="00194B1F">
        <w:rPr>
          <w:bCs/>
        </w:rPr>
        <w:t>for the data exchanges and the cybersecurity requirements to protect those exchanges.</w:t>
      </w:r>
      <w:r w:rsidR="00A61471">
        <w:rPr>
          <w:bCs/>
        </w:rPr>
        <w:t xml:space="preserve">  Ms. Fernandes stated that focusing on the communication exchanges between a DER aggregator and distribution utility would help in determining if there are any areas of overlap with communications between a DER aggregator and ISO/RTO that could be coordinated to support consistent.</w:t>
      </w:r>
    </w:p>
    <w:p w14:paraId="2F01726E" w14:textId="0BB8A944" w:rsidR="008A1E8B" w:rsidRDefault="00153102" w:rsidP="00F61C77">
      <w:pPr>
        <w:tabs>
          <w:tab w:val="num" w:pos="1620"/>
        </w:tabs>
        <w:spacing w:before="120"/>
        <w:jc w:val="both"/>
        <w:rPr>
          <w:bCs/>
        </w:rPr>
      </w:pPr>
      <w:r>
        <w:rPr>
          <w:bCs/>
        </w:rPr>
        <w:t xml:space="preserve">Mr. Brooks reviewed the </w:t>
      </w:r>
      <w:hyperlink r:id="rId9" w:history="1">
        <w:r w:rsidRPr="00153102">
          <w:rPr>
            <w:rStyle w:val="Hyperlink"/>
            <w:bCs/>
          </w:rPr>
          <w:t>Communication Exchange Use Case Considerations</w:t>
        </w:r>
      </w:hyperlink>
      <w:r>
        <w:rPr>
          <w:bCs/>
        </w:rPr>
        <w:t xml:space="preserve"> with participants.  He stated that the work paper identifies four data exchange areas between the parties: billing and payment information, system and outage information, DER aggregation information, and DER aggregation availability.  Mr. Galloway stated that billing and payment related exchanges will include sensitive information, such as entity identifiers and account numbers.  He explained that parties will want to ensure these exchanges are confidential in order to prevent </w:t>
      </w:r>
      <w:r w:rsidR="008A1E8B">
        <w:rPr>
          <w:bCs/>
        </w:rPr>
        <w:t>fraud or spoofing of transactions.  Mr. Brooks suggested that parties will need to protect again</w:t>
      </w:r>
      <w:r w:rsidR="0074407B">
        <w:rPr>
          <w:bCs/>
        </w:rPr>
        <w:t>st</w:t>
      </w:r>
      <w:r w:rsidR="008A1E8B">
        <w:rPr>
          <w:bCs/>
        </w:rPr>
        <w:t xml:space="preserve"> disruptive activities that may be caried out by bad actors, such as denial of service attacks.  </w:t>
      </w:r>
    </w:p>
    <w:p w14:paraId="6A18C179" w14:textId="05BD854C" w:rsidR="0069660C" w:rsidRDefault="008A1E8B" w:rsidP="00F61C77">
      <w:pPr>
        <w:tabs>
          <w:tab w:val="num" w:pos="1620"/>
        </w:tabs>
        <w:spacing w:before="120"/>
        <w:jc w:val="both"/>
        <w:rPr>
          <w:bCs/>
        </w:rPr>
      </w:pPr>
      <w:r>
        <w:rPr>
          <w:bCs/>
        </w:rPr>
        <w:t>Mr. Galloway noted that the</w:t>
      </w:r>
      <w:r w:rsidR="0069660C">
        <w:rPr>
          <w:bCs/>
        </w:rPr>
        <w:t xml:space="preserve"> priority for outage related communications will likely be ensuring the accuracy of the message’s content and the timing of the message’s delivery and receipt.  Mr. </w:t>
      </w:r>
      <w:r w:rsidR="0069660C">
        <w:rPr>
          <w:bCs/>
        </w:rPr>
        <w:t>Dotson-Westphalen</w:t>
      </w:r>
      <w:r w:rsidR="0069660C">
        <w:rPr>
          <w:bCs/>
        </w:rPr>
        <w:t xml:space="preserve"> agreed, </w:t>
      </w:r>
      <w:r w:rsidR="00AB574F">
        <w:rPr>
          <w:bCs/>
        </w:rPr>
        <w:t xml:space="preserve">stating confidence in the integrity and timeliness of such communications is important.  Mr. Brooks stated </w:t>
      </w:r>
      <w:r w:rsidR="0074407B">
        <w:rPr>
          <w:bCs/>
        </w:rPr>
        <w:t>protecting against disruptive activities also will be relevant.</w:t>
      </w:r>
    </w:p>
    <w:p w14:paraId="647278F1" w14:textId="38AD7B6F" w:rsidR="0074407B" w:rsidRDefault="0074407B" w:rsidP="00F61C77">
      <w:pPr>
        <w:tabs>
          <w:tab w:val="num" w:pos="1620"/>
        </w:tabs>
        <w:spacing w:before="120"/>
        <w:jc w:val="both"/>
        <w:rPr>
          <w:bCs/>
        </w:rPr>
      </w:pPr>
      <w:r>
        <w:rPr>
          <w:bCs/>
        </w:rPr>
        <w:t xml:space="preserve">Mr. Dotson-Westphalen stated that real-time communications from DER aggregator regarding the </w:t>
      </w:r>
      <w:r w:rsidR="0077795C">
        <w:rPr>
          <w:bCs/>
        </w:rPr>
        <w:t xml:space="preserve">composition and </w:t>
      </w:r>
      <w:r>
        <w:rPr>
          <w:bCs/>
        </w:rPr>
        <w:t xml:space="preserve">capabilities of </w:t>
      </w:r>
      <w:r w:rsidR="0077795C">
        <w:rPr>
          <w:bCs/>
        </w:rPr>
        <w:t>an</w:t>
      </w:r>
      <w:r>
        <w:rPr>
          <w:bCs/>
        </w:rPr>
        <w:t xml:space="preserve"> aggregation will have different cybersecurity considerations than </w:t>
      </w:r>
      <w:r w:rsidR="0077795C">
        <w:rPr>
          <w:bCs/>
        </w:rPr>
        <w:t xml:space="preserve">these types of </w:t>
      </w:r>
      <w:r>
        <w:rPr>
          <w:bCs/>
        </w:rPr>
        <w:lastRenderedPageBreak/>
        <w:t xml:space="preserve">communication exchanges </w:t>
      </w:r>
      <w:r w:rsidR="0077795C">
        <w:rPr>
          <w:bCs/>
        </w:rPr>
        <w:t>that take</w:t>
      </w:r>
      <w:r>
        <w:rPr>
          <w:bCs/>
        </w:rPr>
        <w:t xml:space="preserve"> place during the registration process with a distribution utility.</w:t>
      </w:r>
      <w:r w:rsidR="0077795C">
        <w:rPr>
          <w:bCs/>
        </w:rPr>
        <w:t xml:space="preserve">  He explained that priorities for real-time communications will include confidentiality, timeliness, and integrity of the message as well as protections against disruptive activities.  Mr. Galloway noted that </w:t>
      </w:r>
      <w:r w:rsidR="00A10B2F">
        <w:rPr>
          <w:bCs/>
        </w:rPr>
        <w:t>ensuring the integrity of a message will require the authentication and authorization of the sender and receiver.</w:t>
      </w:r>
    </w:p>
    <w:p w14:paraId="2CF0EA8C" w14:textId="52F35299" w:rsidR="00A10B2F" w:rsidRDefault="00A10B2F" w:rsidP="00F61C77">
      <w:pPr>
        <w:tabs>
          <w:tab w:val="num" w:pos="1620"/>
        </w:tabs>
        <w:spacing w:before="120"/>
        <w:jc w:val="both"/>
      </w:pPr>
      <w:r>
        <w:rPr>
          <w:bCs/>
        </w:rPr>
        <w:t xml:space="preserve">Mr. Brooks stated that a number of utilities across various states use NAESB Business Practice Standards to conduct electronic commercial transactions, include those that define electronic data interchange (EDI) protocols.  He asked if participants </w:t>
      </w:r>
      <w:r w:rsidR="00794E1E">
        <w:rPr>
          <w:bCs/>
        </w:rPr>
        <w:t xml:space="preserve">knew of other communication protocols currently in use by market participants.  Mr. Dotson-Westphalen stated that a number of utilities provide third-party access to meter information through Green Button programs.  Mr. Brooks noted that the NAESB REQ.21 Energy Service Provider Interface (ESPI) Model Business Practices </w:t>
      </w:r>
      <w:r w:rsidR="00794E1E">
        <w:t>define the communication protocol and technical framework that enables th</w:t>
      </w:r>
      <w:r w:rsidR="00794E1E">
        <w:t>is</w:t>
      </w:r>
      <w:r w:rsidR="00794E1E">
        <w:t xml:space="preserve"> data exchange and facilitates the customer authorization process</w:t>
      </w:r>
      <w:r w:rsidR="00794E1E">
        <w:t xml:space="preserve">.  Mr. Dotson-Westphalen explained that there are a variety of </w:t>
      </w:r>
      <w:r w:rsidR="00F92FF7">
        <w:t xml:space="preserve">communication protocols used to exchange other data, including EDI, file transfer protocol (FTP) and secure FTP, software-defined wide area network (SD-WAN), and upload to a utility hosted web portal.  Mr. Galloway noted that web portal postings are facilitated by </w:t>
      </w:r>
      <w:r w:rsidR="00314C81">
        <w:t xml:space="preserve">Hypertext Transfer Protocol Secure (HTTPS).  Mr. Brooks </w:t>
      </w:r>
      <w:r w:rsidR="00FC471E">
        <w:t xml:space="preserve">suggested that, </w:t>
      </w:r>
      <w:r w:rsidR="00FC471E">
        <w:t>given the wide range of communication protocols in use, standards to establish consistency could improve efficiencies for those participating in multiple retail markets</w:t>
      </w:r>
      <w:r w:rsidR="00FC471E">
        <w:t xml:space="preserve">.  Mr. Gallloway </w:t>
      </w:r>
      <w:r w:rsidR="00FC471E">
        <w:t>stated that a consistent approach could also support a more uniform implementation of protocols.</w:t>
      </w:r>
      <w:r w:rsidR="00FC471E">
        <w:t xml:space="preserve">  Mr. Brooks noted that </w:t>
      </w:r>
      <w:r w:rsidR="00314C81">
        <w:t xml:space="preserve">existing NAESB Business Practice Standards address a number of the </w:t>
      </w:r>
      <w:r w:rsidR="00FC471E">
        <w:t xml:space="preserve">discussed </w:t>
      </w:r>
      <w:r w:rsidR="00314C81">
        <w:t>communication protocols.</w:t>
      </w:r>
    </w:p>
    <w:p w14:paraId="2DA1ADE7" w14:textId="31AB34B1" w:rsidR="00CA0D5A" w:rsidRDefault="00314C81" w:rsidP="00F61C77">
      <w:pPr>
        <w:tabs>
          <w:tab w:val="num" w:pos="1620"/>
        </w:tabs>
        <w:spacing w:before="120"/>
        <w:jc w:val="both"/>
      </w:pPr>
      <w:r>
        <w:t xml:space="preserve">Mr. Galloway stated that </w:t>
      </w:r>
      <w:r w:rsidR="00FC471E">
        <w:t>determinations as to</w:t>
      </w:r>
      <w:r>
        <w:t xml:space="preserve"> the appropriate cybersecurity protocols will be dependent on the associated business process requirements, providing as an example the </w:t>
      </w:r>
      <w:r w:rsidR="00FC471E">
        <w:t xml:space="preserve">required level of </w:t>
      </w:r>
      <w:r>
        <w:t>encryption.  He explained th</w:t>
      </w:r>
      <w:r w:rsidR="0009015D">
        <w:t>at decisions regarding encryption strength will require an assessment of the risk associated with a bad actor intercepting, storing, and accessing the data.</w:t>
      </w:r>
      <w:r w:rsidR="00CA0D5A">
        <w:t xml:space="preserve">  Mr. Brooks noted that this may be an area where more information is needed.  Mr. Dotson-Westphalen stated he would need to review the work paper internally within his company before providing further comment on this topic.</w:t>
      </w:r>
    </w:p>
    <w:p w14:paraId="2235CFAA" w14:textId="0D2233C1" w:rsidR="008A1E8B" w:rsidRDefault="00A8677E" w:rsidP="00F61C77">
      <w:pPr>
        <w:tabs>
          <w:tab w:val="num" w:pos="1620"/>
        </w:tabs>
        <w:spacing w:before="120"/>
        <w:jc w:val="both"/>
      </w:pPr>
      <w:r>
        <w:t xml:space="preserve">The Communication Exchange Use Case Considerations work paper as revised during the meeting is available at the following link: </w:t>
      </w:r>
      <w:hyperlink r:id="rId10" w:history="1">
        <w:r w:rsidRPr="006A732E">
          <w:rPr>
            <w:rStyle w:val="Hyperlink"/>
          </w:rPr>
          <w:t>https://naesb.org/pdf4/weq_bps_css_rmq_bps112024a1.docx</w:t>
        </w:r>
      </w:hyperlink>
      <w:r>
        <w:t>.</w:t>
      </w:r>
    </w:p>
    <w:p w14:paraId="14F079B1" w14:textId="11F534F3" w:rsidR="00A8677E" w:rsidRDefault="00A8677E" w:rsidP="00F61C77">
      <w:pPr>
        <w:tabs>
          <w:tab w:val="num" w:pos="1620"/>
        </w:tabs>
        <w:spacing w:before="120"/>
        <w:jc w:val="both"/>
        <w:rPr>
          <w:bCs/>
        </w:rPr>
      </w:pPr>
      <w:r>
        <w:t xml:space="preserve">Mr. Brooks stated that the during the previous meeting, participants reviewed the NARUC-U.S. Department of Energy White Paper Cybersecurity Baselines for Electric Distribution Systems and DERs.  He noted that a draft of the related </w:t>
      </w:r>
      <w:hyperlink r:id="rId11" w:history="1">
        <w:r w:rsidRPr="00A8677E">
          <w:rPr>
            <w:rStyle w:val="Hyperlink"/>
          </w:rPr>
          <w:t>informative reference guide</w:t>
        </w:r>
      </w:hyperlink>
      <w:r>
        <w:t xml:space="preserve"> was posted as a work paper and suggested that this may be helpful a helpful resource to identify existing frameworks and guidance to support standards development.</w:t>
      </w:r>
    </w:p>
    <w:p w14:paraId="53CA196C" w14:textId="615F6B5A" w:rsidR="00996F77" w:rsidRDefault="00424D68" w:rsidP="0079197D">
      <w:pPr>
        <w:widowControl w:val="0"/>
        <w:numPr>
          <w:ilvl w:val="0"/>
          <w:numId w:val="11"/>
        </w:numPr>
        <w:tabs>
          <w:tab w:val="left" w:pos="1440"/>
        </w:tabs>
        <w:spacing w:before="120"/>
        <w:ind w:left="0" w:firstLine="0"/>
        <w:jc w:val="both"/>
        <w:rPr>
          <w:b/>
          <w:bCs/>
        </w:rPr>
      </w:pPr>
      <w:r>
        <w:rPr>
          <w:b/>
          <w:bCs/>
        </w:rPr>
        <w:t>Identify Next Steps and Action Items</w:t>
      </w:r>
    </w:p>
    <w:p w14:paraId="371E8DE9" w14:textId="7E9C574B" w:rsidR="00A8677E" w:rsidRDefault="00545E19" w:rsidP="0079197D">
      <w:pPr>
        <w:spacing w:before="120"/>
        <w:jc w:val="both"/>
      </w:pPr>
      <w:r>
        <w:t xml:space="preserve">Mr. </w:t>
      </w:r>
      <w:r w:rsidR="003C1644">
        <w:t xml:space="preserve">Brooks </w:t>
      </w:r>
      <w:r w:rsidR="00A8677E">
        <w:t xml:space="preserve">stated </w:t>
      </w:r>
      <w:r w:rsidR="005E203B">
        <w:t>additional feedback regarding the associated business processes and requirements is needed and asked participants to internally discuss the revised work paper and provide comments for the next meeting.  He noted that input from those who use NAESB Business Practice Standards to facilitate retail-level communication exchanges or are distribution utilities or DER aggregators will be especially helpful.</w:t>
      </w:r>
    </w:p>
    <w:p w14:paraId="16FF7D4D" w14:textId="63F037E3" w:rsidR="00424D68" w:rsidRDefault="00424D68" w:rsidP="0079197D">
      <w:pPr>
        <w:widowControl w:val="0"/>
        <w:numPr>
          <w:ilvl w:val="0"/>
          <w:numId w:val="11"/>
        </w:numPr>
        <w:tabs>
          <w:tab w:val="left" w:pos="1440"/>
        </w:tabs>
        <w:spacing w:before="120"/>
        <w:ind w:left="0" w:firstLine="0"/>
        <w:jc w:val="both"/>
        <w:rPr>
          <w:b/>
          <w:bCs/>
        </w:rPr>
      </w:pPr>
      <w:r>
        <w:rPr>
          <w:b/>
          <w:bCs/>
        </w:rPr>
        <w:t>Discuss Future Meetings</w:t>
      </w:r>
    </w:p>
    <w:p w14:paraId="4020D667" w14:textId="13770FD1" w:rsidR="00351247" w:rsidRPr="00351247" w:rsidRDefault="005E203B" w:rsidP="00351247">
      <w:pPr>
        <w:widowControl w:val="0"/>
        <w:tabs>
          <w:tab w:val="left" w:pos="1440"/>
        </w:tabs>
        <w:spacing w:before="120"/>
        <w:jc w:val="both"/>
      </w:pPr>
      <w:r>
        <w:t>Mr. Brooks asked if holding the next meeting in December would allow sufficient time to review the work paper.  The consensus of participants was that additional time would likely be needed.  Mr. Brooks suggested that the next joint meeting be held in January 2025.  Ms. Trum stated that she will work with the joint co-chairs to schedule the meeting.</w:t>
      </w:r>
    </w:p>
    <w:p w14:paraId="3691BDEB" w14:textId="35D712F8" w:rsidR="00171CE0" w:rsidRDefault="00C44C62" w:rsidP="0079197D">
      <w:pPr>
        <w:widowControl w:val="0"/>
        <w:numPr>
          <w:ilvl w:val="0"/>
          <w:numId w:val="11"/>
        </w:numPr>
        <w:tabs>
          <w:tab w:val="left" w:pos="1440"/>
        </w:tabs>
        <w:spacing w:before="120"/>
        <w:ind w:left="0" w:firstLine="0"/>
        <w:jc w:val="both"/>
        <w:rPr>
          <w:b/>
          <w:bCs/>
        </w:rPr>
      </w:pPr>
      <w:r w:rsidRPr="00A651AC">
        <w:rPr>
          <w:b/>
          <w:bCs/>
        </w:rPr>
        <w:t>Adjourn</w:t>
      </w:r>
    </w:p>
    <w:p w14:paraId="3FE6566B" w14:textId="5DB2A3AE" w:rsidR="0079197D" w:rsidRDefault="000D609A" w:rsidP="00445021">
      <w:pPr>
        <w:widowControl w:val="0"/>
        <w:tabs>
          <w:tab w:val="left" w:pos="1440"/>
        </w:tabs>
        <w:spacing w:before="120"/>
        <w:jc w:val="both"/>
        <w:rPr>
          <w:bCs/>
        </w:rPr>
      </w:pPr>
      <w:r>
        <w:rPr>
          <w:bCs/>
        </w:rPr>
        <w:t>The meet</w:t>
      </w:r>
      <w:r w:rsidR="00D876BE">
        <w:rPr>
          <w:bCs/>
        </w:rPr>
        <w:t xml:space="preserve">ing adjourned </w:t>
      </w:r>
      <w:r w:rsidR="001D36F7">
        <w:rPr>
          <w:bCs/>
        </w:rPr>
        <w:t>at</w:t>
      </w:r>
      <w:r w:rsidR="00922889">
        <w:rPr>
          <w:bCs/>
        </w:rPr>
        <w:t xml:space="preserve"> </w:t>
      </w:r>
      <w:r w:rsidR="0055463D">
        <w:rPr>
          <w:bCs/>
        </w:rPr>
        <w:t>2:25 PM</w:t>
      </w:r>
      <w:r w:rsidR="00E23CDD">
        <w:rPr>
          <w:bCs/>
        </w:rPr>
        <w:t xml:space="preserve"> Central</w:t>
      </w:r>
      <w:r w:rsidR="0055463D">
        <w:rPr>
          <w:bCs/>
        </w:rPr>
        <w:t xml:space="preserve"> on a motion by Mr. Galloway.</w:t>
      </w:r>
    </w:p>
    <w:p w14:paraId="115DE2EC" w14:textId="77777777" w:rsidR="00492BAD" w:rsidRPr="00700781" w:rsidRDefault="00C44C62" w:rsidP="00BB2A31">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2142"/>
        <w:gridCol w:w="4968"/>
      </w:tblGrid>
      <w:tr w:rsidR="00BE24C3" w14:paraId="7D6D9583" w14:textId="77777777" w:rsidTr="0053677D">
        <w:trPr>
          <w:tblHeader/>
        </w:trPr>
        <w:tc>
          <w:tcPr>
            <w:tcW w:w="1998" w:type="dxa"/>
            <w:tcMar>
              <w:top w:w="0" w:type="dxa"/>
              <w:left w:w="108" w:type="dxa"/>
              <w:bottom w:w="0" w:type="dxa"/>
              <w:right w:w="108" w:type="dxa"/>
            </w:tcMar>
            <w:hideMark/>
          </w:tcPr>
          <w:p w14:paraId="59D737B9" w14:textId="77777777" w:rsidR="00BE24C3" w:rsidRPr="003A33E1" w:rsidRDefault="00BE24C3" w:rsidP="00BB2A31">
            <w:pPr>
              <w:keepNext/>
              <w:keepLines/>
              <w:widowControl w:val="0"/>
              <w:spacing w:before="120"/>
              <w:rPr>
                <w:rFonts w:ascii="Calibri" w:eastAsiaTheme="minorHAnsi" w:hAnsi="Calibri" w:cs="Calibri"/>
                <w:sz w:val="22"/>
                <w:szCs w:val="22"/>
              </w:rPr>
            </w:pPr>
            <w:bookmarkStart w:id="1" w:name="_Hlk67646175"/>
            <w:r w:rsidRPr="003A33E1">
              <w:rPr>
                <w:b/>
                <w:bCs/>
              </w:rPr>
              <w:t>First Name</w:t>
            </w:r>
          </w:p>
        </w:tc>
        <w:tc>
          <w:tcPr>
            <w:tcW w:w="2142" w:type="dxa"/>
            <w:tcMar>
              <w:top w:w="0" w:type="dxa"/>
              <w:left w:w="108" w:type="dxa"/>
              <w:bottom w:w="0" w:type="dxa"/>
              <w:right w:w="108" w:type="dxa"/>
            </w:tcMar>
            <w:hideMark/>
          </w:tcPr>
          <w:p w14:paraId="308192B1" w14:textId="77777777" w:rsidR="00BE24C3" w:rsidRPr="003A33E1" w:rsidRDefault="00BE24C3" w:rsidP="00BB2A31">
            <w:pPr>
              <w:keepNext/>
              <w:keepLines/>
              <w:widowControl w:val="0"/>
              <w:spacing w:before="120"/>
              <w:rPr>
                <w:rFonts w:ascii="Calibri" w:eastAsiaTheme="minorHAnsi" w:hAnsi="Calibri" w:cs="Calibri"/>
                <w:b/>
                <w:bCs/>
                <w:sz w:val="22"/>
                <w:szCs w:val="22"/>
              </w:rPr>
            </w:pPr>
            <w:r w:rsidRPr="003A33E1">
              <w:rPr>
                <w:b/>
                <w:bCs/>
              </w:rPr>
              <w:t>Last Name</w:t>
            </w:r>
          </w:p>
        </w:tc>
        <w:tc>
          <w:tcPr>
            <w:tcW w:w="4968" w:type="dxa"/>
            <w:tcMar>
              <w:top w:w="0" w:type="dxa"/>
              <w:left w:w="108" w:type="dxa"/>
              <w:bottom w:w="0" w:type="dxa"/>
              <w:right w:w="108" w:type="dxa"/>
            </w:tcMar>
            <w:hideMark/>
          </w:tcPr>
          <w:p w14:paraId="75E56C03" w14:textId="77777777" w:rsidR="00BE24C3" w:rsidRPr="003A33E1" w:rsidRDefault="00BE24C3" w:rsidP="00BB2A31">
            <w:pPr>
              <w:keepNext/>
              <w:keepLines/>
              <w:widowControl w:val="0"/>
              <w:spacing w:before="120"/>
              <w:rPr>
                <w:rFonts w:ascii="Calibri" w:eastAsiaTheme="minorHAnsi" w:hAnsi="Calibri" w:cs="Calibri"/>
                <w:sz w:val="22"/>
                <w:szCs w:val="22"/>
              </w:rPr>
            </w:pPr>
            <w:r w:rsidRPr="003A33E1">
              <w:rPr>
                <w:b/>
                <w:bCs/>
              </w:rPr>
              <w:t>Organization</w:t>
            </w:r>
          </w:p>
        </w:tc>
      </w:tr>
      <w:tr w:rsidR="001263A3" w:rsidRPr="00922889" w14:paraId="5CA323AD" w14:textId="77777777" w:rsidTr="0053677D">
        <w:tc>
          <w:tcPr>
            <w:tcW w:w="1998" w:type="dxa"/>
            <w:tcMar>
              <w:top w:w="0" w:type="dxa"/>
              <w:left w:w="108" w:type="dxa"/>
              <w:bottom w:w="0" w:type="dxa"/>
              <w:right w:w="108" w:type="dxa"/>
            </w:tcMar>
          </w:tcPr>
          <w:p w14:paraId="036AFFAA" w14:textId="3F7367BF" w:rsidR="001263A3" w:rsidRPr="00A61471" w:rsidRDefault="001263A3" w:rsidP="00BB2A31">
            <w:pPr>
              <w:keepNext/>
              <w:keepLines/>
              <w:widowControl w:val="0"/>
              <w:spacing w:before="120"/>
              <w:rPr>
                <w:bCs/>
              </w:rPr>
            </w:pPr>
            <w:r w:rsidRPr="00A61471">
              <w:rPr>
                <w:bCs/>
              </w:rPr>
              <w:t>Tanner</w:t>
            </w:r>
          </w:p>
        </w:tc>
        <w:tc>
          <w:tcPr>
            <w:tcW w:w="2142" w:type="dxa"/>
            <w:tcMar>
              <w:top w:w="0" w:type="dxa"/>
              <w:left w:w="108" w:type="dxa"/>
              <w:bottom w:w="0" w:type="dxa"/>
              <w:right w:w="108" w:type="dxa"/>
            </w:tcMar>
          </w:tcPr>
          <w:p w14:paraId="3ADEBEA0" w14:textId="0D5E89F1" w:rsidR="001263A3" w:rsidRPr="00A61471" w:rsidRDefault="001263A3" w:rsidP="00BB2A31">
            <w:pPr>
              <w:keepNext/>
              <w:keepLines/>
              <w:widowControl w:val="0"/>
              <w:spacing w:before="120"/>
              <w:rPr>
                <w:bCs/>
              </w:rPr>
            </w:pPr>
            <w:r w:rsidRPr="00A61471">
              <w:rPr>
                <w:bCs/>
              </w:rPr>
              <w:t>Brier</w:t>
            </w:r>
          </w:p>
        </w:tc>
        <w:tc>
          <w:tcPr>
            <w:tcW w:w="4968" w:type="dxa"/>
            <w:tcMar>
              <w:top w:w="0" w:type="dxa"/>
              <w:left w:w="108" w:type="dxa"/>
              <w:bottom w:w="0" w:type="dxa"/>
              <w:right w:w="108" w:type="dxa"/>
            </w:tcMar>
          </w:tcPr>
          <w:p w14:paraId="0E43DDDD" w14:textId="6B6D3695" w:rsidR="001263A3" w:rsidRPr="00A61471" w:rsidRDefault="001263A3" w:rsidP="00BB2A31">
            <w:pPr>
              <w:keepNext/>
              <w:keepLines/>
              <w:widowControl w:val="0"/>
              <w:spacing w:before="120"/>
              <w:rPr>
                <w:bCs/>
              </w:rPr>
            </w:pPr>
            <w:r w:rsidRPr="00A61471">
              <w:rPr>
                <w:bCs/>
              </w:rPr>
              <w:t>BPA</w:t>
            </w:r>
          </w:p>
        </w:tc>
      </w:tr>
      <w:tr w:rsidR="00F401CD" w:rsidRPr="00922889" w14:paraId="69E38AD8" w14:textId="77777777" w:rsidTr="0053677D">
        <w:tc>
          <w:tcPr>
            <w:tcW w:w="1998" w:type="dxa"/>
            <w:tcMar>
              <w:top w:w="0" w:type="dxa"/>
              <w:left w:w="108" w:type="dxa"/>
              <w:bottom w:w="0" w:type="dxa"/>
              <w:right w:w="108" w:type="dxa"/>
            </w:tcMar>
          </w:tcPr>
          <w:p w14:paraId="08E7FFAD" w14:textId="2F292B00" w:rsidR="00F401CD" w:rsidRPr="0053677D" w:rsidRDefault="00F401CD" w:rsidP="00BB2A31">
            <w:pPr>
              <w:keepNext/>
              <w:keepLines/>
              <w:widowControl w:val="0"/>
              <w:spacing w:before="120"/>
              <w:rPr>
                <w:bCs/>
              </w:rPr>
            </w:pPr>
            <w:r w:rsidRPr="0053677D">
              <w:rPr>
                <w:bCs/>
              </w:rPr>
              <w:t>Dick</w:t>
            </w:r>
          </w:p>
        </w:tc>
        <w:tc>
          <w:tcPr>
            <w:tcW w:w="2142" w:type="dxa"/>
            <w:tcMar>
              <w:top w:w="0" w:type="dxa"/>
              <w:left w:w="108" w:type="dxa"/>
              <w:bottom w:w="0" w:type="dxa"/>
              <w:right w:w="108" w:type="dxa"/>
            </w:tcMar>
          </w:tcPr>
          <w:p w14:paraId="47483670" w14:textId="5EEB78F0" w:rsidR="00F401CD" w:rsidRPr="0053677D" w:rsidRDefault="00F401CD" w:rsidP="00BB2A31">
            <w:pPr>
              <w:keepNext/>
              <w:keepLines/>
              <w:widowControl w:val="0"/>
              <w:spacing w:before="120"/>
              <w:rPr>
                <w:bCs/>
              </w:rPr>
            </w:pPr>
            <w:r w:rsidRPr="0053677D">
              <w:rPr>
                <w:bCs/>
              </w:rPr>
              <w:t>Brooks</w:t>
            </w:r>
          </w:p>
        </w:tc>
        <w:tc>
          <w:tcPr>
            <w:tcW w:w="4968" w:type="dxa"/>
            <w:tcMar>
              <w:top w:w="0" w:type="dxa"/>
              <w:left w:w="108" w:type="dxa"/>
              <w:bottom w:w="0" w:type="dxa"/>
              <w:right w:w="108" w:type="dxa"/>
            </w:tcMar>
          </w:tcPr>
          <w:p w14:paraId="385D2F12" w14:textId="2F10F25C" w:rsidR="00F401CD" w:rsidRPr="0053677D" w:rsidRDefault="00BB2A31" w:rsidP="00BB2A31">
            <w:pPr>
              <w:keepNext/>
              <w:keepLines/>
              <w:widowControl w:val="0"/>
              <w:spacing w:before="120"/>
              <w:rPr>
                <w:bCs/>
              </w:rPr>
            </w:pPr>
            <w:r w:rsidRPr="0053677D">
              <w:rPr>
                <w:bCs/>
              </w:rPr>
              <w:t>Business Cyber Guardian</w:t>
            </w:r>
          </w:p>
        </w:tc>
      </w:tr>
      <w:tr w:rsidR="00A61471" w:rsidRPr="00922889" w14:paraId="3FAA1773" w14:textId="77777777" w:rsidTr="0053677D">
        <w:tc>
          <w:tcPr>
            <w:tcW w:w="1998" w:type="dxa"/>
            <w:tcMar>
              <w:top w:w="0" w:type="dxa"/>
              <w:left w:w="108" w:type="dxa"/>
              <w:bottom w:w="0" w:type="dxa"/>
              <w:right w:w="108" w:type="dxa"/>
            </w:tcMar>
          </w:tcPr>
          <w:p w14:paraId="1A715B9E" w14:textId="253AE88D" w:rsidR="00A61471" w:rsidRDefault="00A61471" w:rsidP="00BB2A31">
            <w:pPr>
              <w:keepNext/>
              <w:keepLines/>
              <w:widowControl w:val="0"/>
              <w:spacing w:before="120"/>
              <w:rPr>
                <w:bCs/>
              </w:rPr>
            </w:pPr>
            <w:r>
              <w:rPr>
                <w:bCs/>
              </w:rPr>
              <w:t>Michelle</w:t>
            </w:r>
          </w:p>
        </w:tc>
        <w:tc>
          <w:tcPr>
            <w:tcW w:w="2142" w:type="dxa"/>
            <w:tcMar>
              <w:top w:w="0" w:type="dxa"/>
              <w:left w:w="108" w:type="dxa"/>
              <w:bottom w:w="0" w:type="dxa"/>
              <w:right w:w="108" w:type="dxa"/>
            </w:tcMar>
          </w:tcPr>
          <w:p w14:paraId="09D488C1" w14:textId="00F0E63D" w:rsidR="00A61471" w:rsidRDefault="00A61471" w:rsidP="00BB2A31">
            <w:pPr>
              <w:keepNext/>
              <w:keepLines/>
              <w:widowControl w:val="0"/>
              <w:spacing w:before="120"/>
              <w:rPr>
                <w:bCs/>
              </w:rPr>
            </w:pPr>
            <w:r>
              <w:rPr>
                <w:bCs/>
              </w:rPr>
              <w:t>Coon</w:t>
            </w:r>
          </w:p>
        </w:tc>
        <w:tc>
          <w:tcPr>
            <w:tcW w:w="4968" w:type="dxa"/>
            <w:tcMar>
              <w:top w:w="0" w:type="dxa"/>
              <w:left w:w="108" w:type="dxa"/>
              <w:bottom w:w="0" w:type="dxa"/>
              <w:right w:w="108" w:type="dxa"/>
            </w:tcMar>
          </w:tcPr>
          <w:p w14:paraId="398F0B1D" w14:textId="74A9CFE4" w:rsidR="00A61471" w:rsidRDefault="00A61471" w:rsidP="00BB2A31">
            <w:pPr>
              <w:keepNext/>
              <w:keepLines/>
              <w:widowControl w:val="0"/>
              <w:spacing w:before="120"/>
              <w:rPr>
                <w:bCs/>
              </w:rPr>
            </w:pPr>
            <w:r>
              <w:rPr>
                <w:bCs/>
              </w:rPr>
              <w:t>OATI</w:t>
            </w:r>
          </w:p>
        </w:tc>
      </w:tr>
      <w:tr w:rsidR="00A61471" w:rsidRPr="00922889" w14:paraId="289B3EA7" w14:textId="77777777" w:rsidTr="0053677D">
        <w:tc>
          <w:tcPr>
            <w:tcW w:w="1998" w:type="dxa"/>
            <w:tcMar>
              <w:top w:w="0" w:type="dxa"/>
              <w:left w:w="108" w:type="dxa"/>
              <w:bottom w:w="0" w:type="dxa"/>
              <w:right w:w="108" w:type="dxa"/>
            </w:tcMar>
          </w:tcPr>
          <w:p w14:paraId="05AA0045" w14:textId="5193CDF6" w:rsidR="00A61471" w:rsidRPr="0053677D" w:rsidRDefault="00A61471" w:rsidP="00BB2A31">
            <w:pPr>
              <w:keepNext/>
              <w:keepLines/>
              <w:widowControl w:val="0"/>
              <w:spacing w:before="120"/>
              <w:rPr>
                <w:bCs/>
              </w:rPr>
            </w:pPr>
            <w:r>
              <w:rPr>
                <w:bCs/>
              </w:rPr>
              <w:t>Peter</w:t>
            </w:r>
          </w:p>
        </w:tc>
        <w:tc>
          <w:tcPr>
            <w:tcW w:w="2142" w:type="dxa"/>
            <w:tcMar>
              <w:top w:w="0" w:type="dxa"/>
              <w:left w:w="108" w:type="dxa"/>
              <w:bottom w:w="0" w:type="dxa"/>
              <w:right w:w="108" w:type="dxa"/>
            </w:tcMar>
          </w:tcPr>
          <w:p w14:paraId="65D9096B" w14:textId="15B9771D" w:rsidR="00A61471" w:rsidRPr="0053677D" w:rsidRDefault="00A61471" w:rsidP="00BB2A31">
            <w:pPr>
              <w:keepNext/>
              <w:keepLines/>
              <w:widowControl w:val="0"/>
              <w:spacing w:before="120"/>
              <w:rPr>
                <w:bCs/>
              </w:rPr>
            </w:pPr>
            <w:r>
              <w:rPr>
                <w:bCs/>
              </w:rPr>
              <w:t>Dotson-Westphalen</w:t>
            </w:r>
          </w:p>
        </w:tc>
        <w:tc>
          <w:tcPr>
            <w:tcW w:w="4968" w:type="dxa"/>
            <w:tcMar>
              <w:top w:w="0" w:type="dxa"/>
              <w:left w:w="108" w:type="dxa"/>
              <w:bottom w:w="0" w:type="dxa"/>
              <w:right w:w="108" w:type="dxa"/>
            </w:tcMar>
          </w:tcPr>
          <w:p w14:paraId="524B2A1B" w14:textId="3357A56E" w:rsidR="00A61471" w:rsidRPr="0053677D" w:rsidRDefault="00A61471" w:rsidP="00BB2A31">
            <w:pPr>
              <w:keepNext/>
              <w:keepLines/>
              <w:widowControl w:val="0"/>
              <w:spacing w:before="120"/>
              <w:rPr>
                <w:bCs/>
              </w:rPr>
            </w:pPr>
            <w:r>
              <w:rPr>
                <w:bCs/>
              </w:rPr>
              <w:t>CPower Energy</w:t>
            </w:r>
          </w:p>
        </w:tc>
      </w:tr>
      <w:tr w:rsidR="001263A3" w:rsidRPr="00922889" w14:paraId="1ABD95E2" w14:textId="77777777" w:rsidTr="0053677D">
        <w:tc>
          <w:tcPr>
            <w:tcW w:w="1998" w:type="dxa"/>
            <w:tcMar>
              <w:top w:w="0" w:type="dxa"/>
              <w:left w:w="108" w:type="dxa"/>
              <w:bottom w:w="0" w:type="dxa"/>
              <w:right w:w="108" w:type="dxa"/>
            </w:tcMar>
          </w:tcPr>
          <w:p w14:paraId="41EEFA75" w14:textId="13C8395E" w:rsidR="001263A3" w:rsidRPr="00A61471" w:rsidRDefault="001263A3" w:rsidP="00BB2A31">
            <w:pPr>
              <w:keepNext/>
              <w:keepLines/>
              <w:widowControl w:val="0"/>
              <w:spacing w:before="120"/>
              <w:rPr>
                <w:bCs/>
              </w:rPr>
            </w:pPr>
            <w:r w:rsidRPr="00A61471">
              <w:rPr>
                <w:bCs/>
              </w:rPr>
              <w:t>Zeenath</w:t>
            </w:r>
          </w:p>
        </w:tc>
        <w:tc>
          <w:tcPr>
            <w:tcW w:w="2142" w:type="dxa"/>
            <w:tcMar>
              <w:top w:w="0" w:type="dxa"/>
              <w:left w:w="108" w:type="dxa"/>
              <w:bottom w:w="0" w:type="dxa"/>
              <w:right w:w="108" w:type="dxa"/>
            </w:tcMar>
          </w:tcPr>
          <w:p w14:paraId="080B2297" w14:textId="5C405A6B" w:rsidR="001263A3" w:rsidRPr="00A61471" w:rsidRDefault="001263A3" w:rsidP="00BB2A31">
            <w:pPr>
              <w:keepNext/>
              <w:keepLines/>
              <w:widowControl w:val="0"/>
              <w:spacing w:before="120"/>
              <w:rPr>
                <w:bCs/>
              </w:rPr>
            </w:pPr>
            <w:r w:rsidRPr="00A61471">
              <w:rPr>
                <w:bCs/>
              </w:rPr>
              <w:t>Fernandes</w:t>
            </w:r>
          </w:p>
        </w:tc>
        <w:tc>
          <w:tcPr>
            <w:tcW w:w="4968" w:type="dxa"/>
            <w:tcMar>
              <w:top w:w="0" w:type="dxa"/>
              <w:left w:w="108" w:type="dxa"/>
              <w:bottom w:w="0" w:type="dxa"/>
              <w:right w:w="108" w:type="dxa"/>
            </w:tcMar>
          </w:tcPr>
          <w:p w14:paraId="2E3AA44B" w14:textId="48D783E5" w:rsidR="001263A3" w:rsidRPr="00A61471" w:rsidRDefault="001263A3" w:rsidP="00BB2A31">
            <w:pPr>
              <w:keepNext/>
              <w:keepLines/>
              <w:widowControl w:val="0"/>
              <w:spacing w:before="120"/>
              <w:rPr>
                <w:bCs/>
              </w:rPr>
            </w:pPr>
            <w:r w:rsidRPr="00A61471">
              <w:rPr>
                <w:bCs/>
              </w:rPr>
              <w:t>PJM</w:t>
            </w:r>
          </w:p>
        </w:tc>
      </w:tr>
      <w:tr w:rsidR="00545E19" w:rsidRPr="00922889" w14:paraId="3766A215" w14:textId="77777777" w:rsidTr="0053677D">
        <w:tc>
          <w:tcPr>
            <w:tcW w:w="1998" w:type="dxa"/>
            <w:tcMar>
              <w:top w:w="0" w:type="dxa"/>
              <w:left w:w="108" w:type="dxa"/>
              <w:bottom w:w="0" w:type="dxa"/>
              <w:right w:w="108" w:type="dxa"/>
            </w:tcMar>
          </w:tcPr>
          <w:p w14:paraId="53E58E1C" w14:textId="53ECC420" w:rsidR="00545E19" w:rsidRPr="00A61471" w:rsidRDefault="00545E19" w:rsidP="00BB2A31">
            <w:pPr>
              <w:keepNext/>
              <w:keepLines/>
              <w:widowControl w:val="0"/>
              <w:spacing w:before="120"/>
              <w:rPr>
                <w:bCs/>
              </w:rPr>
            </w:pPr>
            <w:r w:rsidRPr="00A61471">
              <w:rPr>
                <w:bCs/>
              </w:rPr>
              <w:t>John</w:t>
            </w:r>
          </w:p>
        </w:tc>
        <w:tc>
          <w:tcPr>
            <w:tcW w:w="2142" w:type="dxa"/>
            <w:tcMar>
              <w:top w:w="0" w:type="dxa"/>
              <w:left w:w="108" w:type="dxa"/>
              <w:bottom w:w="0" w:type="dxa"/>
              <w:right w:w="108" w:type="dxa"/>
            </w:tcMar>
          </w:tcPr>
          <w:p w14:paraId="2889AE73" w14:textId="2475EEFB" w:rsidR="00545E19" w:rsidRPr="00A61471" w:rsidRDefault="00545E19" w:rsidP="00BB2A31">
            <w:pPr>
              <w:keepNext/>
              <w:keepLines/>
              <w:widowControl w:val="0"/>
              <w:spacing w:before="120"/>
              <w:rPr>
                <w:bCs/>
              </w:rPr>
            </w:pPr>
            <w:r w:rsidRPr="00A61471">
              <w:rPr>
                <w:bCs/>
              </w:rPr>
              <w:t>Galloway</w:t>
            </w:r>
          </w:p>
        </w:tc>
        <w:tc>
          <w:tcPr>
            <w:tcW w:w="4968" w:type="dxa"/>
            <w:tcMar>
              <w:top w:w="0" w:type="dxa"/>
              <w:left w:w="108" w:type="dxa"/>
              <w:bottom w:w="0" w:type="dxa"/>
              <w:right w:w="108" w:type="dxa"/>
            </w:tcMar>
          </w:tcPr>
          <w:p w14:paraId="44F6494B" w14:textId="22BC1CBD" w:rsidR="00545E19" w:rsidRPr="00A61471" w:rsidRDefault="00545E19" w:rsidP="00BB2A31">
            <w:pPr>
              <w:keepNext/>
              <w:keepLines/>
              <w:widowControl w:val="0"/>
              <w:spacing w:before="120"/>
              <w:rPr>
                <w:bCs/>
              </w:rPr>
            </w:pPr>
            <w:r w:rsidRPr="00A61471">
              <w:rPr>
                <w:bCs/>
              </w:rPr>
              <w:t>ISO-New England</w:t>
            </w:r>
          </w:p>
        </w:tc>
      </w:tr>
      <w:tr w:rsidR="00A61471" w:rsidRPr="00922889" w14:paraId="1AE92988" w14:textId="77777777" w:rsidTr="0053677D">
        <w:tc>
          <w:tcPr>
            <w:tcW w:w="1998" w:type="dxa"/>
            <w:tcMar>
              <w:top w:w="0" w:type="dxa"/>
              <w:left w:w="108" w:type="dxa"/>
              <w:bottom w:w="0" w:type="dxa"/>
              <w:right w:w="108" w:type="dxa"/>
            </w:tcMar>
          </w:tcPr>
          <w:p w14:paraId="329E7228" w14:textId="5E1DA2D6" w:rsidR="00A61471" w:rsidRPr="00A61471" w:rsidRDefault="00A61471" w:rsidP="00BB2A31">
            <w:pPr>
              <w:keepNext/>
              <w:keepLines/>
              <w:widowControl w:val="0"/>
              <w:spacing w:before="120"/>
              <w:rPr>
                <w:bCs/>
              </w:rPr>
            </w:pPr>
            <w:r>
              <w:rPr>
                <w:bCs/>
              </w:rPr>
              <w:t>Bret</w:t>
            </w:r>
          </w:p>
        </w:tc>
        <w:tc>
          <w:tcPr>
            <w:tcW w:w="2142" w:type="dxa"/>
            <w:tcMar>
              <w:top w:w="0" w:type="dxa"/>
              <w:left w:w="108" w:type="dxa"/>
              <w:bottom w:w="0" w:type="dxa"/>
              <w:right w:w="108" w:type="dxa"/>
            </w:tcMar>
          </w:tcPr>
          <w:p w14:paraId="038E49DE" w14:textId="6F810BF6" w:rsidR="00A61471" w:rsidRPr="00A61471" w:rsidRDefault="00A61471" w:rsidP="00BB2A31">
            <w:pPr>
              <w:keepNext/>
              <w:keepLines/>
              <w:widowControl w:val="0"/>
              <w:spacing w:before="120"/>
              <w:rPr>
                <w:bCs/>
              </w:rPr>
            </w:pPr>
            <w:r>
              <w:rPr>
                <w:bCs/>
              </w:rPr>
              <w:t>Giles</w:t>
            </w:r>
          </w:p>
        </w:tc>
        <w:tc>
          <w:tcPr>
            <w:tcW w:w="4968" w:type="dxa"/>
            <w:tcMar>
              <w:top w:w="0" w:type="dxa"/>
              <w:left w:w="108" w:type="dxa"/>
              <w:bottom w:w="0" w:type="dxa"/>
              <w:right w:w="108" w:type="dxa"/>
            </w:tcMar>
          </w:tcPr>
          <w:p w14:paraId="04B47B41" w14:textId="773069C6" w:rsidR="00A61471" w:rsidRPr="00A61471" w:rsidRDefault="00A61471" w:rsidP="00BB2A31">
            <w:pPr>
              <w:keepNext/>
              <w:keepLines/>
              <w:widowControl w:val="0"/>
              <w:spacing w:before="120"/>
              <w:rPr>
                <w:bCs/>
              </w:rPr>
            </w:pPr>
            <w:r>
              <w:rPr>
                <w:bCs/>
              </w:rPr>
              <w:t>Southern Company</w:t>
            </w:r>
          </w:p>
        </w:tc>
      </w:tr>
      <w:tr w:rsidR="00A61471" w:rsidRPr="00286562" w14:paraId="5E868A14" w14:textId="77777777" w:rsidTr="0053677D">
        <w:tc>
          <w:tcPr>
            <w:tcW w:w="1998" w:type="dxa"/>
            <w:tcMar>
              <w:top w:w="0" w:type="dxa"/>
              <w:left w:w="108" w:type="dxa"/>
              <w:bottom w:w="0" w:type="dxa"/>
              <w:right w:w="108" w:type="dxa"/>
            </w:tcMar>
          </w:tcPr>
          <w:p w14:paraId="6BC5873D" w14:textId="6C81B16E" w:rsidR="00A61471" w:rsidRDefault="00A61471" w:rsidP="00BB2A31">
            <w:pPr>
              <w:keepNext/>
              <w:keepLines/>
              <w:widowControl w:val="0"/>
              <w:spacing w:before="120"/>
              <w:rPr>
                <w:bCs/>
              </w:rPr>
            </w:pPr>
            <w:r>
              <w:rPr>
                <w:bCs/>
              </w:rPr>
              <w:t>Cory</w:t>
            </w:r>
          </w:p>
        </w:tc>
        <w:tc>
          <w:tcPr>
            <w:tcW w:w="2142" w:type="dxa"/>
            <w:tcMar>
              <w:top w:w="0" w:type="dxa"/>
              <w:left w:w="108" w:type="dxa"/>
              <w:bottom w:w="0" w:type="dxa"/>
              <w:right w:w="108" w:type="dxa"/>
            </w:tcMar>
          </w:tcPr>
          <w:p w14:paraId="13E20CF9" w14:textId="4E059B16" w:rsidR="00A61471" w:rsidRDefault="00A61471" w:rsidP="00BB2A31">
            <w:pPr>
              <w:keepNext/>
              <w:keepLines/>
              <w:widowControl w:val="0"/>
              <w:spacing w:before="120"/>
              <w:rPr>
                <w:bCs/>
              </w:rPr>
            </w:pPr>
            <w:r>
              <w:rPr>
                <w:bCs/>
              </w:rPr>
              <w:t>Herbolsheimer</w:t>
            </w:r>
          </w:p>
        </w:tc>
        <w:tc>
          <w:tcPr>
            <w:tcW w:w="4968" w:type="dxa"/>
            <w:tcMar>
              <w:top w:w="0" w:type="dxa"/>
              <w:left w:w="108" w:type="dxa"/>
              <w:bottom w:w="0" w:type="dxa"/>
              <w:right w:w="108" w:type="dxa"/>
            </w:tcMar>
          </w:tcPr>
          <w:p w14:paraId="62186FD1" w14:textId="4DC3424B" w:rsidR="00A61471" w:rsidRDefault="00A61471" w:rsidP="00BB2A31">
            <w:pPr>
              <w:keepNext/>
              <w:keepLines/>
              <w:widowControl w:val="0"/>
              <w:spacing w:before="120"/>
              <w:rPr>
                <w:bCs/>
              </w:rPr>
            </w:pPr>
            <w:r>
              <w:rPr>
                <w:bCs/>
              </w:rPr>
              <w:t>NV Energy</w:t>
            </w:r>
          </w:p>
        </w:tc>
      </w:tr>
      <w:tr w:rsidR="00A61471" w:rsidRPr="00286562" w14:paraId="70CDF0DD" w14:textId="77777777" w:rsidTr="0053677D">
        <w:tc>
          <w:tcPr>
            <w:tcW w:w="1998" w:type="dxa"/>
            <w:tcMar>
              <w:top w:w="0" w:type="dxa"/>
              <w:left w:w="108" w:type="dxa"/>
              <w:bottom w:w="0" w:type="dxa"/>
              <w:right w:w="108" w:type="dxa"/>
            </w:tcMar>
          </w:tcPr>
          <w:p w14:paraId="4C1DCD54" w14:textId="24A0EF91" w:rsidR="00A61471" w:rsidRDefault="00A61471" w:rsidP="00BB2A31">
            <w:pPr>
              <w:keepNext/>
              <w:keepLines/>
              <w:widowControl w:val="0"/>
              <w:spacing w:before="120"/>
              <w:rPr>
                <w:bCs/>
              </w:rPr>
            </w:pPr>
            <w:r>
              <w:rPr>
                <w:bCs/>
              </w:rPr>
              <w:t>Raj</w:t>
            </w:r>
          </w:p>
        </w:tc>
        <w:tc>
          <w:tcPr>
            <w:tcW w:w="2142" w:type="dxa"/>
            <w:tcMar>
              <w:top w:w="0" w:type="dxa"/>
              <w:left w:w="108" w:type="dxa"/>
              <w:bottom w:w="0" w:type="dxa"/>
              <w:right w:w="108" w:type="dxa"/>
            </w:tcMar>
          </w:tcPr>
          <w:p w14:paraId="2E5ADF64" w14:textId="51A6BBEF" w:rsidR="00A61471" w:rsidRDefault="00A61471" w:rsidP="00BB2A31">
            <w:pPr>
              <w:keepNext/>
              <w:keepLines/>
              <w:widowControl w:val="0"/>
              <w:spacing w:before="120"/>
              <w:rPr>
                <w:bCs/>
              </w:rPr>
            </w:pPr>
            <w:r>
              <w:rPr>
                <w:bCs/>
              </w:rPr>
              <w:t>Hundal</w:t>
            </w:r>
          </w:p>
        </w:tc>
        <w:tc>
          <w:tcPr>
            <w:tcW w:w="4968" w:type="dxa"/>
            <w:tcMar>
              <w:top w:w="0" w:type="dxa"/>
              <w:left w:w="108" w:type="dxa"/>
              <w:bottom w:w="0" w:type="dxa"/>
              <w:right w:w="108" w:type="dxa"/>
            </w:tcMar>
          </w:tcPr>
          <w:p w14:paraId="6F38CAEE" w14:textId="77777777" w:rsidR="00A61471" w:rsidRDefault="00A61471" w:rsidP="00BB2A31">
            <w:pPr>
              <w:keepNext/>
              <w:keepLines/>
              <w:widowControl w:val="0"/>
              <w:spacing w:before="120"/>
              <w:rPr>
                <w:bCs/>
              </w:rPr>
            </w:pPr>
          </w:p>
        </w:tc>
      </w:tr>
      <w:tr w:rsidR="0053677D" w:rsidRPr="00286562" w14:paraId="1A9B398C" w14:textId="77777777" w:rsidTr="0053677D">
        <w:tc>
          <w:tcPr>
            <w:tcW w:w="1998" w:type="dxa"/>
            <w:tcMar>
              <w:top w:w="0" w:type="dxa"/>
              <w:left w:w="108" w:type="dxa"/>
              <w:bottom w:w="0" w:type="dxa"/>
              <w:right w:w="108" w:type="dxa"/>
            </w:tcMar>
          </w:tcPr>
          <w:p w14:paraId="7FFAF0BB" w14:textId="25DF0303" w:rsidR="0053677D" w:rsidRDefault="0053677D" w:rsidP="00BB2A31">
            <w:pPr>
              <w:keepNext/>
              <w:keepLines/>
              <w:widowControl w:val="0"/>
              <w:spacing w:before="120"/>
              <w:rPr>
                <w:bCs/>
              </w:rPr>
            </w:pPr>
            <w:r>
              <w:rPr>
                <w:bCs/>
              </w:rPr>
              <w:t>Darren</w:t>
            </w:r>
          </w:p>
        </w:tc>
        <w:tc>
          <w:tcPr>
            <w:tcW w:w="2142" w:type="dxa"/>
            <w:tcMar>
              <w:top w:w="0" w:type="dxa"/>
              <w:left w:w="108" w:type="dxa"/>
              <w:bottom w:w="0" w:type="dxa"/>
              <w:right w:w="108" w:type="dxa"/>
            </w:tcMar>
          </w:tcPr>
          <w:p w14:paraId="58F2439F" w14:textId="6138610E" w:rsidR="0053677D" w:rsidRDefault="0053677D" w:rsidP="00BB2A31">
            <w:pPr>
              <w:keepNext/>
              <w:keepLines/>
              <w:widowControl w:val="0"/>
              <w:spacing w:before="120"/>
              <w:rPr>
                <w:bCs/>
              </w:rPr>
            </w:pPr>
            <w:r>
              <w:rPr>
                <w:bCs/>
              </w:rPr>
              <w:t>Lamb</w:t>
            </w:r>
          </w:p>
        </w:tc>
        <w:tc>
          <w:tcPr>
            <w:tcW w:w="4968" w:type="dxa"/>
            <w:tcMar>
              <w:top w:w="0" w:type="dxa"/>
              <w:left w:w="108" w:type="dxa"/>
              <w:bottom w:w="0" w:type="dxa"/>
              <w:right w:w="108" w:type="dxa"/>
            </w:tcMar>
          </w:tcPr>
          <w:p w14:paraId="6119172E" w14:textId="7BEC2260" w:rsidR="0053677D" w:rsidRDefault="0053677D" w:rsidP="00BB2A31">
            <w:pPr>
              <w:keepNext/>
              <w:keepLines/>
              <w:widowControl w:val="0"/>
              <w:spacing w:before="120"/>
              <w:rPr>
                <w:bCs/>
              </w:rPr>
            </w:pPr>
            <w:r>
              <w:rPr>
                <w:bCs/>
              </w:rPr>
              <w:t>CAISO</w:t>
            </w:r>
          </w:p>
        </w:tc>
      </w:tr>
      <w:tr w:rsidR="00194B1F" w:rsidRPr="00286562" w14:paraId="50E041BF" w14:textId="77777777" w:rsidTr="0053677D">
        <w:tc>
          <w:tcPr>
            <w:tcW w:w="1998" w:type="dxa"/>
            <w:tcMar>
              <w:top w:w="0" w:type="dxa"/>
              <w:left w:w="108" w:type="dxa"/>
              <w:bottom w:w="0" w:type="dxa"/>
              <w:right w:w="108" w:type="dxa"/>
            </w:tcMar>
          </w:tcPr>
          <w:p w14:paraId="20CFA3DF" w14:textId="0EEFF6F5" w:rsidR="00194B1F" w:rsidRDefault="00194B1F" w:rsidP="00BB2A31">
            <w:pPr>
              <w:keepNext/>
              <w:keepLines/>
              <w:widowControl w:val="0"/>
              <w:spacing w:before="120"/>
              <w:rPr>
                <w:bCs/>
              </w:rPr>
            </w:pPr>
            <w:r>
              <w:rPr>
                <w:bCs/>
              </w:rPr>
              <w:t>Katrina</w:t>
            </w:r>
          </w:p>
        </w:tc>
        <w:tc>
          <w:tcPr>
            <w:tcW w:w="2142" w:type="dxa"/>
            <w:tcMar>
              <w:top w:w="0" w:type="dxa"/>
              <w:left w:w="108" w:type="dxa"/>
              <w:bottom w:w="0" w:type="dxa"/>
              <w:right w:w="108" w:type="dxa"/>
            </w:tcMar>
          </w:tcPr>
          <w:p w14:paraId="58CE6AEA" w14:textId="466F64E8" w:rsidR="00194B1F" w:rsidRDefault="00194B1F" w:rsidP="00BB2A31">
            <w:pPr>
              <w:keepNext/>
              <w:keepLines/>
              <w:widowControl w:val="0"/>
              <w:spacing w:before="120"/>
              <w:rPr>
                <w:bCs/>
              </w:rPr>
            </w:pPr>
            <w:r>
              <w:rPr>
                <w:bCs/>
              </w:rPr>
              <w:t>McEvoy</w:t>
            </w:r>
          </w:p>
        </w:tc>
        <w:tc>
          <w:tcPr>
            <w:tcW w:w="4968" w:type="dxa"/>
            <w:tcMar>
              <w:top w:w="0" w:type="dxa"/>
              <w:left w:w="108" w:type="dxa"/>
              <w:bottom w:w="0" w:type="dxa"/>
              <w:right w:w="108" w:type="dxa"/>
            </w:tcMar>
          </w:tcPr>
          <w:p w14:paraId="01E88919" w14:textId="6430FDF8" w:rsidR="00194B1F" w:rsidRDefault="00194B1F" w:rsidP="00BB2A31">
            <w:pPr>
              <w:keepNext/>
              <w:keepLines/>
              <w:widowControl w:val="0"/>
              <w:spacing w:before="120"/>
              <w:rPr>
                <w:bCs/>
              </w:rPr>
            </w:pPr>
            <w:r>
              <w:rPr>
                <w:bCs/>
              </w:rPr>
              <w:t>Arizona Public Service</w:t>
            </w:r>
          </w:p>
        </w:tc>
      </w:tr>
      <w:tr w:rsidR="0053677D" w:rsidRPr="00286562" w14:paraId="09878E9D" w14:textId="77777777" w:rsidTr="0053677D">
        <w:tc>
          <w:tcPr>
            <w:tcW w:w="1998" w:type="dxa"/>
            <w:tcMar>
              <w:top w:w="0" w:type="dxa"/>
              <w:left w:w="108" w:type="dxa"/>
              <w:bottom w:w="0" w:type="dxa"/>
              <w:right w:w="108" w:type="dxa"/>
            </w:tcMar>
          </w:tcPr>
          <w:p w14:paraId="73294CDD" w14:textId="401140E2" w:rsidR="0053677D" w:rsidRPr="0053677D" w:rsidRDefault="0053677D" w:rsidP="00BB2A31">
            <w:pPr>
              <w:keepNext/>
              <w:keepLines/>
              <w:widowControl w:val="0"/>
              <w:spacing w:before="120"/>
              <w:rPr>
                <w:bCs/>
              </w:rPr>
            </w:pPr>
            <w:r>
              <w:rPr>
                <w:bCs/>
              </w:rPr>
              <w:t>Catherine</w:t>
            </w:r>
          </w:p>
        </w:tc>
        <w:tc>
          <w:tcPr>
            <w:tcW w:w="2142" w:type="dxa"/>
            <w:tcMar>
              <w:top w:w="0" w:type="dxa"/>
              <w:left w:w="108" w:type="dxa"/>
              <w:bottom w:w="0" w:type="dxa"/>
              <w:right w:w="108" w:type="dxa"/>
            </w:tcMar>
          </w:tcPr>
          <w:p w14:paraId="1276AAD5" w14:textId="4760783B" w:rsidR="0053677D" w:rsidRPr="0053677D" w:rsidRDefault="0053677D" w:rsidP="00BB2A31">
            <w:pPr>
              <w:keepNext/>
              <w:keepLines/>
              <w:widowControl w:val="0"/>
              <w:spacing w:before="120"/>
              <w:rPr>
                <w:bCs/>
              </w:rPr>
            </w:pPr>
            <w:r>
              <w:rPr>
                <w:bCs/>
              </w:rPr>
              <w:t>Meiners</w:t>
            </w:r>
          </w:p>
        </w:tc>
        <w:tc>
          <w:tcPr>
            <w:tcW w:w="4968" w:type="dxa"/>
            <w:tcMar>
              <w:top w:w="0" w:type="dxa"/>
              <w:left w:w="108" w:type="dxa"/>
              <w:bottom w:w="0" w:type="dxa"/>
              <w:right w:w="108" w:type="dxa"/>
            </w:tcMar>
          </w:tcPr>
          <w:p w14:paraId="6D845A42" w14:textId="20B59BDD" w:rsidR="0053677D" w:rsidRPr="0053677D" w:rsidRDefault="0053677D" w:rsidP="00BB2A31">
            <w:pPr>
              <w:keepNext/>
              <w:keepLines/>
              <w:widowControl w:val="0"/>
              <w:spacing w:before="120"/>
              <w:rPr>
                <w:bCs/>
              </w:rPr>
            </w:pPr>
            <w:r>
              <w:rPr>
                <w:bCs/>
              </w:rPr>
              <w:t>ERCOT</w:t>
            </w:r>
          </w:p>
        </w:tc>
      </w:tr>
      <w:tr w:rsidR="0053677D" w:rsidRPr="00286562" w14:paraId="4A21069B" w14:textId="77777777" w:rsidTr="0053677D">
        <w:tc>
          <w:tcPr>
            <w:tcW w:w="1998" w:type="dxa"/>
            <w:tcMar>
              <w:top w:w="0" w:type="dxa"/>
              <w:left w:w="108" w:type="dxa"/>
              <w:bottom w:w="0" w:type="dxa"/>
              <w:right w:w="108" w:type="dxa"/>
            </w:tcMar>
          </w:tcPr>
          <w:p w14:paraId="22407CC1" w14:textId="73903E9A" w:rsidR="0053677D" w:rsidRPr="0053677D" w:rsidRDefault="0053677D" w:rsidP="00BB2A31">
            <w:pPr>
              <w:keepNext/>
              <w:keepLines/>
              <w:widowControl w:val="0"/>
              <w:spacing w:before="120"/>
              <w:rPr>
                <w:bCs/>
              </w:rPr>
            </w:pPr>
            <w:r w:rsidRPr="0053677D">
              <w:rPr>
                <w:bCs/>
              </w:rPr>
              <w:t>Amrit</w:t>
            </w:r>
          </w:p>
        </w:tc>
        <w:tc>
          <w:tcPr>
            <w:tcW w:w="2142" w:type="dxa"/>
            <w:tcMar>
              <w:top w:w="0" w:type="dxa"/>
              <w:left w:w="108" w:type="dxa"/>
              <w:bottom w:w="0" w:type="dxa"/>
              <w:right w:w="108" w:type="dxa"/>
            </w:tcMar>
          </w:tcPr>
          <w:p w14:paraId="1EFEBEA9" w14:textId="70F831D7" w:rsidR="0053677D" w:rsidRPr="0053677D" w:rsidRDefault="0053677D" w:rsidP="00BB2A31">
            <w:pPr>
              <w:keepNext/>
              <w:keepLines/>
              <w:widowControl w:val="0"/>
              <w:spacing w:before="120"/>
              <w:rPr>
                <w:bCs/>
              </w:rPr>
            </w:pPr>
            <w:r w:rsidRPr="0053677D">
              <w:rPr>
                <w:bCs/>
              </w:rPr>
              <w:t>Nagi</w:t>
            </w:r>
          </w:p>
        </w:tc>
        <w:tc>
          <w:tcPr>
            <w:tcW w:w="4968" w:type="dxa"/>
            <w:tcMar>
              <w:top w:w="0" w:type="dxa"/>
              <w:left w:w="108" w:type="dxa"/>
              <w:bottom w:w="0" w:type="dxa"/>
              <w:right w:w="108" w:type="dxa"/>
            </w:tcMar>
          </w:tcPr>
          <w:p w14:paraId="2DE5209E" w14:textId="38A5196D" w:rsidR="0053677D" w:rsidRPr="0053677D" w:rsidRDefault="0053677D" w:rsidP="00BB2A31">
            <w:pPr>
              <w:keepNext/>
              <w:keepLines/>
              <w:widowControl w:val="0"/>
              <w:spacing w:before="120"/>
              <w:rPr>
                <w:bCs/>
              </w:rPr>
            </w:pPr>
            <w:r w:rsidRPr="0053677D">
              <w:rPr>
                <w:bCs/>
              </w:rPr>
              <w:t>NAESB</w:t>
            </w:r>
          </w:p>
        </w:tc>
      </w:tr>
      <w:tr w:rsidR="00A61471" w:rsidRPr="00286562" w14:paraId="1DEF9EE9" w14:textId="77777777" w:rsidTr="0053677D">
        <w:tc>
          <w:tcPr>
            <w:tcW w:w="1998" w:type="dxa"/>
            <w:tcMar>
              <w:top w:w="0" w:type="dxa"/>
              <w:left w:w="108" w:type="dxa"/>
              <w:bottom w:w="0" w:type="dxa"/>
              <w:right w:w="108" w:type="dxa"/>
            </w:tcMar>
          </w:tcPr>
          <w:p w14:paraId="73DC2ADC" w14:textId="445C1B42" w:rsidR="00A61471" w:rsidRPr="0053677D" w:rsidRDefault="00A61471" w:rsidP="00BB2A31">
            <w:pPr>
              <w:keepNext/>
              <w:keepLines/>
              <w:widowControl w:val="0"/>
              <w:spacing w:before="120"/>
              <w:rPr>
                <w:bCs/>
              </w:rPr>
            </w:pPr>
            <w:r>
              <w:rPr>
                <w:bCs/>
              </w:rPr>
              <w:t>Kirsten</w:t>
            </w:r>
          </w:p>
        </w:tc>
        <w:tc>
          <w:tcPr>
            <w:tcW w:w="2142" w:type="dxa"/>
            <w:tcMar>
              <w:top w:w="0" w:type="dxa"/>
              <w:left w:w="108" w:type="dxa"/>
              <w:bottom w:w="0" w:type="dxa"/>
              <w:right w:w="108" w:type="dxa"/>
            </w:tcMar>
          </w:tcPr>
          <w:p w14:paraId="60652E5C" w14:textId="11DA5D52" w:rsidR="00A61471" w:rsidRPr="0053677D" w:rsidRDefault="00A61471" w:rsidP="00BB2A31">
            <w:pPr>
              <w:keepNext/>
              <w:keepLines/>
              <w:widowControl w:val="0"/>
              <w:spacing w:before="120"/>
              <w:rPr>
                <w:bCs/>
              </w:rPr>
            </w:pPr>
            <w:r>
              <w:rPr>
                <w:bCs/>
              </w:rPr>
              <w:t>Rowley</w:t>
            </w:r>
          </w:p>
        </w:tc>
        <w:tc>
          <w:tcPr>
            <w:tcW w:w="4968" w:type="dxa"/>
            <w:tcMar>
              <w:top w:w="0" w:type="dxa"/>
              <w:left w:w="108" w:type="dxa"/>
              <w:bottom w:w="0" w:type="dxa"/>
              <w:right w:w="108" w:type="dxa"/>
            </w:tcMar>
          </w:tcPr>
          <w:p w14:paraId="24B063C1" w14:textId="40E95C46" w:rsidR="00A61471" w:rsidRPr="0053677D" w:rsidRDefault="00A61471" w:rsidP="00BB2A31">
            <w:pPr>
              <w:keepNext/>
              <w:keepLines/>
              <w:widowControl w:val="0"/>
              <w:spacing w:before="120"/>
              <w:rPr>
                <w:bCs/>
              </w:rPr>
            </w:pPr>
            <w:r>
              <w:rPr>
                <w:bCs/>
              </w:rPr>
              <w:t>MISO</w:t>
            </w:r>
          </w:p>
        </w:tc>
      </w:tr>
      <w:tr w:rsidR="00BB2A31" w:rsidRPr="00286562" w14:paraId="0B11CDDC" w14:textId="77777777" w:rsidTr="0053677D">
        <w:tc>
          <w:tcPr>
            <w:tcW w:w="1998" w:type="dxa"/>
            <w:tcMar>
              <w:top w:w="0" w:type="dxa"/>
              <w:left w:w="108" w:type="dxa"/>
              <w:bottom w:w="0" w:type="dxa"/>
              <w:right w:w="108" w:type="dxa"/>
            </w:tcMar>
          </w:tcPr>
          <w:p w14:paraId="49629A66" w14:textId="18CF5BF4" w:rsidR="00BB2A31" w:rsidRPr="00F61C77" w:rsidRDefault="00BB2A31" w:rsidP="0079197D">
            <w:pPr>
              <w:widowControl w:val="0"/>
              <w:spacing w:before="120"/>
              <w:rPr>
                <w:bCs/>
              </w:rPr>
            </w:pPr>
            <w:r w:rsidRPr="00F61C77">
              <w:rPr>
                <w:bCs/>
              </w:rPr>
              <w:t>Lisa</w:t>
            </w:r>
          </w:p>
        </w:tc>
        <w:tc>
          <w:tcPr>
            <w:tcW w:w="2142" w:type="dxa"/>
            <w:tcMar>
              <w:top w:w="0" w:type="dxa"/>
              <w:left w:w="108" w:type="dxa"/>
              <w:bottom w:w="0" w:type="dxa"/>
              <w:right w:w="108" w:type="dxa"/>
            </w:tcMar>
          </w:tcPr>
          <w:p w14:paraId="66CA09CD" w14:textId="13B373C8" w:rsidR="00BB2A31" w:rsidRPr="00F61C77" w:rsidRDefault="00BB2A31" w:rsidP="0079197D">
            <w:pPr>
              <w:widowControl w:val="0"/>
              <w:spacing w:before="120"/>
              <w:rPr>
                <w:bCs/>
              </w:rPr>
            </w:pPr>
            <w:r w:rsidRPr="00F61C77">
              <w:rPr>
                <w:bCs/>
              </w:rPr>
              <w:t>Sieg</w:t>
            </w:r>
          </w:p>
        </w:tc>
        <w:tc>
          <w:tcPr>
            <w:tcW w:w="4968" w:type="dxa"/>
            <w:tcMar>
              <w:top w:w="0" w:type="dxa"/>
              <w:left w:w="108" w:type="dxa"/>
              <w:bottom w:w="0" w:type="dxa"/>
              <w:right w:w="108" w:type="dxa"/>
            </w:tcMar>
          </w:tcPr>
          <w:p w14:paraId="6FE6FA00" w14:textId="1E0677E2" w:rsidR="00BB2A31" w:rsidRPr="00F61C77" w:rsidRDefault="00BB2A31" w:rsidP="00A55C8D">
            <w:pPr>
              <w:keepNext/>
              <w:keepLines/>
              <w:widowControl w:val="0"/>
              <w:spacing w:before="120"/>
              <w:rPr>
                <w:bCs/>
              </w:rPr>
            </w:pPr>
            <w:r w:rsidRPr="00F61C77">
              <w:rPr>
                <w:bCs/>
              </w:rPr>
              <w:t>LG&amp;E and KU Services</w:t>
            </w:r>
          </w:p>
        </w:tc>
      </w:tr>
      <w:tr w:rsidR="007577F1" w:rsidRPr="00286562" w14:paraId="24ED8ABC" w14:textId="77777777" w:rsidTr="0053677D">
        <w:tc>
          <w:tcPr>
            <w:tcW w:w="1998" w:type="dxa"/>
            <w:tcMar>
              <w:top w:w="0" w:type="dxa"/>
              <w:left w:w="108" w:type="dxa"/>
              <w:bottom w:w="0" w:type="dxa"/>
              <w:right w:w="108" w:type="dxa"/>
            </w:tcMar>
          </w:tcPr>
          <w:p w14:paraId="118A017B" w14:textId="4C0094C7" w:rsidR="007577F1" w:rsidRPr="00A61471" w:rsidRDefault="007577F1" w:rsidP="0079197D">
            <w:pPr>
              <w:widowControl w:val="0"/>
              <w:spacing w:before="120"/>
              <w:rPr>
                <w:bCs/>
              </w:rPr>
            </w:pPr>
            <w:r w:rsidRPr="00A61471">
              <w:rPr>
                <w:bCs/>
              </w:rPr>
              <w:t>Scott</w:t>
            </w:r>
          </w:p>
        </w:tc>
        <w:tc>
          <w:tcPr>
            <w:tcW w:w="2142" w:type="dxa"/>
            <w:tcMar>
              <w:top w:w="0" w:type="dxa"/>
              <w:left w:w="108" w:type="dxa"/>
              <w:bottom w:w="0" w:type="dxa"/>
              <w:right w:w="108" w:type="dxa"/>
            </w:tcMar>
          </w:tcPr>
          <w:p w14:paraId="766796AF" w14:textId="7B49522D" w:rsidR="007577F1" w:rsidRPr="00A61471" w:rsidRDefault="007577F1" w:rsidP="0079197D">
            <w:pPr>
              <w:widowControl w:val="0"/>
              <w:spacing w:before="120"/>
              <w:rPr>
                <w:bCs/>
              </w:rPr>
            </w:pPr>
            <w:r w:rsidRPr="00A61471">
              <w:rPr>
                <w:bCs/>
              </w:rPr>
              <w:t>Stewart</w:t>
            </w:r>
          </w:p>
        </w:tc>
        <w:tc>
          <w:tcPr>
            <w:tcW w:w="4968" w:type="dxa"/>
            <w:tcMar>
              <w:top w:w="0" w:type="dxa"/>
              <w:left w:w="108" w:type="dxa"/>
              <w:bottom w:w="0" w:type="dxa"/>
              <w:right w:w="108" w:type="dxa"/>
            </w:tcMar>
          </w:tcPr>
          <w:p w14:paraId="7F0CB0F4" w14:textId="405458CF" w:rsidR="007577F1" w:rsidRPr="00A61471" w:rsidRDefault="00A61471" w:rsidP="00A55C8D">
            <w:pPr>
              <w:keepNext/>
              <w:keepLines/>
              <w:widowControl w:val="0"/>
              <w:spacing w:before="120"/>
              <w:rPr>
                <w:bCs/>
              </w:rPr>
            </w:pPr>
            <w:r>
              <w:rPr>
                <w:bCs/>
              </w:rPr>
              <w:t>BPA</w:t>
            </w:r>
          </w:p>
        </w:tc>
      </w:tr>
      <w:tr w:rsidR="00BE24C3" w:rsidRPr="00286562" w14:paraId="5F9BFAF0" w14:textId="77777777" w:rsidTr="0053677D">
        <w:tc>
          <w:tcPr>
            <w:tcW w:w="1998" w:type="dxa"/>
            <w:tcMar>
              <w:top w:w="0" w:type="dxa"/>
              <w:left w:w="108" w:type="dxa"/>
              <w:bottom w:w="0" w:type="dxa"/>
              <w:right w:w="108" w:type="dxa"/>
            </w:tcMar>
            <w:hideMark/>
          </w:tcPr>
          <w:p w14:paraId="572E9716" w14:textId="43A27F75" w:rsidR="00BE24C3" w:rsidRPr="00F61C77" w:rsidRDefault="007577F1" w:rsidP="0079197D">
            <w:pPr>
              <w:widowControl w:val="0"/>
              <w:spacing w:before="120"/>
              <w:rPr>
                <w:bCs/>
              </w:rPr>
            </w:pPr>
            <w:r w:rsidRPr="00F61C77">
              <w:rPr>
                <w:bCs/>
              </w:rPr>
              <w:t>Caroline</w:t>
            </w:r>
          </w:p>
        </w:tc>
        <w:tc>
          <w:tcPr>
            <w:tcW w:w="2142" w:type="dxa"/>
            <w:tcMar>
              <w:top w:w="0" w:type="dxa"/>
              <w:left w:w="108" w:type="dxa"/>
              <w:bottom w:w="0" w:type="dxa"/>
              <w:right w:w="108" w:type="dxa"/>
            </w:tcMar>
            <w:hideMark/>
          </w:tcPr>
          <w:p w14:paraId="3166FE36" w14:textId="77777777" w:rsidR="00BE24C3" w:rsidRPr="00F61C77" w:rsidRDefault="00BE24C3" w:rsidP="0079197D">
            <w:pPr>
              <w:widowControl w:val="0"/>
              <w:spacing w:before="120"/>
              <w:rPr>
                <w:bCs/>
              </w:rPr>
            </w:pPr>
            <w:r w:rsidRPr="00F61C77">
              <w:rPr>
                <w:bCs/>
              </w:rPr>
              <w:t>Trum</w:t>
            </w:r>
          </w:p>
        </w:tc>
        <w:tc>
          <w:tcPr>
            <w:tcW w:w="4968" w:type="dxa"/>
            <w:tcMar>
              <w:top w:w="0" w:type="dxa"/>
              <w:left w:w="108" w:type="dxa"/>
              <w:bottom w:w="0" w:type="dxa"/>
              <w:right w:w="108" w:type="dxa"/>
            </w:tcMar>
            <w:hideMark/>
          </w:tcPr>
          <w:p w14:paraId="57332193" w14:textId="040FBF2B" w:rsidR="00BE24C3" w:rsidRPr="00F61C77" w:rsidRDefault="00F61C77" w:rsidP="00A55C8D">
            <w:pPr>
              <w:keepNext/>
              <w:keepLines/>
              <w:widowControl w:val="0"/>
              <w:spacing w:before="120"/>
              <w:rPr>
                <w:bCs/>
              </w:rPr>
            </w:pPr>
            <w:r>
              <w:rPr>
                <w:bCs/>
              </w:rPr>
              <w:t>NAESB</w:t>
            </w:r>
          </w:p>
        </w:tc>
      </w:tr>
      <w:tr w:rsidR="00BB2A31" w:rsidRPr="00286562" w14:paraId="44D8AC61" w14:textId="77777777" w:rsidTr="0053677D">
        <w:tc>
          <w:tcPr>
            <w:tcW w:w="1998" w:type="dxa"/>
            <w:tcMar>
              <w:top w:w="0" w:type="dxa"/>
              <w:left w:w="108" w:type="dxa"/>
              <w:bottom w:w="0" w:type="dxa"/>
              <w:right w:w="108" w:type="dxa"/>
            </w:tcMar>
          </w:tcPr>
          <w:p w14:paraId="0E77F0CF" w14:textId="27E9425B" w:rsidR="00BB2A31" w:rsidRPr="0053677D" w:rsidRDefault="0053677D" w:rsidP="0079197D">
            <w:pPr>
              <w:widowControl w:val="0"/>
              <w:spacing w:before="120"/>
              <w:rPr>
                <w:bCs/>
              </w:rPr>
            </w:pPr>
            <w:r>
              <w:rPr>
                <w:bCs/>
              </w:rPr>
              <w:t>Sam</w:t>
            </w:r>
          </w:p>
        </w:tc>
        <w:tc>
          <w:tcPr>
            <w:tcW w:w="2142" w:type="dxa"/>
            <w:tcMar>
              <w:top w:w="0" w:type="dxa"/>
              <w:left w:w="108" w:type="dxa"/>
              <w:bottom w:w="0" w:type="dxa"/>
              <w:right w:w="108" w:type="dxa"/>
            </w:tcMar>
          </w:tcPr>
          <w:p w14:paraId="2A5DEDB2" w14:textId="34B2B51B" w:rsidR="00BB2A31" w:rsidRPr="0053677D" w:rsidRDefault="0053677D" w:rsidP="0079197D">
            <w:pPr>
              <w:widowControl w:val="0"/>
              <w:spacing w:before="120"/>
              <w:rPr>
                <w:bCs/>
              </w:rPr>
            </w:pPr>
            <w:r>
              <w:rPr>
                <w:bCs/>
              </w:rPr>
              <w:t>Watson</w:t>
            </w:r>
          </w:p>
        </w:tc>
        <w:tc>
          <w:tcPr>
            <w:tcW w:w="4968" w:type="dxa"/>
            <w:tcMar>
              <w:top w:w="0" w:type="dxa"/>
              <w:left w:w="108" w:type="dxa"/>
              <w:bottom w:w="0" w:type="dxa"/>
              <w:right w:w="108" w:type="dxa"/>
            </w:tcMar>
          </w:tcPr>
          <w:p w14:paraId="70749DDA" w14:textId="0E9708BB" w:rsidR="00BB2A31" w:rsidRPr="0053677D" w:rsidRDefault="0053677D" w:rsidP="00A55C8D">
            <w:pPr>
              <w:keepNext/>
              <w:keepLines/>
              <w:widowControl w:val="0"/>
              <w:spacing w:before="120"/>
              <w:rPr>
                <w:bCs/>
              </w:rPr>
            </w:pPr>
            <w:r w:rsidRPr="0053677D">
              <w:rPr>
                <w:bCs/>
              </w:rPr>
              <w:t>North Carolina Utilities Commission Rep. NARUC</w:t>
            </w:r>
          </w:p>
        </w:tc>
      </w:tr>
      <w:tr w:rsidR="00A61471" w:rsidRPr="00286562" w14:paraId="33C26DB2" w14:textId="77777777" w:rsidTr="0053677D">
        <w:tc>
          <w:tcPr>
            <w:tcW w:w="1998" w:type="dxa"/>
            <w:tcMar>
              <w:top w:w="0" w:type="dxa"/>
              <w:left w:w="108" w:type="dxa"/>
              <w:bottom w:w="0" w:type="dxa"/>
              <w:right w:w="108" w:type="dxa"/>
            </w:tcMar>
          </w:tcPr>
          <w:p w14:paraId="1C15FBC7" w14:textId="62D68BFE" w:rsidR="00A61471" w:rsidRDefault="00A61471" w:rsidP="0079197D">
            <w:pPr>
              <w:widowControl w:val="0"/>
              <w:spacing w:before="120"/>
              <w:rPr>
                <w:bCs/>
              </w:rPr>
            </w:pPr>
            <w:r>
              <w:rPr>
                <w:bCs/>
              </w:rPr>
              <w:t>Paul</w:t>
            </w:r>
          </w:p>
        </w:tc>
        <w:tc>
          <w:tcPr>
            <w:tcW w:w="2142" w:type="dxa"/>
            <w:tcMar>
              <w:top w:w="0" w:type="dxa"/>
              <w:left w:w="108" w:type="dxa"/>
              <w:bottom w:w="0" w:type="dxa"/>
              <w:right w:w="108" w:type="dxa"/>
            </w:tcMar>
          </w:tcPr>
          <w:p w14:paraId="1268BAD7" w14:textId="16D50A1C" w:rsidR="00A61471" w:rsidRDefault="00A61471" w:rsidP="0079197D">
            <w:pPr>
              <w:widowControl w:val="0"/>
              <w:spacing w:before="120"/>
              <w:rPr>
                <w:bCs/>
              </w:rPr>
            </w:pPr>
            <w:r>
              <w:rPr>
                <w:bCs/>
              </w:rPr>
              <w:t>Yockey</w:t>
            </w:r>
          </w:p>
        </w:tc>
        <w:tc>
          <w:tcPr>
            <w:tcW w:w="4968" w:type="dxa"/>
            <w:tcMar>
              <w:top w:w="0" w:type="dxa"/>
              <w:left w:w="108" w:type="dxa"/>
              <w:bottom w:w="0" w:type="dxa"/>
              <w:right w:w="108" w:type="dxa"/>
            </w:tcMar>
          </w:tcPr>
          <w:p w14:paraId="56D490C3" w14:textId="1FCD9EE2" w:rsidR="00A61471" w:rsidRPr="0053677D" w:rsidRDefault="00A61471" w:rsidP="00A55C8D">
            <w:pPr>
              <w:keepNext/>
              <w:keepLines/>
              <w:widowControl w:val="0"/>
              <w:spacing w:before="120"/>
              <w:rPr>
                <w:bCs/>
              </w:rPr>
            </w:pPr>
            <w:r>
              <w:rPr>
                <w:bCs/>
              </w:rPr>
              <w:t>ERCOT</w:t>
            </w:r>
          </w:p>
        </w:tc>
      </w:tr>
      <w:bookmarkEnd w:id="1"/>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2"/>
      <w:footerReference w:type="default" r:id="rId13"/>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F3A4" w14:textId="77777777" w:rsidR="004D6E05" w:rsidRDefault="004D6E05">
      <w:r>
        <w:separator/>
      </w:r>
    </w:p>
  </w:endnote>
  <w:endnote w:type="continuationSeparator" w:id="0">
    <w:p w14:paraId="44ADC25A" w14:textId="77777777" w:rsidR="004D6E05" w:rsidRDefault="004D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otham Boo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8FA7" w14:textId="735EA9AF" w:rsidR="00F7176E" w:rsidRPr="00176FB9" w:rsidRDefault="00F7176E" w:rsidP="005E6421">
    <w:pPr>
      <w:pStyle w:val="Footer"/>
      <w:pBdr>
        <w:top w:val="single" w:sz="12" w:space="1" w:color="auto"/>
      </w:pBdr>
      <w:jc w:val="right"/>
      <w:rPr>
        <w:sz w:val="18"/>
        <w:szCs w:val="18"/>
      </w:rPr>
    </w:pPr>
    <w:r>
      <w:rPr>
        <w:sz w:val="18"/>
        <w:szCs w:val="18"/>
      </w:rPr>
      <w:t>WEQ BPS</w:t>
    </w:r>
    <w:r w:rsidR="00941592">
      <w:rPr>
        <w:sz w:val="18"/>
        <w:szCs w:val="18"/>
      </w:rPr>
      <w:t xml:space="preserve">, RMQ BPS, and WEQ CSS </w:t>
    </w:r>
    <w:r>
      <w:rPr>
        <w:sz w:val="18"/>
        <w:szCs w:val="18"/>
      </w:rPr>
      <w:t xml:space="preserve">Draft Meeting Minutes </w:t>
    </w:r>
    <w:r w:rsidRPr="00176FB9">
      <w:rPr>
        <w:sz w:val="18"/>
        <w:szCs w:val="18"/>
      </w:rPr>
      <w:t>–</w:t>
    </w:r>
    <w:r w:rsidR="0038023A">
      <w:rPr>
        <w:sz w:val="18"/>
        <w:szCs w:val="18"/>
      </w:rPr>
      <w:t xml:space="preserve"> </w:t>
    </w:r>
    <w:r w:rsidR="00B92163">
      <w:rPr>
        <w:sz w:val="18"/>
        <w:szCs w:val="18"/>
      </w:rPr>
      <w:t>November 2</w:t>
    </w:r>
    <w:r w:rsidR="00BB2A31">
      <w:rPr>
        <w:sz w:val="18"/>
        <w:szCs w:val="18"/>
      </w:rPr>
      <w:t>0, 2024</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C0C77" w14:textId="77777777" w:rsidR="004D6E05" w:rsidRDefault="004D6E05">
      <w:r>
        <w:separator/>
      </w:r>
    </w:p>
  </w:footnote>
  <w:footnote w:type="continuationSeparator" w:id="0">
    <w:p w14:paraId="58386A74" w14:textId="77777777" w:rsidR="004D6E05" w:rsidRDefault="004D6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  (713)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B3D51E3"/>
    <w:multiLevelType w:val="hybridMultilevel"/>
    <w:tmpl w:val="1584C38A"/>
    <w:lvl w:ilvl="0" w:tplc="FFDE8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A2077"/>
    <w:multiLevelType w:val="hybridMultilevel"/>
    <w:tmpl w:val="49D4B128"/>
    <w:lvl w:ilvl="0" w:tplc="FCE0E71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20" w15:restartNumberingAfterBreak="0">
    <w:nsid w:val="321622A9"/>
    <w:multiLevelType w:val="hybridMultilevel"/>
    <w:tmpl w:val="0CCA02BE"/>
    <w:lvl w:ilvl="0" w:tplc="8FD6AF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22"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6"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8"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4"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40"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3"/>
  </w:num>
  <w:num w:numId="2" w16cid:durableId="213082767">
    <w:abstractNumId w:val="17"/>
  </w:num>
  <w:num w:numId="3" w16cid:durableId="228997703">
    <w:abstractNumId w:val="34"/>
  </w:num>
  <w:num w:numId="4" w16cid:durableId="1936547836">
    <w:abstractNumId w:val="41"/>
  </w:num>
  <w:num w:numId="5" w16cid:durableId="918439651">
    <w:abstractNumId w:val="10"/>
  </w:num>
  <w:num w:numId="6" w16cid:durableId="1601640830">
    <w:abstractNumId w:val="36"/>
  </w:num>
  <w:num w:numId="7" w16cid:durableId="38825310">
    <w:abstractNumId w:val="9"/>
  </w:num>
  <w:num w:numId="8" w16cid:durableId="1860660652">
    <w:abstractNumId w:val="12"/>
  </w:num>
  <w:num w:numId="9" w16cid:durableId="1096249235">
    <w:abstractNumId w:val="13"/>
  </w:num>
  <w:num w:numId="10" w16cid:durableId="1044909686">
    <w:abstractNumId w:val="4"/>
  </w:num>
  <w:num w:numId="11" w16cid:durableId="1653287285">
    <w:abstractNumId w:val="25"/>
  </w:num>
  <w:num w:numId="12" w16cid:durableId="693113558">
    <w:abstractNumId w:val="6"/>
  </w:num>
  <w:num w:numId="13" w16cid:durableId="1279530205">
    <w:abstractNumId w:val="15"/>
  </w:num>
  <w:num w:numId="14" w16cid:durableId="1358391778">
    <w:abstractNumId w:val="19"/>
  </w:num>
  <w:num w:numId="15" w16cid:durableId="797454161">
    <w:abstractNumId w:val="11"/>
  </w:num>
  <w:num w:numId="16" w16cid:durableId="641740180">
    <w:abstractNumId w:val="2"/>
  </w:num>
  <w:num w:numId="17" w16cid:durableId="154493278">
    <w:abstractNumId w:val="44"/>
  </w:num>
  <w:num w:numId="18" w16cid:durableId="919752428">
    <w:abstractNumId w:val="23"/>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6"/>
  </w:num>
  <w:num w:numId="21" w16cid:durableId="1327245217">
    <w:abstractNumId w:val="42"/>
  </w:num>
  <w:num w:numId="22" w16cid:durableId="1432434037">
    <w:abstractNumId w:val="27"/>
  </w:num>
  <w:num w:numId="23" w16cid:durableId="479855235">
    <w:abstractNumId w:val="38"/>
  </w:num>
  <w:num w:numId="24" w16cid:durableId="154879141">
    <w:abstractNumId w:val="39"/>
  </w:num>
  <w:num w:numId="25" w16cid:durableId="318770904">
    <w:abstractNumId w:val="21"/>
  </w:num>
  <w:num w:numId="26" w16cid:durableId="244800911">
    <w:abstractNumId w:val="37"/>
  </w:num>
  <w:num w:numId="27" w16cid:durableId="4988435">
    <w:abstractNumId w:val="22"/>
  </w:num>
  <w:num w:numId="28" w16cid:durableId="1289050080">
    <w:abstractNumId w:val="5"/>
  </w:num>
  <w:num w:numId="29" w16cid:durableId="185486468">
    <w:abstractNumId w:val="30"/>
  </w:num>
  <w:num w:numId="30" w16cid:durableId="1722486156">
    <w:abstractNumId w:val="35"/>
  </w:num>
  <w:num w:numId="31" w16cid:durableId="1437480256">
    <w:abstractNumId w:val="40"/>
  </w:num>
  <w:num w:numId="32" w16cid:durableId="18432699">
    <w:abstractNumId w:val="29"/>
  </w:num>
  <w:num w:numId="33" w16cid:durableId="585383483">
    <w:abstractNumId w:val="28"/>
  </w:num>
  <w:num w:numId="34" w16cid:durableId="501631256">
    <w:abstractNumId w:val="26"/>
  </w:num>
  <w:num w:numId="35" w16cid:durableId="1536885961">
    <w:abstractNumId w:val="31"/>
  </w:num>
  <w:num w:numId="36" w16cid:durableId="1118331430">
    <w:abstractNumId w:val="14"/>
  </w:num>
  <w:num w:numId="37" w16cid:durableId="951210971">
    <w:abstractNumId w:val="32"/>
  </w:num>
  <w:num w:numId="38" w16cid:durableId="4798804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4"/>
  </w:num>
  <w:num w:numId="40" w16cid:durableId="1517188946">
    <w:abstractNumId w:val="8"/>
  </w:num>
  <w:num w:numId="41" w16cid:durableId="1042635673">
    <w:abstractNumId w:val="3"/>
  </w:num>
  <w:num w:numId="42" w16cid:durableId="1268544486">
    <w:abstractNumId w:val="1"/>
  </w:num>
  <w:num w:numId="43" w16cid:durableId="976567778">
    <w:abstractNumId w:val="0"/>
  </w:num>
  <w:num w:numId="44" w16cid:durableId="80439222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4880853">
    <w:abstractNumId w:val="20"/>
  </w:num>
  <w:num w:numId="46" w16cid:durableId="678656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B1E"/>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1C9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71"/>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78C"/>
    <w:rsid w:val="00075A70"/>
    <w:rsid w:val="00075A8B"/>
    <w:rsid w:val="0007686B"/>
    <w:rsid w:val="000771E7"/>
    <w:rsid w:val="0007723F"/>
    <w:rsid w:val="00077286"/>
    <w:rsid w:val="000777A3"/>
    <w:rsid w:val="000777FE"/>
    <w:rsid w:val="00077C87"/>
    <w:rsid w:val="00077E10"/>
    <w:rsid w:val="00080160"/>
    <w:rsid w:val="000801D7"/>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CDA"/>
    <w:rsid w:val="00085F66"/>
    <w:rsid w:val="00085F7B"/>
    <w:rsid w:val="00086045"/>
    <w:rsid w:val="000861F3"/>
    <w:rsid w:val="000866B5"/>
    <w:rsid w:val="00086D7F"/>
    <w:rsid w:val="0008771D"/>
    <w:rsid w:val="00087936"/>
    <w:rsid w:val="000900C6"/>
    <w:rsid w:val="0009015D"/>
    <w:rsid w:val="000908B4"/>
    <w:rsid w:val="0009092F"/>
    <w:rsid w:val="00090B36"/>
    <w:rsid w:val="0009119A"/>
    <w:rsid w:val="0009142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8E3"/>
    <w:rsid w:val="00094BF5"/>
    <w:rsid w:val="00095160"/>
    <w:rsid w:val="000952EC"/>
    <w:rsid w:val="000956E0"/>
    <w:rsid w:val="000961B4"/>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3C1"/>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D4F"/>
    <w:rsid w:val="000C458B"/>
    <w:rsid w:val="000C4758"/>
    <w:rsid w:val="000C48DF"/>
    <w:rsid w:val="000C4917"/>
    <w:rsid w:val="000C4EF8"/>
    <w:rsid w:val="000C515A"/>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68BE"/>
    <w:rsid w:val="000F73AE"/>
    <w:rsid w:val="000F7D5B"/>
    <w:rsid w:val="000F7EF4"/>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2A5"/>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3A3"/>
    <w:rsid w:val="0012645F"/>
    <w:rsid w:val="001265FE"/>
    <w:rsid w:val="001267C2"/>
    <w:rsid w:val="0012696F"/>
    <w:rsid w:val="00126CDA"/>
    <w:rsid w:val="001273BF"/>
    <w:rsid w:val="00127763"/>
    <w:rsid w:val="001278A3"/>
    <w:rsid w:val="00127D6E"/>
    <w:rsid w:val="00127EE6"/>
    <w:rsid w:val="00130E00"/>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6BB"/>
    <w:rsid w:val="00134BD7"/>
    <w:rsid w:val="00134C23"/>
    <w:rsid w:val="0013502A"/>
    <w:rsid w:val="001356A0"/>
    <w:rsid w:val="00135A79"/>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102"/>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3FBD"/>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8AB"/>
    <w:rsid w:val="001918EB"/>
    <w:rsid w:val="001921E7"/>
    <w:rsid w:val="001923FB"/>
    <w:rsid w:val="00192618"/>
    <w:rsid w:val="00192B17"/>
    <w:rsid w:val="00192F91"/>
    <w:rsid w:val="001932DE"/>
    <w:rsid w:val="00193D90"/>
    <w:rsid w:val="00194506"/>
    <w:rsid w:val="001945B9"/>
    <w:rsid w:val="00194B1F"/>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4755"/>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C24"/>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5136"/>
    <w:rsid w:val="001D5BF9"/>
    <w:rsid w:val="001D5CDE"/>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64"/>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5D1"/>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4D35"/>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17DC"/>
    <w:rsid w:val="00291AC0"/>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A7E9E"/>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DA5"/>
    <w:rsid w:val="002E3E1B"/>
    <w:rsid w:val="002E42F2"/>
    <w:rsid w:val="002E4312"/>
    <w:rsid w:val="002E439E"/>
    <w:rsid w:val="002E4403"/>
    <w:rsid w:val="002E4535"/>
    <w:rsid w:val="002E4A70"/>
    <w:rsid w:val="002E4D77"/>
    <w:rsid w:val="002E4F1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F2E"/>
    <w:rsid w:val="00304F8A"/>
    <w:rsid w:val="0030522C"/>
    <w:rsid w:val="00305E4B"/>
    <w:rsid w:val="003060A6"/>
    <w:rsid w:val="0030616F"/>
    <w:rsid w:val="00306258"/>
    <w:rsid w:val="003063E8"/>
    <w:rsid w:val="00306562"/>
    <w:rsid w:val="00307799"/>
    <w:rsid w:val="00307A76"/>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1FA"/>
    <w:rsid w:val="0031460F"/>
    <w:rsid w:val="0031473B"/>
    <w:rsid w:val="003148E5"/>
    <w:rsid w:val="00314A5F"/>
    <w:rsid w:val="00314C81"/>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47"/>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297E"/>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644"/>
    <w:rsid w:val="003C1D08"/>
    <w:rsid w:val="003C1D56"/>
    <w:rsid w:val="003C1D9D"/>
    <w:rsid w:val="003C1E3B"/>
    <w:rsid w:val="003C25E3"/>
    <w:rsid w:val="003C2725"/>
    <w:rsid w:val="003C2774"/>
    <w:rsid w:val="003C3352"/>
    <w:rsid w:val="003C3366"/>
    <w:rsid w:val="003C3583"/>
    <w:rsid w:val="003C387C"/>
    <w:rsid w:val="003C42ED"/>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537"/>
    <w:rsid w:val="003F0F63"/>
    <w:rsid w:val="003F1118"/>
    <w:rsid w:val="003F122B"/>
    <w:rsid w:val="003F1634"/>
    <w:rsid w:val="003F1BD7"/>
    <w:rsid w:val="003F1CA9"/>
    <w:rsid w:val="003F22DB"/>
    <w:rsid w:val="003F2480"/>
    <w:rsid w:val="003F2729"/>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D68"/>
    <w:rsid w:val="00424E8B"/>
    <w:rsid w:val="0042575D"/>
    <w:rsid w:val="004257D7"/>
    <w:rsid w:val="004258BE"/>
    <w:rsid w:val="00425A0A"/>
    <w:rsid w:val="0042648A"/>
    <w:rsid w:val="0042675B"/>
    <w:rsid w:val="00426905"/>
    <w:rsid w:val="00426950"/>
    <w:rsid w:val="00426E32"/>
    <w:rsid w:val="00427228"/>
    <w:rsid w:val="004273A6"/>
    <w:rsid w:val="00427724"/>
    <w:rsid w:val="00427BF2"/>
    <w:rsid w:val="00430400"/>
    <w:rsid w:val="00430544"/>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021"/>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132"/>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0D2"/>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338"/>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6E05"/>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60E8"/>
    <w:rsid w:val="004F6126"/>
    <w:rsid w:val="004F63CB"/>
    <w:rsid w:val="004F648F"/>
    <w:rsid w:val="004F6AC7"/>
    <w:rsid w:val="004F78F0"/>
    <w:rsid w:val="004F7923"/>
    <w:rsid w:val="004F7A35"/>
    <w:rsid w:val="004F7E97"/>
    <w:rsid w:val="00500302"/>
    <w:rsid w:val="005003F1"/>
    <w:rsid w:val="0050041A"/>
    <w:rsid w:val="005007B9"/>
    <w:rsid w:val="0050084B"/>
    <w:rsid w:val="00500D6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ED2"/>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768"/>
    <w:rsid w:val="00523B77"/>
    <w:rsid w:val="00523C23"/>
    <w:rsid w:val="00523F8B"/>
    <w:rsid w:val="005246B6"/>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77D"/>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E19"/>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B51"/>
    <w:rsid w:val="00552C0A"/>
    <w:rsid w:val="00552C56"/>
    <w:rsid w:val="00552F3B"/>
    <w:rsid w:val="00553266"/>
    <w:rsid w:val="0055333D"/>
    <w:rsid w:val="00553522"/>
    <w:rsid w:val="00553A3C"/>
    <w:rsid w:val="00553C49"/>
    <w:rsid w:val="0055402A"/>
    <w:rsid w:val="00554107"/>
    <w:rsid w:val="0055463D"/>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74F"/>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277"/>
    <w:rsid w:val="0057771A"/>
    <w:rsid w:val="00577877"/>
    <w:rsid w:val="00577A0D"/>
    <w:rsid w:val="00577A96"/>
    <w:rsid w:val="00577ABD"/>
    <w:rsid w:val="00577B43"/>
    <w:rsid w:val="00577C91"/>
    <w:rsid w:val="00577DC4"/>
    <w:rsid w:val="00577F5F"/>
    <w:rsid w:val="005801FF"/>
    <w:rsid w:val="00580944"/>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927"/>
    <w:rsid w:val="00585978"/>
    <w:rsid w:val="00585CCE"/>
    <w:rsid w:val="005860BF"/>
    <w:rsid w:val="0058669C"/>
    <w:rsid w:val="005869B0"/>
    <w:rsid w:val="00586A71"/>
    <w:rsid w:val="005905DC"/>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318"/>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F1"/>
    <w:rsid w:val="005B3AAE"/>
    <w:rsid w:val="005B3B38"/>
    <w:rsid w:val="005B3E5C"/>
    <w:rsid w:val="005B4EFA"/>
    <w:rsid w:val="005B576B"/>
    <w:rsid w:val="005B5A13"/>
    <w:rsid w:val="005B608F"/>
    <w:rsid w:val="005B60DC"/>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3C85"/>
    <w:rsid w:val="005C4114"/>
    <w:rsid w:val="005C417D"/>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4E0"/>
    <w:rsid w:val="005E056D"/>
    <w:rsid w:val="005E06C4"/>
    <w:rsid w:val="005E08D1"/>
    <w:rsid w:val="005E09E4"/>
    <w:rsid w:val="005E0A39"/>
    <w:rsid w:val="005E0BB0"/>
    <w:rsid w:val="005E0CA0"/>
    <w:rsid w:val="005E18BB"/>
    <w:rsid w:val="005E203B"/>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B68"/>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708"/>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44A"/>
    <w:rsid w:val="00695610"/>
    <w:rsid w:val="00695CA1"/>
    <w:rsid w:val="00696068"/>
    <w:rsid w:val="006961AC"/>
    <w:rsid w:val="00696294"/>
    <w:rsid w:val="00696510"/>
    <w:rsid w:val="0069660C"/>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388"/>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6D"/>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DBB"/>
    <w:rsid w:val="00716E47"/>
    <w:rsid w:val="00717A07"/>
    <w:rsid w:val="00717B5A"/>
    <w:rsid w:val="007200EA"/>
    <w:rsid w:val="00720361"/>
    <w:rsid w:val="007205CF"/>
    <w:rsid w:val="00720868"/>
    <w:rsid w:val="00720DF9"/>
    <w:rsid w:val="00721A70"/>
    <w:rsid w:val="007220DD"/>
    <w:rsid w:val="007222F2"/>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09AC"/>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07B"/>
    <w:rsid w:val="00744185"/>
    <w:rsid w:val="007442AB"/>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577F1"/>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2FA6"/>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5C"/>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97D"/>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E1E"/>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64"/>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2AA4"/>
    <w:rsid w:val="007C390A"/>
    <w:rsid w:val="007C3958"/>
    <w:rsid w:val="007C3BD7"/>
    <w:rsid w:val="007C3C9B"/>
    <w:rsid w:val="007C3F26"/>
    <w:rsid w:val="007C4A4A"/>
    <w:rsid w:val="007C4F8B"/>
    <w:rsid w:val="007C533B"/>
    <w:rsid w:val="007C54E3"/>
    <w:rsid w:val="007C59E2"/>
    <w:rsid w:val="007C5AD4"/>
    <w:rsid w:val="007C5BBA"/>
    <w:rsid w:val="007C5F86"/>
    <w:rsid w:val="007C6069"/>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AEA"/>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02"/>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E8B"/>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8C2"/>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CD"/>
    <w:rsid w:val="008D69BE"/>
    <w:rsid w:val="008D6F3A"/>
    <w:rsid w:val="008D6F48"/>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A3C"/>
    <w:rsid w:val="009023AC"/>
    <w:rsid w:val="0090289A"/>
    <w:rsid w:val="00902D5D"/>
    <w:rsid w:val="00903A10"/>
    <w:rsid w:val="00903A93"/>
    <w:rsid w:val="00903CD6"/>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718"/>
    <w:rsid w:val="00935726"/>
    <w:rsid w:val="00935B71"/>
    <w:rsid w:val="00935C0F"/>
    <w:rsid w:val="00935DE7"/>
    <w:rsid w:val="00936011"/>
    <w:rsid w:val="009364A8"/>
    <w:rsid w:val="00936E50"/>
    <w:rsid w:val="00936F18"/>
    <w:rsid w:val="0093795B"/>
    <w:rsid w:val="00937B28"/>
    <w:rsid w:val="00937CE9"/>
    <w:rsid w:val="00940E55"/>
    <w:rsid w:val="009411E1"/>
    <w:rsid w:val="00941592"/>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64D"/>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18B6"/>
    <w:rsid w:val="00981941"/>
    <w:rsid w:val="00981DF7"/>
    <w:rsid w:val="009824CE"/>
    <w:rsid w:val="009825E5"/>
    <w:rsid w:val="009829E7"/>
    <w:rsid w:val="00983171"/>
    <w:rsid w:val="0098322C"/>
    <w:rsid w:val="0098326C"/>
    <w:rsid w:val="00983599"/>
    <w:rsid w:val="00983B7D"/>
    <w:rsid w:val="00983F54"/>
    <w:rsid w:val="0098456D"/>
    <w:rsid w:val="00984B20"/>
    <w:rsid w:val="00984B2A"/>
    <w:rsid w:val="00984BC6"/>
    <w:rsid w:val="00984EA9"/>
    <w:rsid w:val="00985141"/>
    <w:rsid w:val="009856B1"/>
    <w:rsid w:val="00985727"/>
    <w:rsid w:val="00985A49"/>
    <w:rsid w:val="00985B90"/>
    <w:rsid w:val="00986448"/>
    <w:rsid w:val="0098645E"/>
    <w:rsid w:val="0098677A"/>
    <w:rsid w:val="00986940"/>
    <w:rsid w:val="009872F7"/>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5120"/>
    <w:rsid w:val="009B54B0"/>
    <w:rsid w:val="009B54FA"/>
    <w:rsid w:val="009B5515"/>
    <w:rsid w:val="009B56DC"/>
    <w:rsid w:val="009B571D"/>
    <w:rsid w:val="009B588D"/>
    <w:rsid w:val="009B663C"/>
    <w:rsid w:val="009B6911"/>
    <w:rsid w:val="009B69FA"/>
    <w:rsid w:val="009B6B15"/>
    <w:rsid w:val="009B6C98"/>
    <w:rsid w:val="009B6D1C"/>
    <w:rsid w:val="009B7046"/>
    <w:rsid w:val="009B717E"/>
    <w:rsid w:val="009B74DA"/>
    <w:rsid w:val="009B7995"/>
    <w:rsid w:val="009B7F4E"/>
    <w:rsid w:val="009C000B"/>
    <w:rsid w:val="009C020C"/>
    <w:rsid w:val="009C069A"/>
    <w:rsid w:val="009C0D70"/>
    <w:rsid w:val="009C0E8B"/>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B2F"/>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7336"/>
    <w:rsid w:val="00A574E2"/>
    <w:rsid w:val="00A5781B"/>
    <w:rsid w:val="00A57A64"/>
    <w:rsid w:val="00A57FA8"/>
    <w:rsid w:val="00A607AF"/>
    <w:rsid w:val="00A608D2"/>
    <w:rsid w:val="00A60960"/>
    <w:rsid w:val="00A609AA"/>
    <w:rsid w:val="00A61471"/>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3A2"/>
    <w:rsid w:val="00A81790"/>
    <w:rsid w:val="00A81C9A"/>
    <w:rsid w:val="00A81D22"/>
    <w:rsid w:val="00A826B4"/>
    <w:rsid w:val="00A833E4"/>
    <w:rsid w:val="00A8383A"/>
    <w:rsid w:val="00A83B2F"/>
    <w:rsid w:val="00A843F7"/>
    <w:rsid w:val="00A84836"/>
    <w:rsid w:val="00A848E7"/>
    <w:rsid w:val="00A84A2A"/>
    <w:rsid w:val="00A84B69"/>
    <w:rsid w:val="00A84EE4"/>
    <w:rsid w:val="00A856C9"/>
    <w:rsid w:val="00A85DF6"/>
    <w:rsid w:val="00A85F0B"/>
    <w:rsid w:val="00A8606C"/>
    <w:rsid w:val="00A866C4"/>
    <w:rsid w:val="00A8677E"/>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E69"/>
    <w:rsid w:val="00AB3FA2"/>
    <w:rsid w:val="00AB40FB"/>
    <w:rsid w:val="00AB428A"/>
    <w:rsid w:val="00AB465F"/>
    <w:rsid w:val="00AB4693"/>
    <w:rsid w:val="00AB4BD3"/>
    <w:rsid w:val="00AB5360"/>
    <w:rsid w:val="00AB5571"/>
    <w:rsid w:val="00AB56B2"/>
    <w:rsid w:val="00AB574F"/>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0FAE"/>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2C"/>
    <w:rsid w:val="00B27FF6"/>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AA"/>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0D8"/>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5D2"/>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163"/>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7B9"/>
    <w:rsid w:val="00BB19A3"/>
    <w:rsid w:val="00BB1C7D"/>
    <w:rsid w:val="00BB23AD"/>
    <w:rsid w:val="00BB2A31"/>
    <w:rsid w:val="00BB2D4F"/>
    <w:rsid w:val="00BB2DC2"/>
    <w:rsid w:val="00BB33A0"/>
    <w:rsid w:val="00BB362E"/>
    <w:rsid w:val="00BB377E"/>
    <w:rsid w:val="00BB3795"/>
    <w:rsid w:val="00BB3B08"/>
    <w:rsid w:val="00BB3E87"/>
    <w:rsid w:val="00BB3E94"/>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A6A"/>
    <w:rsid w:val="00BC3BF8"/>
    <w:rsid w:val="00BC3CDB"/>
    <w:rsid w:val="00BC409E"/>
    <w:rsid w:val="00BC449F"/>
    <w:rsid w:val="00BC52E2"/>
    <w:rsid w:val="00BC5300"/>
    <w:rsid w:val="00BC5793"/>
    <w:rsid w:val="00BC57AA"/>
    <w:rsid w:val="00BC5B04"/>
    <w:rsid w:val="00BC5DF1"/>
    <w:rsid w:val="00BC5FB4"/>
    <w:rsid w:val="00BC64BF"/>
    <w:rsid w:val="00BC6E20"/>
    <w:rsid w:val="00BC6FAF"/>
    <w:rsid w:val="00BC713E"/>
    <w:rsid w:val="00BC7330"/>
    <w:rsid w:val="00BC74CC"/>
    <w:rsid w:val="00BC7528"/>
    <w:rsid w:val="00BC77A6"/>
    <w:rsid w:val="00BC78FB"/>
    <w:rsid w:val="00BC7D49"/>
    <w:rsid w:val="00BC7ECA"/>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0F9"/>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5DC0"/>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F0C"/>
    <w:rsid w:val="00C12082"/>
    <w:rsid w:val="00C1211F"/>
    <w:rsid w:val="00C132E0"/>
    <w:rsid w:val="00C1373A"/>
    <w:rsid w:val="00C13FE2"/>
    <w:rsid w:val="00C140EB"/>
    <w:rsid w:val="00C1446A"/>
    <w:rsid w:val="00C148BF"/>
    <w:rsid w:val="00C14AC9"/>
    <w:rsid w:val="00C14BDF"/>
    <w:rsid w:val="00C14CF9"/>
    <w:rsid w:val="00C154FE"/>
    <w:rsid w:val="00C162C7"/>
    <w:rsid w:val="00C162EA"/>
    <w:rsid w:val="00C16673"/>
    <w:rsid w:val="00C16AC9"/>
    <w:rsid w:val="00C16C87"/>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69A8"/>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4ED"/>
    <w:rsid w:val="00C805D9"/>
    <w:rsid w:val="00C808AA"/>
    <w:rsid w:val="00C80964"/>
    <w:rsid w:val="00C80A60"/>
    <w:rsid w:val="00C80EEE"/>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6DF"/>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D5A"/>
    <w:rsid w:val="00CA0F9E"/>
    <w:rsid w:val="00CA19E7"/>
    <w:rsid w:val="00CA1E89"/>
    <w:rsid w:val="00CA1F48"/>
    <w:rsid w:val="00CA20A0"/>
    <w:rsid w:val="00CA2339"/>
    <w:rsid w:val="00CA2484"/>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0C4A"/>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032"/>
    <w:rsid w:val="00CC1724"/>
    <w:rsid w:val="00CC182C"/>
    <w:rsid w:val="00CC1A0E"/>
    <w:rsid w:val="00CC1B2A"/>
    <w:rsid w:val="00CC1DF6"/>
    <w:rsid w:val="00CC2284"/>
    <w:rsid w:val="00CC2291"/>
    <w:rsid w:val="00CC254A"/>
    <w:rsid w:val="00CC2A82"/>
    <w:rsid w:val="00CC34DB"/>
    <w:rsid w:val="00CC364F"/>
    <w:rsid w:val="00CC3783"/>
    <w:rsid w:val="00CC38C3"/>
    <w:rsid w:val="00CC3E29"/>
    <w:rsid w:val="00CC4495"/>
    <w:rsid w:val="00CC475F"/>
    <w:rsid w:val="00CC4A7E"/>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53CB"/>
    <w:rsid w:val="00CE55B5"/>
    <w:rsid w:val="00CE5760"/>
    <w:rsid w:val="00CE5DAD"/>
    <w:rsid w:val="00CE5E47"/>
    <w:rsid w:val="00CE60C0"/>
    <w:rsid w:val="00CE614D"/>
    <w:rsid w:val="00CE66F0"/>
    <w:rsid w:val="00CE6E2F"/>
    <w:rsid w:val="00CE7641"/>
    <w:rsid w:val="00CE7C3A"/>
    <w:rsid w:val="00CE7CDB"/>
    <w:rsid w:val="00CE7D18"/>
    <w:rsid w:val="00CF053E"/>
    <w:rsid w:val="00CF061E"/>
    <w:rsid w:val="00CF063E"/>
    <w:rsid w:val="00CF09A2"/>
    <w:rsid w:val="00CF0F4B"/>
    <w:rsid w:val="00CF0FFD"/>
    <w:rsid w:val="00CF1419"/>
    <w:rsid w:val="00CF156E"/>
    <w:rsid w:val="00CF1880"/>
    <w:rsid w:val="00CF1A39"/>
    <w:rsid w:val="00CF1CBB"/>
    <w:rsid w:val="00CF227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CF794A"/>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6DE"/>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D50"/>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4B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A65"/>
    <w:rsid w:val="00D54CBA"/>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4D"/>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1AE"/>
    <w:rsid w:val="00D81386"/>
    <w:rsid w:val="00D81411"/>
    <w:rsid w:val="00D817EC"/>
    <w:rsid w:val="00D81971"/>
    <w:rsid w:val="00D81ACD"/>
    <w:rsid w:val="00D81CD9"/>
    <w:rsid w:val="00D81F86"/>
    <w:rsid w:val="00D81FF7"/>
    <w:rsid w:val="00D82449"/>
    <w:rsid w:val="00D825AE"/>
    <w:rsid w:val="00D8282E"/>
    <w:rsid w:val="00D82C41"/>
    <w:rsid w:val="00D8400B"/>
    <w:rsid w:val="00D8410B"/>
    <w:rsid w:val="00D842A0"/>
    <w:rsid w:val="00D846F4"/>
    <w:rsid w:val="00D848DF"/>
    <w:rsid w:val="00D8496C"/>
    <w:rsid w:val="00D84A4A"/>
    <w:rsid w:val="00D84AFE"/>
    <w:rsid w:val="00D84C40"/>
    <w:rsid w:val="00D8557C"/>
    <w:rsid w:val="00D85987"/>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6E96"/>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650"/>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467"/>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1463"/>
    <w:rsid w:val="00E01738"/>
    <w:rsid w:val="00E01CD0"/>
    <w:rsid w:val="00E01F69"/>
    <w:rsid w:val="00E0222E"/>
    <w:rsid w:val="00E02DA6"/>
    <w:rsid w:val="00E02DCA"/>
    <w:rsid w:val="00E037A4"/>
    <w:rsid w:val="00E0384C"/>
    <w:rsid w:val="00E039B1"/>
    <w:rsid w:val="00E03AFB"/>
    <w:rsid w:val="00E03B12"/>
    <w:rsid w:val="00E03B8A"/>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244"/>
    <w:rsid w:val="00E215B9"/>
    <w:rsid w:val="00E216DE"/>
    <w:rsid w:val="00E22369"/>
    <w:rsid w:val="00E22D7A"/>
    <w:rsid w:val="00E2398E"/>
    <w:rsid w:val="00E23AE3"/>
    <w:rsid w:val="00E23BE1"/>
    <w:rsid w:val="00E23C52"/>
    <w:rsid w:val="00E23CDD"/>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D6B"/>
    <w:rsid w:val="00E45FEB"/>
    <w:rsid w:val="00E461C7"/>
    <w:rsid w:val="00E462B9"/>
    <w:rsid w:val="00E465D6"/>
    <w:rsid w:val="00E46984"/>
    <w:rsid w:val="00E46EEA"/>
    <w:rsid w:val="00E470F8"/>
    <w:rsid w:val="00E4750A"/>
    <w:rsid w:val="00E47B73"/>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DE3"/>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D63"/>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0BF"/>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1C77"/>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2FF7"/>
    <w:rsid w:val="00F9311D"/>
    <w:rsid w:val="00F9381A"/>
    <w:rsid w:val="00F93894"/>
    <w:rsid w:val="00F938F6"/>
    <w:rsid w:val="00F93FD6"/>
    <w:rsid w:val="00F945B3"/>
    <w:rsid w:val="00F945DF"/>
    <w:rsid w:val="00F94DDD"/>
    <w:rsid w:val="00F9573E"/>
    <w:rsid w:val="00F95AFA"/>
    <w:rsid w:val="00F95B78"/>
    <w:rsid w:val="00F95F39"/>
    <w:rsid w:val="00F96058"/>
    <w:rsid w:val="00F962A0"/>
    <w:rsid w:val="00F9712B"/>
    <w:rsid w:val="00F979E4"/>
    <w:rsid w:val="00F97AD6"/>
    <w:rsid w:val="00FA01A7"/>
    <w:rsid w:val="00FA0E54"/>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992"/>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1E"/>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840"/>
    <w:rsid w:val="00FE1B64"/>
    <w:rsid w:val="00FE1D81"/>
    <w:rsid w:val="00FE2077"/>
    <w:rsid w:val="00FE27AA"/>
    <w:rsid w:val="00FE2A98"/>
    <w:rsid w:val="00FE2BAB"/>
    <w:rsid w:val="00FE2C57"/>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47A"/>
    <w:rsid w:val="00FE6C06"/>
    <w:rsid w:val="00FE7129"/>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 w:type="character" w:customStyle="1" w:styleId="A7">
    <w:name w:val="A7"/>
    <w:basedOn w:val="DefaultParagraphFont"/>
    <w:uiPriority w:val="99"/>
    <w:rsid w:val="000C515A"/>
    <w:rPr>
      <w:rFonts w:ascii="Gotham Book" w:hAnsi="Gotham Book" w:hint="default"/>
      <w:color w:val="000000"/>
    </w:rPr>
  </w:style>
  <w:style w:type="paragraph" w:styleId="Revision">
    <w:name w:val="Revision"/>
    <w:hidden/>
    <w:uiPriority w:val="99"/>
    <w:semiHidden/>
    <w:rsid w:val="0059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423887990">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260943184">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769305583">
      <w:bodyDiv w:val="1"/>
      <w:marLeft w:val="0"/>
      <w:marRight w:val="0"/>
      <w:marTop w:val="0"/>
      <w:marBottom w:val="0"/>
      <w:divBdr>
        <w:top w:val="none" w:sz="0" w:space="0" w:color="auto"/>
        <w:left w:val="none" w:sz="0" w:space="0" w:color="auto"/>
        <w:bottom w:val="none" w:sz="0" w:space="0" w:color="auto"/>
        <w:right w:val="none" w:sz="0" w:space="0" w:color="auto"/>
      </w:divBdr>
    </w:div>
    <w:div w:id="1796866985">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css_rmq_bps103024fm.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bps_css_rmq_bps112024w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esb.org/pdf4/weq_bps_css_rmq_bps112024a1.docx" TargetMode="External"/><Relationship Id="rId4" Type="http://schemas.openxmlformats.org/officeDocument/2006/relationships/settings" Target="settings.xml"/><Relationship Id="rId9" Type="http://schemas.openxmlformats.org/officeDocument/2006/relationships/hyperlink" Target="https://naesb.org/pdf4/weq_bps_css_rmq_bps112024w1.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8589</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Caroline Trum</cp:lastModifiedBy>
  <cp:revision>5</cp:revision>
  <cp:lastPrinted>2012-04-04T10:38:00Z</cp:lastPrinted>
  <dcterms:created xsi:type="dcterms:W3CDTF">2024-11-21T20:54:00Z</dcterms:created>
  <dcterms:modified xsi:type="dcterms:W3CDTF">2024-11-22T21:04:00Z</dcterms:modified>
</cp:coreProperties>
</file>