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54F74" w14:textId="77777777" w:rsidR="00F504E0" w:rsidRPr="00F504E0" w:rsidRDefault="00F504E0" w:rsidP="00F504E0">
      <w:pPr>
        <w:pStyle w:val="ListBullet"/>
        <w:numPr>
          <w:ilvl w:val="0"/>
          <w:numId w:val="0"/>
        </w:numPr>
        <w:spacing w:before="120" w:after="120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F504E0">
        <w:rPr>
          <w:rFonts w:ascii="Times New Roman" w:hAnsi="Times New Roman"/>
          <w:sz w:val="28"/>
          <w:szCs w:val="28"/>
        </w:rPr>
        <w:t>Use Case Data Usage Description</w:t>
      </w:r>
    </w:p>
    <w:p w14:paraId="25E5C53F" w14:textId="2A80654D" w:rsidR="00F504E0" w:rsidRPr="00F504E0" w:rsidRDefault="00F504E0" w:rsidP="00F504E0">
      <w:pPr>
        <w:pStyle w:val="ListBullet"/>
        <w:numPr>
          <w:ilvl w:val="0"/>
          <w:numId w:val="0"/>
        </w:numPr>
        <w:spacing w:before="120" w:after="120"/>
        <w:ind w:left="360" w:hanging="360"/>
        <w:rPr>
          <w:rFonts w:ascii="Times New Roman" w:hAnsi="Times New Roman"/>
          <w:sz w:val="20"/>
          <w:szCs w:val="20"/>
          <w:u w:val="single"/>
        </w:rPr>
      </w:pPr>
      <w:r w:rsidRPr="00F504E0">
        <w:rPr>
          <w:rFonts w:ascii="Times New Roman" w:hAnsi="Times New Roman"/>
          <w:sz w:val="20"/>
          <w:szCs w:val="20"/>
          <w:u w:val="single"/>
        </w:rPr>
        <w:t xml:space="preserve">1. </w:t>
      </w:r>
      <w:r w:rsidRPr="00F504E0">
        <w:rPr>
          <w:rFonts w:ascii="Times New Roman" w:hAnsi="Times New Roman"/>
          <w:sz w:val="20"/>
          <w:szCs w:val="20"/>
          <w:u w:val="single"/>
        </w:rPr>
        <w:t xml:space="preserve">Registration for the resource aggregation from the ISO/RTO perspective </w:t>
      </w:r>
    </w:p>
    <w:p w14:paraId="7ACCCCE3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>
        <w:rPr>
          <w:szCs w:val="20"/>
        </w:rPr>
        <w:t>DER Aggregation ID</w:t>
      </w:r>
    </w:p>
    <w:p w14:paraId="1DDD19DA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Locational information</w:t>
      </w:r>
    </w:p>
    <w:p w14:paraId="46357D90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Geographic location</w:t>
      </w:r>
    </w:p>
    <w:p w14:paraId="0D1ECE17" w14:textId="77777777" w:rsidR="00F504E0" w:rsidRPr="00A14DC7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 xml:space="preserve">Longitude and latitude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offshore wind)</w:t>
      </w:r>
    </w:p>
    <w:p w14:paraId="71D4F47C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 xml:space="preserve">Street name and number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11B438BA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 xml:space="preserve">City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49F0FED4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State (required)</w:t>
      </w:r>
    </w:p>
    <w:p w14:paraId="3D6CDAE4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County</w:t>
      </w:r>
    </w:p>
    <w:p w14:paraId="1416286F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Country (required)</w:t>
      </w:r>
    </w:p>
    <w:p w14:paraId="3119E85E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Province (required)</w:t>
      </w:r>
    </w:p>
    <w:p w14:paraId="49F420E9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Apartment number</w:t>
      </w:r>
    </w:p>
    <w:p w14:paraId="359F5E6A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Zonal information (network)</w:t>
      </w:r>
    </w:p>
    <w:p w14:paraId="3DF5E532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Load zone</w:t>
      </w:r>
    </w:p>
    <w:p w14:paraId="1D667D18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Load aggregation point</w:t>
      </w:r>
    </w:p>
    <w:p w14:paraId="7FD9B198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Reserve zone</w:t>
      </w:r>
    </w:p>
    <w:p w14:paraId="5D7F170B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Capacity zone</w:t>
      </w:r>
    </w:p>
    <w:p w14:paraId="6FA3E087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Market nodal information (p-node) (may or may not be a single p-node)</w:t>
      </w:r>
    </w:p>
    <w:p w14:paraId="7CE98B95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Default distribution factors (for multi-nodal DER aggregations)</w:t>
      </w:r>
    </w:p>
    <w:p w14:paraId="269CCCBD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Electrical nodal information (e-node aka service points (RTO/ISO point of interconnection)</w:t>
      </w:r>
    </w:p>
    <w:p w14:paraId="68674101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 xml:space="preserve">Distribution Utility </w:t>
      </w:r>
    </w:p>
    <w:p w14:paraId="5C35B51A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Energy Authority (relevant electric retail regulatory authority)</w:t>
      </w:r>
    </w:p>
    <w:p w14:paraId="13719C50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Load Serving Entity</w:t>
      </w:r>
    </w:p>
    <w:p w14:paraId="088651D4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Market Participant/Aggregator Name</w:t>
      </w:r>
    </w:p>
    <w:p w14:paraId="23FDDE4D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Metering agent</w:t>
      </w:r>
    </w:p>
    <w:p w14:paraId="5D45F0DC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 xml:space="preserve">Balancing Area </w:t>
      </w:r>
    </w:p>
    <w:p w14:paraId="5F360D4C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Pseudo-ties/dynamic schedules</w:t>
      </w:r>
    </w:p>
    <w:p w14:paraId="37A91399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Service location (maybe point of interconnection?)</w:t>
      </w:r>
    </w:p>
    <w:p w14:paraId="6C619924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Customer account</w:t>
      </w:r>
    </w:p>
    <w:p w14:paraId="773CDBA2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Service delivery point</w:t>
      </w:r>
    </w:p>
    <w:p w14:paraId="74C2C2DF" w14:textId="77777777" w:rsidR="00F504E0" w:rsidRDefault="00F504E0" w:rsidP="00F504E0">
      <w:pPr>
        <w:pStyle w:val="ListParagraph"/>
        <w:numPr>
          <w:ilvl w:val="0"/>
          <w:numId w:val="3"/>
        </w:numPr>
        <w:spacing w:before="120" w:after="120"/>
        <w:rPr>
          <w:szCs w:val="20"/>
        </w:rPr>
      </w:pPr>
      <w:r>
        <w:rPr>
          <w:szCs w:val="20"/>
        </w:rPr>
        <w:t>Attestation/certificates (to avoid double counting)</w:t>
      </w:r>
    </w:p>
    <w:p w14:paraId="6EBAC9F0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Double counting</w:t>
      </w:r>
    </w:p>
    <w:p w14:paraId="0EE1EFCE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Distribution utility/load serving entity attestation</w:t>
      </w:r>
    </w:p>
    <w:p w14:paraId="0CB96FCE" w14:textId="77777777" w:rsidR="00F504E0" w:rsidRDefault="00F504E0" w:rsidP="00F504E0">
      <w:pPr>
        <w:pStyle w:val="ListParagraph"/>
        <w:numPr>
          <w:ilvl w:val="1"/>
          <w:numId w:val="3"/>
        </w:numPr>
        <w:spacing w:before="120" w:after="120"/>
        <w:rPr>
          <w:szCs w:val="20"/>
        </w:rPr>
      </w:pPr>
      <w:r>
        <w:rPr>
          <w:szCs w:val="20"/>
        </w:rPr>
        <w:t>Relevant electric retail regulatory authority permission</w:t>
      </w:r>
    </w:p>
    <w:p w14:paraId="4102EDA1" w14:textId="77777777" w:rsidR="00F504E0" w:rsidRPr="00BA652B" w:rsidRDefault="00F504E0" w:rsidP="00F504E0">
      <w:pPr>
        <w:pStyle w:val="ListParagraph"/>
        <w:spacing w:before="120" w:after="120"/>
        <w:ind w:left="1440"/>
        <w:rPr>
          <w:szCs w:val="20"/>
        </w:rPr>
      </w:pPr>
    </w:p>
    <w:p w14:paraId="28631162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 xml:space="preserve">Operational characteristics of </w:t>
      </w:r>
      <w:r>
        <w:rPr>
          <w:szCs w:val="20"/>
        </w:rPr>
        <w:t>the</w:t>
      </w:r>
      <w:r w:rsidRPr="00BA652B">
        <w:rPr>
          <w:szCs w:val="20"/>
        </w:rPr>
        <w:t xml:space="preserve"> aggregation</w:t>
      </w:r>
    </w:p>
    <w:p w14:paraId="7B9E928C" w14:textId="77777777" w:rsidR="00F504E0" w:rsidRP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Nameplate capacity in megawatts </w:t>
      </w:r>
    </w:p>
    <w:p w14:paraId="0D68FCA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Ramp rate</w:t>
      </w:r>
    </w:p>
    <w:p w14:paraId="0FB2170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Response time </w:t>
      </w:r>
    </w:p>
    <w:p w14:paraId="3E2AE28E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Maximum run time</w:t>
      </w:r>
    </w:p>
    <w:p w14:paraId="0E42281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Minimum run time</w:t>
      </w:r>
    </w:p>
    <w:p w14:paraId="1B08F7A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DER aggregation type (homogeneous or heterogeneous)</w:t>
      </w:r>
    </w:p>
    <w:p w14:paraId="4210F6A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Dispatchable energy resource (yes/no)</w:t>
      </w:r>
    </w:p>
    <w:p w14:paraId="1FD3B86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Ability to reverse direction (supply vs. demand switching)</w:t>
      </w:r>
    </w:p>
    <w:p w14:paraId="1856A07D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Voltage control (yes/no; volt-r) – see NERC guidance</w:t>
      </w:r>
    </w:p>
    <w:p w14:paraId="4E57970D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Frequency control – see NERC guidance</w:t>
      </w:r>
    </w:p>
    <w:p w14:paraId="114ABE0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Inertial control – need SME input</w:t>
      </w:r>
    </w:p>
    <w:p w14:paraId="7B696A2F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Feeder voltage – need SME input</w:t>
      </w:r>
    </w:p>
    <w:p w14:paraId="161B842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Reactive support – need SME input</w:t>
      </w:r>
    </w:p>
    <w:p w14:paraId="38A8FE5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Total energy capacity/maximum state of charge (megawatt hours or kilowatt hours)</w:t>
      </w:r>
    </w:p>
    <w:p w14:paraId="46314DD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Market product eligibility (capacity, energy, regulation, etc.)</w:t>
      </w:r>
    </w:p>
    <w:p w14:paraId="6C83A723" w14:textId="77777777" w:rsidR="00F504E0" w:rsidRDefault="00F504E0" w:rsidP="00F504E0">
      <w:pPr>
        <w:pStyle w:val="ListParagraph"/>
        <w:spacing w:before="120" w:after="120"/>
        <w:ind w:left="1440"/>
        <w:rPr>
          <w:szCs w:val="20"/>
        </w:rPr>
      </w:pPr>
    </w:p>
    <w:p w14:paraId="11AFE3DA" w14:textId="77777777" w:rsidR="00F504E0" w:rsidRDefault="00F504E0" w:rsidP="00F504E0">
      <w:pPr>
        <w:pStyle w:val="ListParagraph"/>
        <w:spacing w:before="120" w:after="120"/>
        <w:ind w:left="1440"/>
        <w:rPr>
          <w:szCs w:val="20"/>
        </w:rPr>
      </w:pPr>
    </w:p>
    <w:p w14:paraId="23C4D8AC" w14:textId="77777777" w:rsidR="00F504E0" w:rsidRPr="00C61114" w:rsidRDefault="00F504E0" w:rsidP="00F504E0">
      <w:pPr>
        <w:spacing w:before="120" w:after="120"/>
        <w:ind w:left="720"/>
        <w:rPr>
          <w:szCs w:val="20"/>
        </w:rPr>
      </w:pPr>
      <w:r>
        <w:rPr>
          <w:szCs w:val="20"/>
        </w:rPr>
        <w:lastRenderedPageBreak/>
        <w:t>Are these needed in a registry?</w:t>
      </w:r>
    </w:p>
    <w:p w14:paraId="51B8F3F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Telemetry infrastructure to communicate operational characteristics </w:t>
      </w:r>
    </w:p>
    <w:p w14:paraId="3F74D88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Metering infrastructure (RMQ metering standards applicability – R. </w:t>
      </w:r>
      <w:proofErr w:type="spellStart"/>
      <w:r>
        <w:rPr>
          <w:szCs w:val="20"/>
        </w:rPr>
        <w:t>Berdahl</w:t>
      </w:r>
      <w:proofErr w:type="spellEnd"/>
      <w:r>
        <w:rPr>
          <w:szCs w:val="20"/>
        </w:rPr>
        <w:t>)</w:t>
      </w:r>
    </w:p>
    <w:p w14:paraId="00A4501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Efficiency rating</w:t>
      </w:r>
    </w:p>
    <w:p w14:paraId="3AA09AE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technology</w:t>
      </w:r>
    </w:p>
    <w:p w14:paraId="3E628980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performance over time</w:t>
      </w:r>
    </w:p>
    <w:p w14:paraId="6541B7AF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Solar panel performance over time</w:t>
      </w:r>
    </w:p>
    <w:p w14:paraId="253099A8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Manufacturer of DER</w:t>
      </w:r>
    </w:p>
    <w:p w14:paraId="548376C8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Types of communication protocols supported</w:t>
      </w:r>
    </w:p>
    <w:p w14:paraId="5270ABB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Operating status</w:t>
      </w:r>
    </w:p>
    <w:p w14:paraId="4777D216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Known/planned outages or maintenance </w:t>
      </w:r>
    </w:p>
    <w:p w14:paraId="5AC36A96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Duration of outage or maintenance </w:t>
      </w:r>
    </w:p>
    <w:p w14:paraId="15DCD91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Start/end time of outage or maintenance </w:t>
      </w:r>
    </w:p>
    <w:p w14:paraId="5481A7C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Mobility flag</w:t>
      </w:r>
    </w:p>
    <w:p w14:paraId="0D0DE492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Single phase/three-phase fault indicators </w:t>
      </w:r>
    </w:p>
    <w:p w14:paraId="69066AC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Loss of line faults (transformer configuration)</w:t>
      </w:r>
    </w:p>
    <w:p w14:paraId="363A9DBF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Weatherization applications</w:t>
      </w:r>
    </w:p>
    <w:p w14:paraId="01C2793D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Designated dispatch entity </w:t>
      </w:r>
    </w:p>
    <w:p w14:paraId="1CB1CC4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Joint ownership/JOU operations</w:t>
      </w:r>
    </w:p>
    <w:p w14:paraId="6BF5FB8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Nominal amperage/voltage</w:t>
      </w:r>
    </w:p>
    <w:p w14:paraId="56BF9567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(Review NERC materials to be provided by R. </w:t>
      </w:r>
      <w:proofErr w:type="spellStart"/>
      <w:r>
        <w:rPr>
          <w:szCs w:val="20"/>
        </w:rPr>
        <w:t>Berdahl</w:t>
      </w:r>
      <w:proofErr w:type="spellEnd"/>
      <w:r>
        <w:rPr>
          <w:szCs w:val="20"/>
        </w:rPr>
        <w:t xml:space="preserve"> for additional potential characteristics)</w:t>
      </w:r>
    </w:p>
    <w:p w14:paraId="0ED37A25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Heat rate – need more input, possibly market monitoring </w:t>
      </w:r>
    </w:p>
    <w:p w14:paraId="62019C3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Transient ability limits – need SME input </w:t>
      </w:r>
    </w:p>
    <w:p w14:paraId="72D3658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1456BA">
        <w:rPr>
          <w:szCs w:val="20"/>
        </w:rPr>
        <w:t>Number of resources in the aggregation</w:t>
      </w:r>
    </w:p>
    <w:p w14:paraId="32EA49E0" w14:textId="77777777" w:rsidR="00F504E0" w:rsidRPr="001456BA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1456BA">
        <w:rPr>
          <w:szCs w:val="20"/>
        </w:rPr>
        <w:t>Types of resources in the aggregation</w:t>
      </w:r>
    </w:p>
    <w:p w14:paraId="48A93445" w14:textId="53764202" w:rsidR="00F504E0" w:rsidRPr="00F504E0" w:rsidRDefault="00F504E0" w:rsidP="00F504E0">
      <w:pPr>
        <w:pStyle w:val="ListBullet"/>
        <w:numPr>
          <w:ilvl w:val="0"/>
          <w:numId w:val="0"/>
        </w:numPr>
        <w:spacing w:before="120" w:after="120"/>
        <w:rPr>
          <w:rFonts w:ascii="Times New Roman" w:hAnsi="Times New Roman"/>
          <w:sz w:val="20"/>
          <w:szCs w:val="20"/>
          <w:u w:val="single"/>
        </w:rPr>
      </w:pPr>
      <w:r w:rsidRPr="00F504E0">
        <w:rPr>
          <w:rFonts w:ascii="Times New Roman" w:hAnsi="Times New Roman"/>
          <w:sz w:val="20"/>
          <w:szCs w:val="20"/>
          <w:u w:val="single"/>
        </w:rPr>
        <w:t>2. R</w:t>
      </w:r>
      <w:r w:rsidRPr="00F504E0">
        <w:rPr>
          <w:rFonts w:ascii="Times New Roman" w:hAnsi="Times New Roman"/>
          <w:sz w:val="20"/>
          <w:szCs w:val="20"/>
          <w:u w:val="single"/>
        </w:rPr>
        <w:t xml:space="preserve">egistration for the individual resource from the ISO/RTO perspective </w:t>
      </w:r>
    </w:p>
    <w:p w14:paraId="1E472970" w14:textId="77777777" w:rsidR="00F504E0" w:rsidRPr="0046450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>
        <w:rPr>
          <w:szCs w:val="20"/>
        </w:rPr>
        <w:t>DER ID</w:t>
      </w:r>
    </w:p>
    <w:p w14:paraId="2B0D7685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Locational information</w:t>
      </w:r>
    </w:p>
    <w:p w14:paraId="3E889512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Geographic location</w:t>
      </w:r>
    </w:p>
    <w:p w14:paraId="18CBBBB1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Longitude and latitude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offshore wind)</w:t>
      </w:r>
    </w:p>
    <w:p w14:paraId="5AEC3B35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Street name and number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33A84C27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City (conditionally required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land-based facilities)</w:t>
      </w:r>
    </w:p>
    <w:p w14:paraId="5A7E3D39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State (required)</w:t>
      </w:r>
    </w:p>
    <w:p w14:paraId="37FF915E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County</w:t>
      </w:r>
    </w:p>
    <w:p w14:paraId="62789EEF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Country (required)</w:t>
      </w:r>
    </w:p>
    <w:p w14:paraId="48762438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Province (required)</w:t>
      </w:r>
    </w:p>
    <w:p w14:paraId="775859AC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Apartment number</w:t>
      </w:r>
    </w:p>
    <w:p w14:paraId="137519D1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Zonal information</w:t>
      </w:r>
    </w:p>
    <w:p w14:paraId="0E6C23FF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Load zone</w:t>
      </w:r>
    </w:p>
    <w:p w14:paraId="65ADA289" w14:textId="77777777" w:rsidR="00F504E0" w:rsidRPr="00F71C7C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 w:rsidRPr="00F71C7C">
        <w:rPr>
          <w:szCs w:val="20"/>
        </w:rPr>
        <w:t>Reserve zone</w:t>
      </w:r>
    </w:p>
    <w:p w14:paraId="514144C0" w14:textId="77777777" w:rsidR="00F504E0" w:rsidRPr="00F71C7C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 w:rsidRPr="00F71C7C">
        <w:rPr>
          <w:szCs w:val="20"/>
        </w:rPr>
        <w:t>Capacity zone</w:t>
      </w:r>
    </w:p>
    <w:p w14:paraId="4FF75191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Market nodal information (p-node)</w:t>
      </w:r>
    </w:p>
    <w:p w14:paraId="5E00FD05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Electrical nodal information (e-node aka service points)</w:t>
      </w:r>
    </w:p>
    <w:p w14:paraId="66F77E62" w14:textId="77777777" w:rsidR="00F504E0" w:rsidRPr="001F04E9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Meter information</w:t>
      </w:r>
    </w:p>
    <w:p w14:paraId="3FB86013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Substation</w:t>
      </w:r>
    </w:p>
    <w:p w14:paraId="1F4A9704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Feeder/circuit</w:t>
      </w:r>
    </w:p>
    <w:p w14:paraId="0B902D54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Phase information</w:t>
      </w:r>
    </w:p>
    <w:p w14:paraId="35279DD3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further details needed from SME</w:t>
      </w:r>
    </w:p>
    <w:p w14:paraId="4BDE64DE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Distribution Utility </w:t>
      </w:r>
    </w:p>
    <w:p w14:paraId="2DD081D9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Energy Authority (relevant retail electric regulatory authority)</w:t>
      </w:r>
    </w:p>
    <w:p w14:paraId="33123C92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Load Serving Entity</w:t>
      </w:r>
    </w:p>
    <w:p w14:paraId="5DAA859A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 xml:space="preserve">Balancing Area </w:t>
      </w:r>
    </w:p>
    <w:p w14:paraId="71D4599B" w14:textId="77777777" w:rsidR="00F504E0" w:rsidRDefault="00F504E0" w:rsidP="00F504E0">
      <w:pPr>
        <w:pStyle w:val="ListParagraph"/>
        <w:numPr>
          <w:ilvl w:val="1"/>
          <w:numId w:val="4"/>
        </w:numPr>
        <w:spacing w:before="120" w:after="120"/>
        <w:rPr>
          <w:szCs w:val="20"/>
        </w:rPr>
      </w:pPr>
      <w:r>
        <w:rPr>
          <w:szCs w:val="20"/>
        </w:rPr>
        <w:t>Service location</w:t>
      </w:r>
    </w:p>
    <w:p w14:paraId="7A7E8864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Customer account</w:t>
      </w:r>
    </w:p>
    <w:p w14:paraId="6343528C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lastRenderedPageBreak/>
        <w:t>Service delivery point</w:t>
      </w:r>
    </w:p>
    <w:p w14:paraId="28C2A631" w14:textId="77777777" w:rsidR="00F504E0" w:rsidRDefault="00F504E0" w:rsidP="00F504E0">
      <w:pPr>
        <w:pStyle w:val="ListParagraph"/>
        <w:numPr>
          <w:ilvl w:val="2"/>
          <w:numId w:val="4"/>
        </w:numPr>
        <w:spacing w:before="120" w:after="120"/>
        <w:rPr>
          <w:szCs w:val="20"/>
        </w:rPr>
      </w:pPr>
      <w:r>
        <w:rPr>
          <w:szCs w:val="20"/>
        </w:rPr>
        <w:t>Retail rate (net metering, dynamic pricing, etc.)</w:t>
      </w:r>
    </w:p>
    <w:p w14:paraId="4E6E7DC4" w14:textId="77777777" w:rsidR="00F504E0" w:rsidRPr="00BA652B" w:rsidRDefault="00F504E0" w:rsidP="00F504E0">
      <w:pPr>
        <w:pStyle w:val="ListParagraph"/>
        <w:spacing w:before="120" w:after="120"/>
        <w:ind w:left="1440"/>
        <w:rPr>
          <w:szCs w:val="20"/>
        </w:rPr>
      </w:pPr>
    </w:p>
    <w:p w14:paraId="7FDBAB7B" w14:textId="77777777" w:rsidR="00F504E0" w:rsidRDefault="00F504E0" w:rsidP="00F504E0">
      <w:pPr>
        <w:pStyle w:val="ListParagraph"/>
        <w:numPr>
          <w:ilvl w:val="0"/>
          <w:numId w:val="1"/>
        </w:numPr>
        <w:spacing w:before="120" w:after="120"/>
        <w:rPr>
          <w:szCs w:val="20"/>
        </w:rPr>
      </w:pPr>
      <w:r w:rsidRPr="00BA652B">
        <w:rPr>
          <w:szCs w:val="20"/>
        </w:rPr>
        <w:t>Operational characteristics of resources comprising aggregation</w:t>
      </w:r>
    </w:p>
    <w:p w14:paraId="294E8160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Nameplate capacity of a DER (in megawatts or kilowatts)</w:t>
      </w:r>
    </w:p>
    <w:p w14:paraId="43C604B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Ramp rate</w:t>
      </w:r>
    </w:p>
    <w:p w14:paraId="1EB0775E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Response time </w:t>
      </w:r>
    </w:p>
    <w:p w14:paraId="72E0072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Maximum run time</w:t>
      </w:r>
    </w:p>
    <w:p w14:paraId="177FFB67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Minimum run time</w:t>
      </w:r>
    </w:p>
    <w:p w14:paraId="23DC5EC9" w14:textId="77777777" w:rsidR="00F504E0" w:rsidRPr="00BE764B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DER type</w:t>
      </w:r>
    </w:p>
    <w:p w14:paraId="582CF99E" w14:textId="77777777" w:rsidR="00F504E0" w:rsidRPr="00BE764B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BE764B">
        <w:rPr>
          <w:szCs w:val="20"/>
        </w:rPr>
        <w:t>Known operational constraints (</w:t>
      </w:r>
      <w:proofErr w:type="gramStart"/>
      <w:r w:rsidRPr="00BE764B">
        <w:rPr>
          <w:szCs w:val="20"/>
        </w:rPr>
        <w:t>i.e.</w:t>
      </w:r>
      <w:proofErr w:type="gramEnd"/>
      <w:r w:rsidRPr="00BE764B">
        <w:rPr>
          <w:szCs w:val="20"/>
        </w:rPr>
        <w:t xml:space="preserve"> analogue to permitting restrictions, environmental restrictions, contractual limit on when individual DER in aggregation can be dispatched)</w:t>
      </w:r>
    </w:p>
    <w:p w14:paraId="50710FDE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>Time delay to initiate response (start time)</w:t>
      </w:r>
    </w:p>
    <w:p w14:paraId="1C7A9FF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Dispatchable energy resource (yes/no)</w:t>
      </w:r>
    </w:p>
    <w:p w14:paraId="27570120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Ability to reverse direction (supply vs. demand switching)</w:t>
      </w:r>
    </w:p>
    <w:p w14:paraId="4FD2E5E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Voltage control (yes/no; volt-r) – see NERC guidance</w:t>
      </w:r>
    </w:p>
    <w:p w14:paraId="68CB322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Ride through capability (yes/no)</w:t>
      </w:r>
    </w:p>
    <w:p w14:paraId="5650BEF7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Frequency control – see NERC guidance</w:t>
      </w:r>
    </w:p>
    <w:p w14:paraId="72BAE2A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Inertial control – need SME input</w:t>
      </w:r>
    </w:p>
    <w:p w14:paraId="0696AB4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Feeder voltage – need SME input</w:t>
      </w:r>
    </w:p>
    <w:p w14:paraId="5D350DF8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Reactive support – need SME input</w:t>
      </w:r>
    </w:p>
    <w:p w14:paraId="5765BAC2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>Sensitivity to ambient weather conditions</w:t>
      </w:r>
    </w:p>
    <w:p w14:paraId="74BA923E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Relevant weather station id </w:t>
      </w:r>
    </w:p>
    <w:p w14:paraId="348958B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Total energy capacity/maximum state of charge (megawatt hours or kilowatt hours)</w:t>
      </w:r>
    </w:p>
    <w:p w14:paraId="141C8E6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Telemetry infrastructure to communicate operational characteristics </w:t>
      </w:r>
    </w:p>
    <w:p w14:paraId="268F511F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Metering infrastructure (RMQ metering standards applicability – R. </w:t>
      </w:r>
      <w:proofErr w:type="spellStart"/>
      <w:r>
        <w:rPr>
          <w:szCs w:val="20"/>
        </w:rPr>
        <w:t>Berdahl</w:t>
      </w:r>
      <w:proofErr w:type="spellEnd"/>
      <w:r>
        <w:rPr>
          <w:szCs w:val="20"/>
        </w:rPr>
        <w:t>)</w:t>
      </w:r>
    </w:p>
    <w:p w14:paraId="6327CDF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Efficiency rating</w:t>
      </w:r>
    </w:p>
    <w:p w14:paraId="0915E71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technology</w:t>
      </w:r>
    </w:p>
    <w:p w14:paraId="284FD73E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Battery performance over time</w:t>
      </w:r>
    </w:p>
    <w:p w14:paraId="1A01369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Solar panel performance over time</w:t>
      </w:r>
    </w:p>
    <w:p w14:paraId="3B985397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Manufacturer of DER</w:t>
      </w:r>
    </w:p>
    <w:p w14:paraId="5DCB90AF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Types of communication protocols supported</w:t>
      </w:r>
    </w:p>
    <w:p w14:paraId="657A78B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Applicable operating status conditions</w:t>
      </w:r>
    </w:p>
    <w:p w14:paraId="26750674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Mobility flag</w:t>
      </w:r>
    </w:p>
    <w:p w14:paraId="7285560C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Single phase/three-phase fault indicators </w:t>
      </w:r>
    </w:p>
    <w:p w14:paraId="0042F643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Loss of line faults (transformer configuration)</w:t>
      </w:r>
    </w:p>
    <w:p w14:paraId="23EE0B09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Weatherization applications</w:t>
      </w:r>
    </w:p>
    <w:p w14:paraId="7E2A0F91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Joint ownership/JOU operations</w:t>
      </w:r>
    </w:p>
    <w:p w14:paraId="2EA417DA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>Nominal amperage/voltage</w:t>
      </w:r>
    </w:p>
    <w:p w14:paraId="6833C881" w14:textId="77777777" w:rsidR="00F504E0" w:rsidRPr="00BA652B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(Review NERC materials to be provided by R. </w:t>
      </w:r>
      <w:proofErr w:type="spellStart"/>
      <w:r>
        <w:rPr>
          <w:szCs w:val="20"/>
        </w:rPr>
        <w:t>Berdahl</w:t>
      </w:r>
      <w:proofErr w:type="spellEnd"/>
      <w:r>
        <w:rPr>
          <w:szCs w:val="20"/>
        </w:rPr>
        <w:t xml:space="preserve"> for additional potential characteristics)</w:t>
      </w:r>
    </w:p>
    <w:p w14:paraId="259FF38D" w14:textId="77777777" w:rsidR="00F504E0" w:rsidRDefault="00F504E0" w:rsidP="00F504E0">
      <w:pPr>
        <w:pStyle w:val="ListBullet"/>
        <w:numPr>
          <w:ilvl w:val="0"/>
          <w:numId w:val="0"/>
        </w:numPr>
        <w:spacing w:before="120" w:after="120"/>
        <w:ind w:left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Are these needed in a registry?</w:t>
      </w:r>
    </w:p>
    <w:p w14:paraId="044F3747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 xml:space="preserve">Forecast weather data </w:t>
      </w:r>
    </w:p>
    <w:p w14:paraId="6E08441B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>Actual weather data</w:t>
      </w:r>
    </w:p>
    <w:p w14:paraId="4E29AB2E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>Distribution level data</w:t>
      </w:r>
    </w:p>
    <w:p w14:paraId="2F98E8CA" w14:textId="77777777" w:rsidR="00F504E0" w:rsidRPr="00D35A33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 w:rsidRPr="00D35A33">
        <w:rPr>
          <w:szCs w:val="20"/>
        </w:rPr>
        <w:t>Interconnection data</w:t>
      </w:r>
    </w:p>
    <w:p w14:paraId="18276880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Known/planned outages or maintenance </w:t>
      </w:r>
    </w:p>
    <w:p w14:paraId="3AE0A52E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Duration of outage or maintenance </w:t>
      </w:r>
    </w:p>
    <w:p w14:paraId="572DB5C5" w14:textId="77777777" w:rsidR="00F504E0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Start/end time of outage or maintenance </w:t>
      </w:r>
    </w:p>
    <w:p w14:paraId="0FA31B2A" w14:textId="77777777" w:rsidR="00F504E0" w:rsidRPr="00F26715" w:rsidRDefault="00F504E0" w:rsidP="00F504E0">
      <w:pPr>
        <w:pStyle w:val="ListParagraph"/>
        <w:numPr>
          <w:ilvl w:val="1"/>
          <w:numId w:val="1"/>
        </w:numPr>
        <w:spacing w:before="120" w:after="120"/>
        <w:rPr>
          <w:szCs w:val="20"/>
        </w:rPr>
      </w:pPr>
      <w:r>
        <w:rPr>
          <w:szCs w:val="20"/>
        </w:rPr>
        <w:t xml:space="preserve">Designated dispatch entity </w:t>
      </w:r>
    </w:p>
    <w:p w14:paraId="7F55D081" w14:textId="77777777" w:rsidR="00F504E0" w:rsidRPr="00815007" w:rsidRDefault="00F504E0" w:rsidP="00F504E0">
      <w:pPr>
        <w:pStyle w:val="ListBullet"/>
        <w:numPr>
          <w:ilvl w:val="0"/>
          <w:numId w:val="0"/>
        </w:numPr>
        <w:spacing w:before="120" w:after="120"/>
        <w:ind w:left="360"/>
        <w:rPr>
          <w:rFonts w:ascii="Times New Roman" w:hAnsi="Times New Roman"/>
          <w:sz w:val="20"/>
          <w:szCs w:val="20"/>
        </w:rPr>
      </w:pPr>
    </w:p>
    <w:p w14:paraId="1E483AA7" w14:textId="77777777" w:rsidR="00DC3277" w:rsidRDefault="00DC3277"/>
    <w:sectPr w:rsidR="00DC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B041C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9F044B"/>
    <w:multiLevelType w:val="hybridMultilevel"/>
    <w:tmpl w:val="A9141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F3D31"/>
    <w:multiLevelType w:val="hybridMultilevel"/>
    <w:tmpl w:val="A0DE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52DBA"/>
    <w:multiLevelType w:val="hybridMultilevel"/>
    <w:tmpl w:val="E7D0C7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4E0"/>
    <w:rsid w:val="00476D57"/>
    <w:rsid w:val="00522174"/>
    <w:rsid w:val="00DC3277"/>
    <w:rsid w:val="00F5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F271"/>
  <w15:chartTrackingRefBased/>
  <w15:docId w15:val="{520035C0-7EC4-42EB-8E52-E95203CA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paragraph" w:styleId="ListParagraph">
    <w:name w:val="List Paragraph"/>
    <w:basedOn w:val="Normal"/>
    <w:uiPriority w:val="34"/>
    <w:qFormat/>
    <w:rsid w:val="00F504E0"/>
    <w:pPr>
      <w:ind w:left="720"/>
      <w:contextualSpacing/>
    </w:pPr>
  </w:style>
  <w:style w:type="paragraph" w:styleId="ListBullet">
    <w:name w:val="List Bullet"/>
    <w:aliases w:val="ListBul 1"/>
    <w:basedOn w:val="Normal"/>
    <w:uiPriority w:val="31"/>
    <w:qFormat/>
    <w:rsid w:val="00F504E0"/>
    <w:pPr>
      <w:numPr>
        <w:numId w:val="2"/>
      </w:numPr>
      <w:spacing w:after="240"/>
    </w:pPr>
    <w:rPr>
      <w:rFonts w:asciiTheme="minorHAnsi" w:hAnsiTheme="minorHAnsi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0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4E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4E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Caroline Trum</cp:lastModifiedBy>
  <cp:revision>1</cp:revision>
  <dcterms:created xsi:type="dcterms:W3CDTF">2021-09-15T21:08:00Z</dcterms:created>
  <dcterms:modified xsi:type="dcterms:W3CDTF">2021-09-15T21:11:00Z</dcterms:modified>
</cp:coreProperties>
</file>