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447D596F" w:rsidR="00C44C62" w:rsidRPr="000E5855" w:rsidRDefault="00C44C62" w:rsidP="00D62DE0">
      <w:pPr>
        <w:ind w:left="1440" w:hanging="1440"/>
      </w:pPr>
      <w:r w:rsidRPr="000E5855">
        <w:rPr>
          <w:b/>
          <w:bCs/>
        </w:rPr>
        <w:t>RE:</w:t>
      </w:r>
      <w:r w:rsidRPr="000E5855">
        <w:rPr>
          <w:b/>
          <w:bCs/>
        </w:rPr>
        <w:tab/>
      </w:r>
      <w:r w:rsidR="00346DA5">
        <w:t xml:space="preserve">Final </w:t>
      </w:r>
      <w:r w:rsidR="00230ECA">
        <w:t>Minutes from</w:t>
      </w:r>
      <w:r w:rsidR="005965E2">
        <w:t xml:space="preserve"> September 7</w:t>
      </w:r>
      <w:r w:rsidR="008A6136">
        <w:t>,</w:t>
      </w:r>
      <w:r w:rsidR="000B0FB1">
        <w:t xml:space="preserve"> 202</w:t>
      </w:r>
      <w:r w:rsidR="00AD617D">
        <w:t>2</w:t>
      </w:r>
      <w:r w:rsidR="00230ECA">
        <w:t xml:space="preserve"> WEQ BPS </w:t>
      </w:r>
      <w:r w:rsidR="00A856C9">
        <w:t>Meeti</w:t>
      </w:r>
      <w:r w:rsidR="00230ECA">
        <w:t>ng</w:t>
      </w:r>
    </w:p>
    <w:p w14:paraId="7C63E7B7" w14:textId="7BFFF403"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5965E2">
        <w:t>September 15</w:t>
      </w:r>
      <w:r w:rsidR="00184FD1">
        <w:t>,</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02F11A21" w:rsidR="00C44C62" w:rsidRDefault="005965E2" w:rsidP="0063021A">
      <w:pPr>
        <w:widowControl w:val="0"/>
        <w:jc w:val="center"/>
        <w:outlineLvl w:val="2"/>
        <w:rPr>
          <w:b/>
          <w:bCs/>
        </w:rPr>
      </w:pPr>
      <w:r>
        <w:rPr>
          <w:b/>
          <w:bCs/>
        </w:rPr>
        <w:t>September 7</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193B216A" w:rsidR="00C44C62" w:rsidRPr="00EE257D" w:rsidRDefault="00346DA5"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3D0A1E51"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5965E2">
        <w:t xml:space="preserve">Ms. </w:t>
      </w:r>
      <w:proofErr w:type="spellStart"/>
      <w:r w:rsidR="005965E2">
        <w:t>Sieg</w:t>
      </w:r>
      <w:proofErr w:type="spellEnd"/>
      <w:r w:rsidR="005965E2">
        <w:t>.</w:t>
      </w:r>
    </w:p>
    <w:p w14:paraId="3F30554C" w14:textId="0BE4E256" w:rsidR="00370B79" w:rsidRDefault="00370B79" w:rsidP="008F22D4">
      <w:pPr>
        <w:spacing w:after="120"/>
        <w:jc w:val="both"/>
      </w:pPr>
      <w:r>
        <w:t xml:space="preserve">Mr. Phillips reviewed the draft minutes from the </w:t>
      </w:r>
      <w:r w:rsidR="00F9311D">
        <w:t xml:space="preserve">August </w:t>
      </w:r>
      <w:r w:rsidR="005965E2">
        <w:t>23</w:t>
      </w:r>
      <w:r>
        <w:t xml:space="preserve">, 2022 meeting.  </w:t>
      </w:r>
      <w:r w:rsidR="005965E2">
        <w:t>No modifications were offered</w:t>
      </w:r>
      <w:r>
        <w:t xml:space="preserve">.  Mr. Brooks moved, seconded by Mr. </w:t>
      </w:r>
      <w:r w:rsidR="005965E2">
        <w:t>Wood</w:t>
      </w:r>
      <w:r>
        <w:t xml:space="preserve">, to adopt the </w:t>
      </w:r>
      <w:r w:rsidR="00F9311D">
        <w:t xml:space="preserve">revised </w:t>
      </w:r>
      <w:r>
        <w:t>minutes as final.  The motion passed a simple majority vote without opposition.  The final minutes from the meeting are available at the following link:</w:t>
      </w:r>
      <w:r w:rsidR="00F27BFF">
        <w:t xml:space="preserve"> </w:t>
      </w:r>
      <w:hyperlink r:id="rId8" w:history="1">
        <w:r w:rsidR="00A35167" w:rsidRPr="000B682F">
          <w:rPr>
            <w:rStyle w:val="Hyperlink"/>
          </w:rPr>
          <w:t>https://naesb.org//pdf4/weq_bps082322fm.docx</w:t>
        </w:r>
      </w:hyperlink>
      <w:r w:rsidR="00A35167">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4D87BE1A" w14:textId="4A992594" w:rsidR="005965E2" w:rsidRDefault="005965E2" w:rsidP="00370B79">
      <w:pPr>
        <w:widowControl w:val="0"/>
        <w:tabs>
          <w:tab w:val="left" w:pos="1440"/>
        </w:tabs>
        <w:spacing w:before="120" w:after="120"/>
        <w:jc w:val="both"/>
      </w:pPr>
      <w:r>
        <w:t xml:space="preserve">Mr. Phillips stated that during the previous meeting, the participants had discussed draft standards language regarding performance expectations for Energy Service.  He indicated that based on these discussions, a </w:t>
      </w:r>
      <w:hyperlink r:id="rId9" w:history="1">
        <w:r w:rsidRPr="005965E2">
          <w:rPr>
            <w:rStyle w:val="Hyperlink"/>
          </w:rPr>
          <w:t>work paper</w:t>
        </w:r>
      </w:hyperlink>
      <w:r>
        <w:t xml:space="preserve"> had been created capturing the agreed upon draft language.  Mr. Brown stated that he had submitted an additional </w:t>
      </w:r>
      <w:hyperlink r:id="rId10" w:history="1">
        <w:r w:rsidRPr="005965E2">
          <w:rPr>
            <w:rStyle w:val="Hyperlink"/>
          </w:rPr>
          <w:t>work paper</w:t>
        </w:r>
      </w:hyperlink>
      <w:r>
        <w:t xml:space="preserve"> on behalf of Lawrence Berkeley National Laboratory and Pacific Northwest National Laboratory proposing additional language.  He noted that this work paper also included written comments from Mr. Widergren.</w:t>
      </w:r>
    </w:p>
    <w:p w14:paraId="70438544" w14:textId="74CF35F6" w:rsidR="00F8264E" w:rsidRDefault="00F8264E" w:rsidP="00370B79">
      <w:pPr>
        <w:widowControl w:val="0"/>
        <w:tabs>
          <w:tab w:val="left" w:pos="1440"/>
        </w:tabs>
        <w:spacing w:before="120" w:after="120"/>
        <w:jc w:val="both"/>
      </w:pPr>
      <w:r>
        <w:t xml:space="preserve">The participants reviewed the language drafted during the previous meeting.  </w:t>
      </w:r>
      <w:r w:rsidR="00864A7B">
        <w:t>A question was raised as to which party is meant to be referenced when using the term “requester” in the draft standards.  Mr. Phillips responded as commonly used in the marketplace, the requester often refers the entity requesting a specific service, such as the market operator, and the provider is the entity providing the service, such as the owner of the resource.  He noted that grid services could also be procured through a bilateral agreement between a transmission operator and a service provider.  Mr. Widergren stated that the intent of the request is for the language to be as broadly applicable as possible.</w:t>
      </w:r>
    </w:p>
    <w:p w14:paraId="34E7E929" w14:textId="2FB338B1" w:rsidR="005B1207" w:rsidRDefault="005B1207" w:rsidP="00370B79">
      <w:pPr>
        <w:widowControl w:val="0"/>
        <w:tabs>
          <w:tab w:val="left" w:pos="1440"/>
        </w:tabs>
        <w:spacing w:before="120" w:after="120"/>
        <w:jc w:val="both"/>
      </w:pPr>
      <w:r>
        <w:t xml:space="preserve">The participants discussed Mr. </w:t>
      </w:r>
      <w:proofErr w:type="spellStart"/>
      <w:r>
        <w:t>Widergren’s</w:t>
      </w:r>
      <w:proofErr w:type="spellEnd"/>
      <w:r>
        <w:t xml:space="preserve"> comments included as part of the Common Grid Services Work Paper and made revisions to the draft language included as part of the Draft R22001 Work Paper to address the comments.</w:t>
      </w:r>
    </w:p>
    <w:p w14:paraId="475E2BE9" w14:textId="26C26E88" w:rsidR="007A3976" w:rsidRDefault="007A3976" w:rsidP="00370B79">
      <w:pPr>
        <w:widowControl w:val="0"/>
        <w:tabs>
          <w:tab w:val="left" w:pos="1440"/>
        </w:tabs>
        <w:spacing w:before="120" w:after="120"/>
        <w:jc w:val="both"/>
      </w:pPr>
      <w:r>
        <w:t xml:space="preserve">Mr. Widergren suggested that as part of power attributes, the participants include units of measure.  Mr. Phillips stated that when including </w:t>
      </w:r>
      <w:proofErr w:type="gramStart"/>
      <w:r>
        <w:t>examples</w:t>
      </w:r>
      <w:proofErr w:type="gramEnd"/>
      <w:r>
        <w:t xml:space="preserve"> a part of the standards language, the participants should be careful as to not be </w:t>
      </w:r>
      <w:r w:rsidR="00D96432">
        <w:t>unintentionally limiting</w:t>
      </w:r>
      <w:r>
        <w:t xml:space="preserve">.  He commented that in drafting the WEQ Business Practice Standards addressing demand response and energy efficiency, the subcommittee </w:t>
      </w:r>
      <w:r w:rsidR="00D96432">
        <w:t>discovered</w:t>
      </w:r>
      <w:r>
        <w:t xml:space="preserve"> that there was a wide range in market complexity</w:t>
      </w:r>
      <w:r w:rsidR="00D96432">
        <w:t>.  Mr. Phillips suggested that where appropriate, the participants may want to consider including a phrase to indicate that individual market tariffs and protocols will specify certain granular details.</w:t>
      </w:r>
    </w:p>
    <w:p w14:paraId="4A5755BE" w14:textId="02A2D9A0" w:rsidR="006B18F9" w:rsidRDefault="006B18F9" w:rsidP="00370B79">
      <w:pPr>
        <w:widowControl w:val="0"/>
        <w:tabs>
          <w:tab w:val="left" w:pos="1440"/>
        </w:tabs>
        <w:spacing w:before="120" w:after="120"/>
        <w:jc w:val="both"/>
      </w:pPr>
      <w:r>
        <w:lastRenderedPageBreak/>
        <w:t>Mr. Brown asked if price should be a performance expectation attribute for Energy Service.  Mr. Widergren responded that not all services have an associated price.</w:t>
      </w:r>
    </w:p>
    <w:p w14:paraId="2E23E63B" w14:textId="28B486DF" w:rsidR="00D96432" w:rsidRDefault="00D96432" w:rsidP="00370B79">
      <w:pPr>
        <w:widowControl w:val="0"/>
        <w:tabs>
          <w:tab w:val="left" w:pos="1440"/>
        </w:tabs>
        <w:spacing w:before="120" w:after="120"/>
        <w:jc w:val="both"/>
      </w:pPr>
      <w:r>
        <w:t xml:space="preserve">The participants discussed </w:t>
      </w:r>
      <w:r w:rsidR="006B18F9">
        <w:t>the electrical location attribute.  Mr. Brown stated that the intent of this attribute is to describe the measurement location – the place where the service is quantified.  Mr. Widergren explained that the electrical location is typically the location where the service provider is expected to deliver its service on the electric system.  He stated that</w:t>
      </w:r>
      <w:r w:rsidR="00F91A37">
        <w:t xml:space="preserve"> service requesters may define the electrical location in various manners and that this information will be included in the entity’s governing documents.  Mr. Widergren suggested that the language for each attribute should be defined s</w:t>
      </w:r>
      <w:r w:rsidR="000B185F">
        <w:t>uch</w:t>
      </w:r>
      <w:r w:rsidR="00F91A37">
        <w:t xml:space="preserve"> that </w:t>
      </w:r>
      <w:r w:rsidR="000B185F">
        <w:t>the more granular details included in a requester’s governing documents can fit into the broader attribute category.</w:t>
      </w:r>
    </w:p>
    <w:p w14:paraId="30A6E6F0" w14:textId="01098446" w:rsidR="000B185F" w:rsidRDefault="000B185F" w:rsidP="00370B79">
      <w:pPr>
        <w:widowControl w:val="0"/>
        <w:tabs>
          <w:tab w:val="left" w:pos="1440"/>
        </w:tabs>
        <w:spacing w:before="120" w:after="120"/>
        <w:jc w:val="both"/>
      </w:pPr>
      <w:r>
        <w:t xml:space="preserve">The participants discussed the language included as part of the Common Grid Services Work Paper that overviews the origin of the service definition and examples of operational objectives for the service.  Mr. Phillips noted that NAESB standards typically do not address these topics.  Mr. Brown commented that the work paper </w:t>
      </w:r>
      <w:r w:rsidR="004765AC">
        <w:t>is based on a white paper developed by Lawrence Berkeley National Laboratories and Pacific Northwest National Laboratories and contains language that was included for informational and background purposes.  The participants discussed that there may be a need to add introductory language to the beginning of the draft standards addressing the attributes for Energy Service.</w:t>
      </w:r>
    </w:p>
    <w:p w14:paraId="181A11BB" w14:textId="0F2D5BF7" w:rsidR="00184FD1" w:rsidRDefault="00184FD1" w:rsidP="00370B79">
      <w:pPr>
        <w:widowControl w:val="0"/>
        <w:tabs>
          <w:tab w:val="left" w:pos="1440"/>
        </w:tabs>
        <w:spacing w:before="120" w:after="120"/>
        <w:jc w:val="both"/>
      </w:pPr>
      <w:r>
        <w:t xml:space="preserve">The </w:t>
      </w:r>
      <w:r w:rsidR="00FA5423">
        <w:t xml:space="preserve">Draft R22001 Work Paper </w:t>
      </w:r>
      <w:r>
        <w:t xml:space="preserve">as revised during the meeting is available at the following link: </w:t>
      </w:r>
      <w:hyperlink r:id="rId11" w:history="1">
        <w:r w:rsidR="00FA5423" w:rsidRPr="000B682F">
          <w:rPr>
            <w:rStyle w:val="Hyperlink"/>
          </w:rPr>
          <w:t>https://naesb.org//pdf4/weq_bps090722a1.docx</w:t>
        </w:r>
      </w:hyperlink>
      <w:r w:rsidR="00FA5423">
        <w:t>.</w:t>
      </w:r>
    </w:p>
    <w:p w14:paraId="48B4401D" w14:textId="493B27CD" w:rsidR="00FA5423" w:rsidRDefault="00FA5423" w:rsidP="00370B79">
      <w:pPr>
        <w:widowControl w:val="0"/>
        <w:tabs>
          <w:tab w:val="left" w:pos="1440"/>
        </w:tabs>
        <w:spacing w:before="120" w:after="120"/>
        <w:jc w:val="both"/>
      </w:pPr>
      <w:r>
        <w:t xml:space="preserve">The Common Grid Services Work Paper as revised during the meeting is available at the following link: </w:t>
      </w:r>
      <w:hyperlink r:id="rId12" w:history="1">
        <w:r w:rsidRPr="000B682F">
          <w:rPr>
            <w:rStyle w:val="Hyperlink"/>
          </w:rPr>
          <w:t>https://naesb.org//pdf4/weq_bps090722a2.docx</w:t>
        </w:r>
      </w:hyperlink>
      <w:r>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7507E96E" w14:textId="34CC2CE6" w:rsidR="00FF138A" w:rsidRDefault="00FA5423" w:rsidP="00F979E4">
      <w:pPr>
        <w:widowControl w:val="0"/>
        <w:tabs>
          <w:tab w:val="left" w:pos="1440"/>
          <w:tab w:val="num" w:pos="1620"/>
          <w:tab w:val="num" w:pos="2160"/>
        </w:tabs>
        <w:spacing w:before="120" w:after="120"/>
        <w:jc w:val="both"/>
        <w:rPr>
          <w:bCs/>
        </w:rPr>
      </w:pPr>
      <w:r>
        <w:rPr>
          <w:bCs/>
        </w:rPr>
        <w:t>The participants agreed to begin discussion at the next meeting with draft standards language regarding performance metrics for Reserve Service.  Mr. Brown indicated that he would submit as a work paper for the next meeting additional draft language for inclusion as part of the introduction for Energy Service.</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1587CF9D" w:rsidR="00F27BFF" w:rsidRDefault="00996F77" w:rsidP="00184FD1">
      <w:pPr>
        <w:widowControl w:val="0"/>
        <w:tabs>
          <w:tab w:val="left" w:pos="1440"/>
        </w:tabs>
        <w:spacing w:after="120"/>
        <w:jc w:val="both"/>
      </w:pPr>
      <w:r>
        <w:t xml:space="preserve">Mr. Phillips noted that </w:t>
      </w:r>
      <w:r w:rsidR="00F27BFF">
        <w:t xml:space="preserve">the next meeting of the subcommittee is scheduled for </w:t>
      </w:r>
      <w:r w:rsidR="002D3550">
        <w:t xml:space="preserve">September </w:t>
      </w:r>
      <w:r w:rsidR="00FA5423">
        <w:t>2</w:t>
      </w:r>
      <w:r w:rsidR="002D3550">
        <w:t>7</w:t>
      </w:r>
      <w:r w:rsidR="00F27BFF">
        <w:t xml:space="preserve">, 2022.  </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2B87D875"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2D3550">
        <w:rPr>
          <w:bCs/>
        </w:rPr>
        <w:t>3</w:t>
      </w:r>
      <w:r w:rsidR="00FA5423">
        <w:rPr>
          <w:bCs/>
        </w:rPr>
        <w:t>:47</w:t>
      </w:r>
      <w:r w:rsidR="00F27BFF">
        <w:rPr>
          <w:bCs/>
        </w:rPr>
        <w:t xml:space="preserve">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2D3550">
        <w:rPr>
          <w:bCs/>
        </w:rPr>
        <w:t xml:space="preserve">, seconded by Ms. </w:t>
      </w:r>
      <w:proofErr w:type="spellStart"/>
      <w:r w:rsidR="002D3550">
        <w:rPr>
          <w:bCs/>
        </w:rPr>
        <w:t>Sieg</w:t>
      </w:r>
      <w:proofErr w:type="spellEnd"/>
      <w:r w:rsidR="002D3550">
        <w:rPr>
          <w:bCs/>
        </w:rPr>
        <w:t>.</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FF138A">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FF138A">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FF138A">
            <w:pPr>
              <w:keepNext/>
              <w:keepLines/>
              <w:widowControl w:val="0"/>
              <w:spacing w:before="120"/>
              <w:rPr>
                <w:rFonts w:ascii="Calibri" w:eastAsiaTheme="minorHAnsi" w:hAnsi="Calibri" w:cs="Calibri"/>
                <w:sz w:val="22"/>
                <w:szCs w:val="22"/>
              </w:rPr>
            </w:pPr>
            <w:r w:rsidRPr="003A33E1">
              <w:rPr>
                <w:b/>
                <w:bCs/>
              </w:rPr>
              <w:t>Organization</w:t>
            </w:r>
          </w:p>
        </w:tc>
      </w:tr>
      <w:tr w:rsidR="00184FD1" w:rsidRPr="00286562" w14:paraId="056A3F23" w14:textId="77777777" w:rsidTr="001262CB">
        <w:tc>
          <w:tcPr>
            <w:tcW w:w="1998" w:type="dxa"/>
            <w:tcMar>
              <w:top w:w="0" w:type="dxa"/>
              <w:left w:w="108" w:type="dxa"/>
              <w:bottom w:w="0" w:type="dxa"/>
              <w:right w:w="108" w:type="dxa"/>
            </w:tcMar>
          </w:tcPr>
          <w:p w14:paraId="18F7263A" w14:textId="58F41742" w:rsidR="00184FD1" w:rsidRPr="00402A50" w:rsidRDefault="00184FD1" w:rsidP="00FF138A">
            <w:pPr>
              <w:keepNext/>
              <w:keepLines/>
              <w:widowControl w:val="0"/>
              <w:spacing w:before="120"/>
              <w:rPr>
                <w:bCs/>
              </w:rPr>
            </w:pPr>
            <w:r w:rsidRPr="00402A50">
              <w:rPr>
                <w:bCs/>
              </w:rPr>
              <w:t>Rebecca</w:t>
            </w:r>
          </w:p>
        </w:tc>
        <w:tc>
          <w:tcPr>
            <w:tcW w:w="3240" w:type="dxa"/>
            <w:tcMar>
              <w:top w:w="0" w:type="dxa"/>
              <w:left w:w="108" w:type="dxa"/>
              <w:bottom w:w="0" w:type="dxa"/>
              <w:right w:w="108" w:type="dxa"/>
            </w:tcMar>
          </w:tcPr>
          <w:p w14:paraId="5C824580" w14:textId="062F2957" w:rsidR="00184FD1" w:rsidRPr="00402A50" w:rsidRDefault="00184FD1" w:rsidP="00FF138A">
            <w:pPr>
              <w:keepNext/>
              <w:keepLines/>
              <w:widowControl w:val="0"/>
              <w:spacing w:before="120"/>
              <w:rPr>
                <w:bCs/>
              </w:rPr>
            </w:pPr>
            <w:proofErr w:type="spellStart"/>
            <w:r w:rsidRPr="00402A50">
              <w:rPr>
                <w:bCs/>
              </w:rPr>
              <w:t>Berdahl</w:t>
            </w:r>
            <w:proofErr w:type="spellEnd"/>
          </w:p>
        </w:tc>
        <w:tc>
          <w:tcPr>
            <w:tcW w:w="3870" w:type="dxa"/>
            <w:tcMar>
              <w:top w:w="0" w:type="dxa"/>
              <w:left w:w="108" w:type="dxa"/>
              <w:bottom w:w="0" w:type="dxa"/>
              <w:right w:w="108" w:type="dxa"/>
            </w:tcMar>
          </w:tcPr>
          <w:p w14:paraId="0CB135D1" w14:textId="0263279B" w:rsidR="00184FD1" w:rsidRPr="00402A50" w:rsidRDefault="00184FD1" w:rsidP="00FF138A">
            <w:pPr>
              <w:keepNext/>
              <w:keepLines/>
              <w:widowControl w:val="0"/>
              <w:spacing w:before="120"/>
              <w:rPr>
                <w:bCs/>
              </w:rPr>
            </w:pPr>
            <w:r w:rsidRPr="00402A50">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FA5423" w:rsidRDefault="0074610C" w:rsidP="00FF138A">
            <w:pPr>
              <w:keepNext/>
              <w:keepLines/>
              <w:widowControl w:val="0"/>
              <w:spacing w:before="120"/>
              <w:rPr>
                <w:bCs/>
              </w:rPr>
            </w:pPr>
            <w:r w:rsidRPr="00FA5423">
              <w:rPr>
                <w:bCs/>
              </w:rPr>
              <w:t>Dick</w:t>
            </w:r>
          </w:p>
        </w:tc>
        <w:tc>
          <w:tcPr>
            <w:tcW w:w="3240" w:type="dxa"/>
            <w:tcMar>
              <w:top w:w="0" w:type="dxa"/>
              <w:left w:w="108" w:type="dxa"/>
              <w:bottom w:w="0" w:type="dxa"/>
              <w:right w:w="108" w:type="dxa"/>
            </w:tcMar>
          </w:tcPr>
          <w:p w14:paraId="2B35B985" w14:textId="45E58EBE" w:rsidR="0074610C" w:rsidRPr="00FA5423" w:rsidRDefault="0074610C" w:rsidP="00FF138A">
            <w:pPr>
              <w:keepNext/>
              <w:keepLines/>
              <w:widowControl w:val="0"/>
              <w:spacing w:before="120"/>
              <w:rPr>
                <w:bCs/>
              </w:rPr>
            </w:pPr>
            <w:r w:rsidRPr="00FA5423">
              <w:rPr>
                <w:bCs/>
              </w:rPr>
              <w:t>Brooks</w:t>
            </w:r>
          </w:p>
        </w:tc>
        <w:tc>
          <w:tcPr>
            <w:tcW w:w="3870" w:type="dxa"/>
            <w:tcMar>
              <w:top w:w="0" w:type="dxa"/>
              <w:left w:w="108" w:type="dxa"/>
              <w:bottom w:w="0" w:type="dxa"/>
              <w:right w:w="108" w:type="dxa"/>
            </w:tcMar>
          </w:tcPr>
          <w:p w14:paraId="471AF643" w14:textId="61B50145" w:rsidR="0074610C" w:rsidRPr="00FA5423" w:rsidRDefault="0074610C" w:rsidP="00FF138A">
            <w:pPr>
              <w:keepNext/>
              <w:keepLines/>
              <w:widowControl w:val="0"/>
              <w:spacing w:before="120"/>
              <w:rPr>
                <w:bCs/>
              </w:rPr>
            </w:pPr>
            <w:r w:rsidRPr="00FA5423">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FA5423" w:rsidRDefault="00F27BFF" w:rsidP="00FF138A">
            <w:pPr>
              <w:keepNext/>
              <w:keepLines/>
              <w:widowControl w:val="0"/>
              <w:spacing w:before="120"/>
              <w:rPr>
                <w:bCs/>
              </w:rPr>
            </w:pPr>
            <w:r w:rsidRPr="00FA5423">
              <w:rPr>
                <w:bCs/>
              </w:rPr>
              <w:t>Rich</w:t>
            </w:r>
          </w:p>
        </w:tc>
        <w:tc>
          <w:tcPr>
            <w:tcW w:w="3240" w:type="dxa"/>
            <w:tcMar>
              <w:top w:w="0" w:type="dxa"/>
              <w:left w:w="108" w:type="dxa"/>
              <w:bottom w:w="0" w:type="dxa"/>
              <w:right w:w="108" w:type="dxa"/>
            </w:tcMar>
          </w:tcPr>
          <w:p w14:paraId="6CF81AFA" w14:textId="5AC1DCD9" w:rsidR="00F27BFF" w:rsidRPr="00FA5423" w:rsidRDefault="00F27BFF" w:rsidP="00FF138A">
            <w:pPr>
              <w:keepNext/>
              <w:keepLines/>
              <w:widowControl w:val="0"/>
              <w:spacing w:before="120"/>
              <w:rPr>
                <w:bCs/>
              </w:rPr>
            </w:pPr>
            <w:r w:rsidRPr="00FA5423">
              <w:rPr>
                <w:bCs/>
              </w:rPr>
              <w:t>Brown</w:t>
            </w:r>
          </w:p>
        </w:tc>
        <w:tc>
          <w:tcPr>
            <w:tcW w:w="3870" w:type="dxa"/>
            <w:tcMar>
              <w:top w:w="0" w:type="dxa"/>
              <w:left w:w="108" w:type="dxa"/>
              <w:bottom w:w="0" w:type="dxa"/>
              <w:right w:w="108" w:type="dxa"/>
            </w:tcMar>
          </w:tcPr>
          <w:p w14:paraId="052FDE9D" w14:textId="7FF0A6B5" w:rsidR="00F27BFF" w:rsidRPr="00FA5423" w:rsidRDefault="00F27BFF" w:rsidP="00FF138A">
            <w:pPr>
              <w:keepNext/>
              <w:keepLines/>
              <w:widowControl w:val="0"/>
              <w:spacing w:before="120"/>
              <w:rPr>
                <w:bCs/>
              </w:rPr>
            </w:pPr>
            <w:r w:rsidRPr="00FA5423">
              <w:rPr>
                <w:bCs/>
              </w:rPr>
              <w:t>Lawrence Berkeley National Laboratory</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FA5423" w:rsidRDefault="00EA28F0" w:rsidP="00C00301">
            <w:pPr>
              <w:widowControl w:val="0"/>
              <w:spacing w:before="120"/>
              <w:rPr>
                <w:bCs/>
              </w:rPr>
            </w:pPr>
            <w:r w:rsidRPr="00FA5423">
              <w:rPr>
                <w:bCs/>
              </w:rPr>
              <w:t>Joshua</w:t>
            </w:r>
          </w:p>
        </w:tc>
        <w:tc>
          <w:tcPr>
            <w:tcW w:w="3240" w:type="dxa"/>
            <w:tcMar>
              <w:top w:w="0" w:type="dxa"/>
              <w:left w:w="108" w:type="dxa"/>
              <w:bottom w:w="0" w:type="dxa"/>
              <w:right w:w="108" w:type="dxa"/>
            </w:tcMar>
          </w:tcPr>
          <w:p w14:paraId="117D0E94" w14:textId="5D650685" w:rsidR="00EA28F0" w:rsidRPr="00FA5423" w:rsidRDefault="00EA28F0" w:rsidP="00C00301">
            <w:pPr>
              <w:widowControl w:val="0"/>
              <w:spacing w:before="120"/>
              <w:rPr>
                <w:bCs/>
              </w:rPr>
            </w:pPr>
            <w:r w:rsidRPr="00FA5423">
              <w:rPr>
                <w:bCs/>
              </w:rPr>
              <w:t>Phillips</w:t>
            </w:r>
          </w:p>
        </w:tc>
        <w:tc>
          <w:tcPr>
            <w:tcW w:w="3870" w:type="dxa"/>
            <w:tcMar>
              <w:top w:w="0" w:type="dxa"/>
              <w:left w:w="108" w:type="dxa"/>
              <w:bottom w:w="0" w:type="dxa"/>
              <w:right w:w="108" w:type="dxa"/>
            </w:tcMar>
          </w:tcPr>
          <w:p w14:paraId="05A4F1ED" w14:textId="77DDEBE2" w:rsidR="00EA28F0" w:rsidRPr="00FA5423" w:rsidRDefault="00EA28F0" w:rsidP="00C00301">
            <w:pPr>
              <w:widowControl w:val="0"/>
              <w:spacing w:before="120"/>
              <w:rPr>
                <w:bCs/>
              </w:rPr>
            </w:pPr>
            <w:r w:rsidRPr="00FA5423">
              <w:rPr>
                <w:bCs/>
              </w:rPr>
              <w:t>S</w:t>
            </w:r>
            <w:r w:rsidR="00184FD1" w:rsidRPr="00FA5423">
              <w:rPr>
                <w:bCs/>
              </w:rPr>
              <w:t xml:space="preserve">outhwest </w:t>
            </w:r>
            <w:r w:rsidRPr="00FA5423">
              <w:rPr>
                <w:bCs/>
              </w:rPr>
              <w:t>P</w:t>
            </w:r>
            <w:r w:rsidR="00184FD1" w:rsidRPr="00FA5423">
              <w:rPr>
                <w:bCs/>
              </w:rPr>
              <w:t xml:space="preserve">ower </w:t>
            </w:r>
            <w:r w:rsidRPr="00FA5423">
              <w:rPr>
                <w:bCs/>
              </w:rPr>
              <w:t>P</w:t>
            </w:r>
            <w:r w:rsidR="00184FD1" w:rsidRPr="00FA5423">
              <w:rPr>
                <w:bCs/>
              </w:rPr>
              <w:t>ool</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FA5423" w:rsidRDefault="0074610C" w:rsidP="00C00301">
            <w:pPr>
              <w:widowControl w:val="0"/>
              <w:spacing w:before="120"/>
              <w:rPr>
                <w:bCs/>
              </w:rPr>
            </w:pPr>
            <w:r w:rsidRPr="00FA5423">
              <w:rPr>
                <w:bCs/>
              </w:rPr>
              <w:t>Farrokh</w:t>
            </w:r>
          </w:p>
        </w:tc>
        <w:tc>
          <w:tcPr>
            <w:tcW w:w="3240" w:type="dxa"/>
            <w:tcMar>
              <w:top w:w="0" w:type="dxa"/>
              <w:left w:w="108" w:type="dxa"/>
              <w:bottom w:w="0" w:type="dxa"/>
              <w:right w:w="108" w:type="dxa"/>
            </w:tcMar>
          </w:tcPr>
          <w:p w14:paraId="2F204526" w14:textId="1E799E56" w:rsidR="0074610C" w:rsidRPr="00FA5423" w:rsidRDefault="0074610C" w:rsidP="00C00301">
            <w:pPr>
              <w:widowControl w:val="0"/>
              <w:spacing w:before="120"/>
              <w:rPr>
                <w:bCs/>
              </w:rPr>
            </w:pPr>
            <w:r w:rsidRPr="00FA5423">
              <w:rPr>
                <w:bCs/>
              </w:rPr>
              <w:t>Rahimi</w:t>
            </w:r>
          </w:p>
        </w:tc>
        <w:tc>
          <w:tcPr>
            <w:tcW w:w="3870" w:type="dxa"/>
            <w:tcMar>
              <w:top w:w="0" w:type="dxa"/>
              <w:left w:w="108" w:type="dxa"/>
              <w:bottom w:w="0" w:type="dxa"/>
              <w:right w:w="108" w:type="dxa"/>
            </w:tcMar>
          </w:tcPr>
          <w:p w14:paraId="04098AD1" w14:textId="5F3DE8C0" w:rsidR="0074610C" w:rsidRPr="00FA5423" w:rsidRDefault="0074610C" w:rsidP="00C00301">
            <w:pPr>
              <w:widowControl w:val="0"/>
              <w:spacing w:before="120"/>
              <w:rPr>
                <w:bCs/>
              </w:rPr>
            </w:pPr>
            <w:r w:rsidRPr="00FA5423">
              <w:rPr>
                <w:bCs/>
              </w:rPr>
              <w:t>OATI</w:t>
            </w:r>
          </w:p>
        </w:tc>
      </w:tr>
      <w:tr w:rsidR="00FA5423" w:rsidRPr="00286562" w14:paraId="446C18EF" w14:textId="77777777" w:rsidTr="001262CB">
        <w:tc>
          <w:tcPr>
            <w:tcW w:w="1998" w:type="dxa"/>
            <w:tcMar>
              <w:top w:w="0" w:type="dxa"/>
              <w:left w:w="108" w:type="dxa"/>
              <w:bottom w:w="0" w:type="dxa"/>
              <w:right w:w="108" w:type="dxa"/>
            </w:tcMar>
          </w:tcPr>
          <w:p w14:paraId="6BB8D868" w14:textId="3672FAAC" w:rsidR="00FA5423" w:rsidRPr="00FA5423" w:rsidRDefault="00FA5423" w:rsidP="00C00301">
            <w:pPr>
              <w:widowControl w:val="0"/>
              <w:spacing w:before="120"/>
              <w:rPr>
                <w:bCs/>
              </w:rPr>
            </w:pPr>
            <w:r>
              <w:rPr>
                <w:bCs/>
              </w:rPr>
              <w:t>Robin</w:t>
            </w:r>
          </w:p>
        </w:tc>
        <w:tc>
          <w:tcPr>
            <w:tcW w:w="3240" w:type="dxa"/>
            <w:tcMar>
              <w:top w:w="0" w:type="dxa"/>
              <w:left w:w="108" w:type="dxa"/>
              <w:bottom w:w="0" w:type="dxa"/>
              <w:right w:w="108" w:type="dxa"/>
            </w:tcMar>
          </w:tcPr>
          <w:p w14:paraId="2D52F1AA" w14:textId="303A2016" w:rsidR="00FA5423" w:rsidRPr="00FA5423" w:rsidRDefault="00FA5423" w:rsidP="00C00301">
            <w:pPr>
              <w:widowControl w:val="0"/>
              <w:spacing w:before="120"/>
              <w:rPr>
                <w:bCs/>
              </w:rPr>
            </w:pPr>
            <w:proofErr w:type="spellStart"/>
            <w:r>
              <w:rPr>
                <w:bCs/>
              </w:rPr>
              <w:t>Rebillard</w:t>
            </w:r>
            <w:proofErr w:type="spellEnd"/>
          </w:p>
        </w:tc>
        <w:tc>
          <w:tcPr>
            <w:tcW w:w="3870" w:type="dxa"/>
            <w:tcMar>
              <w:top w:w="0" w:type="dxa"/>
              <w:left w:w="108" w:type="dxa"/>
              <w:bottom w:w="0" w:type="dxa"/>
              <w:right w:w="108" w:type="dxa"/>
            </w:tcMar>
          </w:tcPr>
          <w:p w14:paraId="620DBF2D" w14:textId="506FE55F" w:rsidR="00FA5423" w:rsidRPr="00FA5423" w:rsidRDefault="00FA5423" w:rsidP="00C00301">
            <w:pPr>
              <w:widowControl w:val="0"/>
              <w:spacing w:before="120"/>
              <w:rPr>
                <w:bCs/>
              </w:rPr>
            </w:pPr>
            <w:r>
              <w:rPr>
                <w:bCs/>
              </w:rPr>
              <w:t>Manitoba Hydro</w:t>
            </w:r>
          </w:p>
        </w:tc>
      </w:tr>
      <w:tr w:rsidR="00633BF5" w:rsidRPr="00286562" w14:paraId="4F540B7E" w14:textId="77777777" w:rsidTr="001262CB">
        <w:tc>
          <w:tcPr>
            <w:tcW w:w="1998" w:type="dxa"/>
            <w:tcMar>
              <w:top w:w="0" w:type="dxa"/>
              <w:left w:w="108" w:type="dxa"/>
              <w:bottom w:w="0" w:type="dxa"/>
              <w:right w:w="108" w:type="dxa"/>
            </w:tcMar>
          </w:tcPr>
          <w:p w14:paraId="59545D2D" w14:textId="4E8A0DB6" w:rsidR="00633BF5" w:rsidRPr="00FA5423" w:rsidRDefault="00633BF5" w:rsidP="00C00301">
            <w:pPr>
              <w:widowControl w:val="0"/>
              <w:spacing w:before="120"/>
              <w:rPr>
                <w:bCs/>
              </w:rPr>
            </w:pPr>
            <w:r w:rsidRPr="00FA5423">
              <w:rPr>
                <w:bCs/>
              </w:rPr>
              <w:t>Ron</w:t>
            </w:r>
          </w:p>
        </w:tc>
        <w:tc>
          <w:tcPr>
            <w:tcW w:w="3240" w:type="dxa"/>
            <w:tcMar>
              <w:top w:w="0" w:type="dxa"/>
              <w:left w:w="108" w:type="dxa"/>
              <w:bottom w:w="0" w:type="dxa"/>
              <w:right w:w="108" w:type="dxa"/>
            </w:tcMar>
          </w:tcPr>
          <w:p w14:paraId="148775CC" w14:textId="588C0170" w:rsidR="00633BF5" w:rsidRPr="00FA5423" w:rsidRDefault="00633BF5" w:rsidP="00C00301">
            <w:pPr>
              <w:widowControl w:val="0"/>
              <w:spacing w:before="120"/>
              <w:rPr>
                <w:bCs/>
              </w:rPr>
            </w:pPr>
            <w:r w:rsidRPr="00FA5423">
              <w:rPr>
                <w:bCs/>
              </w:rPr>
              <w:t>Robinson</w:t>
            </w:r>
          </w:p>
        </w:tc>
        <w:tc>
          <w:tcPr>
            <w:tcW w:w="3870" w:type="dxa"/>
            <w:tcMar>
              <w:top w:w="0" w:type="dxa"/>
              <w:left w:w="108" w:type="dxa"/>
              <w:bottom w:w="0" w:type="dxa"/>
              <w:right w:w="108" w:type="dxa"/>
            </w:tcMar>
          </w:tcPr>
          <w:p w14:paraId="2BBEBC8C" w14:textId="6139A5AE" w:rsidR="00633BF5" w:rsidRPr="00FA5423" w:rsidRDefault="00633BF5" w:rsidP="00C00301">
            <w:pPr>
              <w:widowControl w:val="0"/>
              <w:spacing w:before="120"/>
              <w:rPr>
                <w:bCs/>
              </w:rPr>
            </w:pPr>
            <w:r w:rsidRPr="00FA5423">
              <w:rPr>
                <w:bCs/>
              </w:rPr>
              <w:t>TVA</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FA5423" w:rsidRDefault="00121237" w:rsidP="00C00301">
            <w:pPr>
              <w:widowControl w:val="0"/>
              <w:spacing w:before="120"/>
              <w:rPr>
                <w:bCs/>
              </w:rPr>
            </w:pPr>
            <w:r w:rsidRPr="00FA5423">
              <w:rPr>
                <w:bCs/>
              </w:rPr>
              <w:t>Lisa</w:t>
            </w:r>
          </w:p>
        </w:tc>
        <w:tc>
          <w:tcPr>
            <w:tcW w:w="3240" w:type="dxa"/>
            <w:tcMar>
              <w:top w:w="0" w:type="dxa"/>
              <w:left w:w="108" w:type="dxa"/>
              <w:bottom w:w="0" w:type="dxa"/>
              <w:right w:w="108" w:type="dxa"/>
            </w:tcMar>
          </w:tcPr>
          <w:p w14:paraId="6C2E6439" w14:textId="603856A5" w:rsidR="00AD3870" w:rsidRPr="00FA5423" w:rsidRDefault="00121237" w:rsidP="00C00301">
            <w:pPr>
              <w:widowControl w:val="0"/>
              <w:spacing w:before="120"/>
              <w:rPr>
                <w:bCs/>
              </w:rPr>
            </w:pPr>
            <w:proofErr w:type="spellStart"/>
            <w:r w:rsidRPr="00FA5423">
              <w:rPr>
                <w:bCs/>
              </w:rPr>
              <w:t>Sieg</w:t>
            </w:r>
            <w:proofErr w:type="spellEnd"/>
          </w:p>
        </w:tc>
        <w:tc>
          <w:tcPr>
            <w:tcW w:w="3870" w:type="dxa"/>
            <w:tcMar>
              <w:top w:w="0" w:type="dxa"/>
              <w:left w:w="108" w:type="dxa"/>
              <w:bottom w:w="0" w:type="dxa"/>
              <w:right w:w="108" w:type="dxa"/>
            </w:tcMar>
          </w:tcPr>
          <w:p w14:paraId="4AC7CD13" w14:textId="7E0C90AC" w:rsidR="00AD3870" w:rsidRPr="00FA5423" w:rsidRDefault="00121237" w:rsidP="00C00301">
            <w:pPr>
              <w:widowControl w:val="0"/>
              <w:spacing w:before="120"/>
              <w:rPr>
                <w:bCs/>
              </w:rPr>
            </w:pPr>
            <w:r w:rsidRPr="00FA5423">
              <w:rPr>
                <w:bCs/>
              </w:rPr>
              <w:t>LG&amp;E and KU Services</w:t>
            </w:r>
          </w:p>
        </w:tc>
      </w:tr>
      <w:tr w:rsidR="00FA5423" w:rsidRPr="00286562" w14:paraId="6240F615" w14:textId="77777777" w:rsidTr="001262CB">
        <w:tc>
          <w:tcPr>
            <w:tcW w:w="1998" w:type="dxa"/>
            <w:tcMar>
              <w:top w:w="0" w:type="dxa"/>
              <w:left w:w="108" w:type="dxa"/>
              <w:bottom w:w="0" w:type="dxa"/>
              <w:right w:w="108" w:type="dxa"/>
            </w:tcMar>
          </w:tcPr>
          <w:p w14:paraId="4C616694" w14:textId="2EA8E3AF" w:rsidR="00FA5423" w:rsidRPr="00FA5423" w:rsidRDefault="00FA5423" w:rsidP="00C00301">
            <w:pPr>
              <w:widowControl w:val="0"/>
              <w:spacing w:before="120"/>
              <w:rPr>
                <w:bCs/>
              </w:rPr>
            </w:pPr>
            <w:r>
              <w:rPr>
                <w:bCs/>
              </w:rPr>
              <w:t>Steve</w:t>
            </w:r>
          </w:p>
        </w:tc>
        <w:tc>
          <w:tcPr>
            <w:tcW w:w="3240" w:type="dxa"/>
            <w:tcMar>
              <w:top w:w="0" w:type="dxa"/>
              <w:left w:w="108" w:type="dxa"/>
              <w:bottom w:w="0" w:type="dxa"/>
              <w:right w:w="108" w:type="dxa"/>
            </w:tcMar>
          </w:tcPr>
          <w:p w14:paraId="4FA90F16" w14:textId="7F0BA421" w:rsidR="00FA5423" w:rsidRPr="00FA5423" w:rsidRDefault="00FA5423" w:rsidP="00C00301">
            <w:pPr>
              <w:widowControl w:val="0"/>
              <w:spacing w:before="120"/>
              <w:rPr>
                <w:bCs/>
              </w:rPr>
            </w:pPr>
            <w:r>
              <w:rPr>
                <w:bCs/>
              </w:rPr>
              <w:t>Swan</w:t>
            </w:r>
          </w:p>
        </w:tc>
        <w:tc>
          <w:tcPr>
            <w:tcW w:w="3870" w:type="dxa"/>
            <w:tcMar>
              <w:top w:w="0" w:type="dxa"/>
              <w:left w:w="108" w:type="dxa"/>
              <w:bottom w:w="0" w:type="dxa"/>
              <w:right w:w="108" w:type="dxa"/>
            </w:tcMar>
          </w:tcPr>
          <w:p w14:paraId="23B4983C" w14:textId="441131BB" w:rsidR="00FA5423" w:rsidRPr="00FA5423" w:rsidRDefault="00FA5423" w:rsidP="00C00301">
            <w:pPr>
              <w:widowControl w:val="0"/>
              <w:spacing w:before="120"/>
              <w:rPr>
                <w:bCs/>
              </w:rPr>
            </w:pPr>
            <w:r>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FA5423" w:rsidRDefault="00BE24C3" w:rsidP="00C00301">
            <w:pPr>
              <w:widowControl w:val="0"/>
              <w:spacing w:before="120"/>
              <w:rPr>
                <w:bCs/>
              </w:rPr>
            </w:pPr>
            <w:r w:rsidRPr="00FA5423">
              <w:rPr>
                <w:bCs/>
              </w:rPr>
              <w:t>Caroline</w:t>
            </w:r>
          </w:p>
        </w:tc>
        <w:tc>
          <w:tcPr>
            <w:tcW w:w="3240" w:type="dxa"/>
            <w:tcMar>
              <w:top w:w="0" w:type="dxa"/>
              <w:left w:w="108" w:type="dxa"/>
              <w:bottom w:w="0" w:type="dxa"/>
              <w:right w:w="108" w:type="dxa"/>
            </w:tcMar>
            <w:hideMark/>
          </w:tcPr>
          <w:p w14:paraId="3166FE36" w14:textId="77777777" w:rsidR="00BE24C3" w:rsidRPr="00FA5423" w:rsidRDefault="00BE24C3" w:rsidP="00C00301">
            <w:pPr>
              <w:widowControl w:val="0"/>
              <w:spacing w:before="120"/>
              <w:rPr>
                <w:bCs/>
              </w:rPr>
            </w:pPr>
            <w:proofErr w:type="spellStart"/>
            <w:r w:rsidRPr="00FA5423">
              <w:rPr>
                <w:bCs/>
              </w:rPr>
              <w:t>Trum</w:t>
            </w:r>
            <w:proofErr w:type="spellEnd"/>
          </w:p>
        </w:tc>
        <w:tc>
          <w:tcPr>
            <w:tcW w:w="3870" w:type="dxa"/>
            <w:tcMar>
              <w:top w:w="0" w:type="dxa"/>
              <w:left w:w="108" w:type="dxa"/>
              <w:bottom w:w="0" w:type="dxa"/>
              <w:right w:w="108" w:type="dxa"/>
            </w:tcMar>
            <w:hideMark/>
          </w:tcPr>
          <w:p w14:paraId="57332193" w14:textId="77777777" w:rsidR="00BE24C3" w:rsidRPr="00FA5423" w:rsidRDefault="00BE24C3" w:rsidP="00C00301">
            <w:pPr>
              <w:widowControl w:val="0"/>
              <w:spacing w:before="120"/>
              <w:rPr>
                <w:bCs/>
              </w:rPr>
            </w:pPr>
            <w:r w:rsidRPr="00FA5423">
              <w:rPr>
                <w:bCs/>
              </w:rPr>
              <w:t>NAESB</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FA5423" w:rsidRDefault="00FA5423" w:rsidP="00C00301">
            <w:pPr>
              <w:widowControl w:val="0"/>
              <w:spacing w:before="120"/>
              <w:rPr>
                <w:bCs/>
              </w:rPr>
            </w:pPr>
            <w:r>
              <w:rPr>
                <w:bCs/>
              </w:rPr>
              <w:lastRenderedPageBreak/>
              <w:t>Steve</w:t>
            </w:r>
          </w:p>
        </w:tc>
        <w:tc>
          <w:tcPr>
            <w:tcW w:w="3240" w:type="dxa"/>
            <w:tcMar>
              <w:top w:w="0" w:type="dxa"/>
              <w:left w:w="108" w:type="dxa"/>
              <w:bottom w:w="0" w:type="dxa"/>
              <w:right w:w="108" w:type="dxa"/>
            </w:tcMar>
          </w:tcPr>
          <w:p w14:paraId="11BB4B5E" w14:textId="6C49FD61" w:rsidR="00FA5423" w:rsidRPr="00FA5423" w:rsidRDefault="00FA5423" w:rsidP="00C00301">
            <w:pPr>
              <w:widowControl w:val="0"/>
              <w:spacing w:before="120"/>
              <w:rPr>
                <w:bCs/>
              </w:rPr>
            </w:pPr>
            <w:r>
              <w:rPr>
                <w:bCs/>
              </w:rPr>
              <w:t>Widergr</w:t>
            </w:r>
            <w:r w:rsidR="00402A50">
              <w:rPr>
                <w:bCs/>
              </w:rPr>
              <w:t>e</w:t>
            </w:r>
            <w:r>
              <w:rPr>
                <w:bCs/>
              </w:rPr>
              <w:t>n</w:t>
            </w:r>
          </w:p>
        </w:tc>
        <w:tc>
          <w:tcPr>
            <w:tcW w:w="3870" w:type="dxa"/>
            <w:tcMar>
              <w:top w:w="0" w:type="dxa"/>
              <w:left w:w="108" w:type="dxa"/>
              <w:bottom w:w="0" w:type="dxa"/>
              <w:right w:w="108" w:type="dxa"/>
            </w:tcMar>
          </w:tcPr>
          <w:p w14:paraId="59470660" w14:textId="44E4659B" w:rsidR="00FA5423" w:rsidRPr="00FA5423" w:rsidRDefault="00FA5423" w:rsidP="00C00301">
            <w:pPr>
              <w:widowControl w:val="0"/>
              <w:spacing w:before="120"/>
              <w:rPr>
                <w:bCs/>
              </w:rPr>
            </w:pPr>
            <w:r>
              <w:rPr>
                <w:bCs/>
              </w:rPr>
              <w:t>Pacific Northwest National Laboratory</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FA5423" w:rsidRDefault="00BC5DF1" w:rsidP="00C00301">
            <w:pPr>
              <w:widowControl w:val="0"/>
              <w:spacing w:before="120"/>
              <w:rPr>
                <w:bCs/>
              </w:rPr>
            </w:pPr>
            <w:r w:rsidRPr="00FA5423">
              <w:rPr>
                <w:bCs/>
              </w:rPr>
              <w:t>JT</w:t>
            </w:r>
          </w:p>
        </w:tc>
        <w:tc>
          <w:tcPr>
            <w:tcW w:w="3240" w:type="dxa"/>
            <w:tcMar>
              <w:top w:w="0" w:type="dxa"/>
              <w:left w:w="108" w:type="dxa"/>
              <w:bottom w:w="0" w:type="dxa"/>
              <w:right w:w="108" w:type="dxa"/>
            </w:tcMar>
          </w:tcPr>
          <w:p w14:paraId="2392DA64" w14:textId="53DBD2D9" w:rsidR="00BC5DF1" w:rsidRPr="00FA5423" w:rsidRDefault="00BC5DF1" w:rsidP="00C00301">
            <w:pPr>
              <w:widowControl w:val="0"/>
              <w:spacing w:before="120"/>
              <w:rPr>
                <w:bCs/>
              </w:rPr>
            </w:pPr>
            <w:r w:rsidRPr="00FA5423">
              <w:rPr>
                <w:bCs/>
              </w:rPr>
              <w:t>Wood</w:t>
            </w:r>
          </w:p>
        </w:tc>
        <w:tc>
          <w:tcPr>
            <w:tcW w:w="3870" w:type="dxa"/>
            <w:tcMar>
              <w:top w:w="0" w:type="dxa"/>
              <w:left w:w="108" w:type="dxa"/>
              <w:bottom w:w="0" w:type="dxa"/>
              <w:right w:w="108" w:type="dxa"/>
            </w:tcMar>
          </w:tcPr>
          <w:p w14:paraId="53D0F1D6" w14:textId="445FF6B8" w:rsidR="00BC5DF1" w:rsidRPr="00FA5423" w:rsidRDefault="00BC5DF1" w:rsidP="00C00301">
            <w:pPr>
              <w:widowControl w:val="0"/>
              <w:spacing w:before="120"/>
              <w:rPr>
                <w:bCs/>
              </w:rPr>
            </w:pPr>
            <w:r w:rsidRPr="00FA5423">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E21F" w14:textId="77777777" w:rsidR="005C634C" w:rsidRDefault="005C634C">
      <w:r>
        <w:separator/>
      </w:r>
    </w:p>
  </w:endnote>
  <w:endnote w:type="continuationSeparator" w:id="0">
    <w:p w14:paraId="60F3881F" w14:textId="77777777" w:rsidR="005C634C" w:rsidRDefault="005C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B4EF3BD"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346DA5">
      <w:rPr>
        <w:sz w:val="18"/>
        <w:szCs w:val="18"/>
      </w:rPr>
      <w:t>Final</w:t>
    </w:r>
    <w:r>
      <w:rPr>
        <w:sz w:val="18"/>
        <w:szCs w:val="18"/>
      </w:rPr>
      <w:t xml:space="preserve"> Meeting Minutes </w:t>
    </w:r>
    <w:r w:rsidRPr="00176FB9">
      <w:rPr>
        <w:sz w:val="18"/>
        <w:szCs w:val="18"/>
      </w:rPr>
      <w:t>–</w:t>
    </w:r>
    <w:r w:rsidR="0038023A">
      <w:rPr>
        <w:sz w:val="18"/>
        <w:szCs w:val="18"/>
      </w:rPr>
      <w:t xml:space="preserve"> </w:t>
    </w:r>
    <w:r w:rsidR="00D96432">
      <w:rPr>
        <w:sz w:val="18"/>
        <w:szCs w:val="18"/>
      </w:rPr>
      <w:t>September 7</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14EE" w14:textId="77777777" w:rsidR="005C634C" w:rsidRDefault="005C634C">
      <w:r>
        <w:separator/>
      </w:r>
    </w:p>
  </w:footnote>
  <w:footnote w:type="continuationSeparator" w:id="0">
    <w:p w14:paraId="4E9E9F10" w14:textId="77777777" w:rsidR="005C634C" w:rsidRDefault="005C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DA5"/>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34C"/>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82322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90722a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90722a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pdf4/weq_bps090722w3.docx" TargetMode="External"/><Relationship Id="rId4" Type="http://schemas.openxmlformats.org/officeDocument/2006/relationships/settings" Target="settings.xml"/><Relationship Id="rId9" Type="http://schemas.openxmlformats.org/officeDocument/2006/relationships/hyperlink" Target="https://naesb.org/pdf4/weq_bps090722w4.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6466</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2022-09-28T17:31:00Z</dcterms:created>
  <dcterms:modified xsi:type="dcterms:W3CDTF">2022-09-28T17:31:00Z</dcterms:modified>
</cp:coreProperties>
</file>