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w:t>
      </w:r>
      <w:proofErr w:type="spellStart"/>
      <w:r w:rsidR="00230ECA">
        <w:t>Trum</w:t>
      </w:r>
      <w:proofErr w:type="spellEnd"/>
      <w:r w:rsidR="00230ECA">
        <w:t xml:space="preserve">, </w:t>
      </w:r>
      <w:r w:rsidR="00ED3FB5">
        <w:t>Director, Wholesale Electric Quadrant</w:t>
      </w:r>
    </w:p>
    <w:p w14:paraId="2BD3EE26" w14:textId="2243C7E3" w:rsidR="00C44C62" w:rsidRPr="000E5855" w:rsidRDefault="00C44C62" w:rsidP="00D62DE0">
      <w:pPr>
        <w:ind w:left="1440" w:hanging="1440"/>
      </w:pPr>
      <w:r w:rsidRPr="000E5855">
        <w:rPr>
          <w:b/>
          <w:bCs/>
        </w:rPr>
        <w:t>RE:</w:t>
      </w:r>
      <w:r w:rsidRPr="000E5855">
        <w:rPr>
          <w:b/>
          <w:bCs/>
        </w:rPr>
        <w:tab/>
      </w:r>
      <w:r w:rsidR="008F2301">
        <w:t xml:space="preserve">Final </w:t>
      </w:r>
      <w:r w:rsidR="00230ECA">
        <w:t xml:space="preserve">Minutes from </w:t>
      </w:r>
      <w:r w:rsidR="00370B79">
        <w:t>July 18</w:t>
      </w:r>
      <w:r w:rsidR="008A6136">
        <w:t>,</w:t>
      </w:r>
      <w:r w:rsidR="000B0FB1">
        <w:t xml:space="preserve"> 202</w:t>
      </w:r>
      <w:r w:rsidR="00AD617D">
        <w:t>2</w:t>
      </w:r>
      <w:r w:rsidR="00230ECA">
        <w:t xml:space="preserve"> WEQ BPS </w:t>
      </w:r>
      <w:r w:rsidR="00A856C9">
        <w:t>Meeti</w:t>
      </w:r>
      <w:r w:rsidR="00230ECA">
        <w:t>ng</w:t>
      </w:r>
    </w:p>
    <w:p w14:paraId="7C63E7B7" w14:textId="3B4C2A51"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370B79">
        <w:t>August 2</w:t>
      </w:r>
      <w:r w:rsidR="000B0FB1">
        <w:t>, 202</w:t>
      </w:r>
      <w:r w:rsidR="00BB10BD">
        <w:t>2</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20163922" w14:textId="6C8260B3" w:rsidR="00C44C62" w:rsidRDefault="00370B79" w:rsidP="0063021A">
      <w:pPr>
        <w:widowControl w:val="0"/>
        <w:jc w:val="center"/>
        <w:outlineLvl w:val="2"/>
        <w:rPr>
          <w:b/>
          <w:bCs/>
        </w:rPr>
      </w:pPr>
      <w:r>
        <w:rPr>
          <w:b/>
          <w:bCs/>
        </w:rPr>
        <w:t>July 18</w:t>
      </w:r>
      <w:r w:rsidR="00AD617D">
        <w:rPr>
          <w:b/>
          <w:bCs/>
        </w:rPr>
        <w:t>, 2022</w:t>
      </w:r>
      <w:r w:rsidR="00B70957">
        <w:rPr>
          <w:b/>
          <w:bCs/>
        </w:rPr>
        <w:t xml:space="preserve"> – </w:t>
      </w:r>
      <w:r>
        <w:rPr>
          <w:b/>
          <w:bCs/>
        </w:rPr>
        <w:t>10</w:t>
      </w:r>
      <w:r w:rsidR="00F250F8">
        <w:rPr>
          <w:b/>
          <w:bCs/>
        </w:rPr>
        <w:t>:</w:t>
      </w:r>
      <w:r w:rsidR="00437FB7">
        <w:rPr>
          <w:b/>
          <w:bCs/>
        </w:rPr>
        <w:t>0</w:t>
      </w:r>
      <w:r w:rsidR="00F250F8">
        <w:rPr>
          <w:b/>
          <w:bCs/>
        </w:rPr>
        <w:t xml:space="preserve">0 </w:t>
      </w:r>
      <w:r>
        <w:rPr>
          <w:b/>
          <w:bCs/>
        </w:rPr>
        <w:t>A</w:t>
      </w:r>
      <w:r w:rsidR="00F250F8">
        <w:rPr>
          <w:b/>
          <w:bCs/>
        </w:rPr>
        <w:t>M</w:t>
      </w:r>
      <w:r w:rsidR="00B70957">
        <w:rPr>
          <w:b/>
          <w:bCs/>
        </w:rPr>
        <w:t xml:space="preserve"> to </w:t>
      </w:r>
      <w:r>
        <w:rPr>
          <w:b/>
          <w:bCs/>
        </w:rPr>
        <w:t>1:0</w:t>
      </w:r>
      <w:r w:rsidR="00F250F8">
        <w:rPr>
          <w:b/>
          <w:bCs/>
        </w:rPr>
        <w:t xml:space="preserve">0 </w:t>
      </w:r>
      <w:r w:rsidR="00437FB7">
        <w:rPr>
          <w:b/>
          <w:bCs/>
        </w:rPr>
        <w:t>P</w:t>
      </w:r>
      <w:r w:rsidR="00F250F8">
        <w:rPr>
          <w:b/>
          <w:bCs/>
        </w:rPr>
        <w:t>M</w:t>
      </w:r>
      <w:r w:rsidR="006403FE">
        <w:rPr>
          <w:b/>
          <w:bCs/>
        </w:rPr>
        <w:t xml:space="preserve"> Central</w:t>
      </w:r>
    </w:p>
    <w:p w14:paraId="0F9A8BEC" w14:textId="77777777" w:rsidR="00C44C62" w:rsidRPr="00EE257D" w:rsidRDefault="00C44C62" w:rsidP="00EA2474">
      <w:pPr>
        <w:widowControl w:val="0"/>
        <w:jc w:val="center"/>
        <w:outlineLvl w:val="2"/>
      </w:pPr>
    </w:p>
    <w:p w14:paraId="36F6838C" w14:textId="5F4C5CDC" w:rsidR="00C44C62" w:rsidRPr="00EE257D" w:rsidRDefault="008F2301" w:rsidP="00EA2474">
      <w:pPr>
        <w:widowControl w:val="0"/>
        <w:spacing w:after="120"/>
        <w:jc w:val="center"/>
      </w:pPr>
      <w:r>
        <w:rPr>
          <w:b/>
          <w:bCs/>
          <w:u w:val="single"/>
        </w:rPr>
        <w:t>FINAL</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6BFC0A9F"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proofErr w:type="spellStart"/>
      <w:r w:rsidR="002D2E6E">
        <w:t>Trum</w:t>
      </w:r>
      <w:proofErr w:type="spellEnd"/>
      <w:r w:rsidR="002D2E6E">
        <w:t xml:space="preserve">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1F036C">
        <w:t xml:space="preserve">The agenda was adopted </w:t>
      </w:r>
      <w:r w:rsidR="003D1045">
        <w:t xml:space="preserve">on a motion </w:t>
      </w:r>
      <w:r w:rsidR="008345D2">
        <w:t xml:space="preserve">by Mr. </w:t>
      </w:r>
      <w:r w:rsidR="005C688C">
        <w:t>Brooks</w:t>
      </w:r>
      <w:r w:rsidR="00D8764F">
        <w:t xml:space="preserve">, seconded by </w:t>
      </w:r>
      <w:r w:rsidR="00370B79">
        <w:t>Mr. Johnson.</w:t>
      </w:r>
    </w:p>
    <w:p w14:paraId="3F30554C" w14:textId="258A58D9" w:rsidR="00370B79" w:rsidRDefault="00370B79" w:rsidP="008F22D4">
      <w:pPr>
        <w:spacing w:after="120"/>
        <w:jc w:val="both"/>
      </w:pPr>
      <w:r>
        <w:t>Mr. Phillips reviewed the draft minutes from the June 14, 2022 meeting.  A modification was made to correct the attendance list.  Mr. Brooks moved, seconded by Mr. Rahimi, to adopt the revised minutes as final.  The motion passed a simple majority vote without opposition.  The final minutes from the meeting are available at the following link:</w:t>
      </w:r>
      <w:r w:rsidR="00F27BFF">
        <w:t xml:space="preserve"> </w:t>
      </w:r>
      <w:hyperlink r:id="rId8" w:history="1">
        <w:r w:rsidR="00F27BFF" w:rsidRPr="001803E7">
          <w:rPr>
            <w:rStyle w:val="Hyperlink"/>
          </w:rPr>
          <w:t>https://naesb.org//pdf4/weq_bps060122fm.docx</w:t>
        </w:r>
      </w:hyperlink>
      <w:r w:rsidR="00F27BFF">
        <w:t xml:space="preserve"> </w:t>
      </w:r>
    </w:p>
    <w:p w14:paraId="1C7AFD42" w14:textId="619F146D" w:rsidR="008345D2" w:rsidRPr="00475C8F" w:rsidRDefault="00370B79" w:rsidP="008345D2">
      <w:pPr>
        <w:numPr>
          <w:ilvl w:val="0"/>
          <w:numId w:val="11"/>
        </w:numPr>
        <w:tabs>
          <w:tab w:val="num" w:pos="1620"/>
          <w:tab w:val="num" w:pos="2160"/>
        </w:tabs>
        <w:spacing w:before="120"/>
        <w:jc w:val="both"/>
        <w:rPr>
          <w:b/>
          <w:bCs/>
        </w:rPr>
      </w:pPr>
      <w:r>
        <w:rPr>
          <w:b/>
          <w:bCs/>
        </w:rPr>
        <w:t>Continue Discussion on Standards Request R22001 – Review and Discuss the Public Review Draft Version of the U.S. Department of Energy’s GMLC’s State of Common Grid Services Definitions Report</w:t>
      </w:r>
    </w:p>
    <w:p w14:paraId="4EA45453" w14:textId="4FF4C7A0" w:rsidR="00B679FB" w:rsidRDefault="00DC1EFF" w:rsidP="00370B79">
      <w:pPr>
        <w:widowControl w:val="0"/>
        <w:tabs>
          <w:tab w:val="left" w:pos="1440"/>
        </w:tabs>
        <w:spacing w:before="120" w:after="120"/>
        <w:jc w:val="both"/>
      </w:pPr>
      <w:r>
        <w:t xml:space="preserve">Mr. Phillips </w:t>
      </w:r>
      <w:r w:rsidR="00370B79">
        <w:t xml:space="preserve">stated that the submitters of the request had provided as a work paper for the meeting a public review draft report, </w:t>
      </w:r>
      <w:hyperlink r:id="rId9" w:history="1">
        <w:r w:rsidR="00370B79" w:rsidRPr="00031B6D">
          <w:rPr>
            <w:rStyle w:val="Hyperlink"/>
          </w:rPr>
          <w:t>State of Common Grid Services Definitions</w:t>
        </w:r>
      </w:hyperlink>
      <w:r w:rsidR="00370B79">
        <w:t xml:space="preserve">, as well as a presentation overviewing the report.  He asked Mr. </w:t>
      </w:r>
      <w:r w:rsidR="009D5233">
        <w:t xml:space="preserve">Brown to speak to the </w:t>
      </w:r>
      <w:hyperlink r:id="rId10" w:history="1">
        <w:r w:rsidR="009D5233" w:rsidRPr="002E6D44">
          <w:rPr>
            <w:rStyle w:val="Hyperlink"/>
          </w:rPr>
          <w:t>presentation</w:t>
        </w:r>
      </w:hyperlink>
      <w:r w:rsidR="009D5233">
        <w:t xml:space="preserve"> and the report.</w:t>
      </w:r>
    </w:p>
    <w:p w14:paraId="2BD89B4D" w14:textId="278A1286" w:rsidR="009D5233" w:rsidRDefault="009D5233" w:rsidP="00370B79">
      <w:pPr>
        <w:widowControl w:val="0"/>
        <w:tabs>
          <w:tab w:val="left" w:pos="1440"/>
        </w:tabs>
        <w:spacing w:before="120" w:after="120"/>
        <w:jc w:val="both"/>
      </w:pPr>
      <w:r>
        <w:t xml:space="preserve">Mr. Brown stated that as discussed during the previous meeting, the purpose of the request for standards development is to, as a first step, define common types of grid services for wholesale power systems by identifying any areas of overlap between the markets and creating standardization around those common categories, functions, and capabilities.  He explained that one benefit of such standards </w:t>
      </w:r>
      <w:r w:rsidR="00350DDB">
        <w:t>c</w:t>
      </w:r>
      <w:r>
        <w:t xml:space="preserve">ould </w:t>
      </w:r>
      <w:r w:rsidR="00350DDB">
        <w:t xml:space="preserve">be increased </w:t>
      </w:r>
      <w:r w:rsidR="00E25BFB">
        <w:t xml:space="preserve">utilization of flexible, grid-edge resources through </w:t>
      </w:r>
      <w:r>
        <w:t>greater consistency, enabling easier participation in multiple markets</w:t>
      </w:r>
      <w:r w:rsidR="00E25BFB">
        <w:t xml:space="preserve">, as well as lead to a better understanding of the benefits these resources could provide by defining specialized services that are not currently valued in the markets or may have wide-varying definitions.  Mr. Wood noted that most of the discussion has focused on </w:t>
      </w:r>
      <w:r w:rsidR="00A940EC">
        <w:t>ISO/RTO marketplaces and not vertically integrated utilities.  He suggested that any developed standards only be applicable to those participating in a market operated by an ISO/RTO.  Mr. Brown responded that in developing the State of Common Grid Services Definitions report, the authors were limited to information that was publicly available.  He explained that the intent of the effort is to be as inclusive as possible of existing grid services available in all wholesale markets to help ensure that the definitions are common across the majority of grid operators in North America.</w:t>
      </w:r>
    </w:p>
    <w:p w14:paraId="76F55EBE" w14:textId="396C3523" w:rsidR="00A940EC" w:rsidRDefault="00A940EC" w:rsidP="00370B79">
      <w:pPr>
        <w:widowControl w:val="0"/>
        <w:tabs>
          <w:tab w:val="left" w:pos="1440"/>
        </w:tabs>
        <w:spacing w:before="120" w:after="120"/>
        <w:jc w:val="both"/>
      </w:pPr>
      <w:r>
        <w:t xml:space="preserve">Mr. Brown </w:t>
      </w:r>
      <w:r w:rsidR="005D1AAA">
        <w:t>stated</w:t>
      </w:r>
      <w:r>
        <w:t xml:space="preserve"> that one of the overarching goals of the GMLC effort is to </w:t>
      </w:r>
      <w:r w:rsidR="005D1AAA">
        <w:t xml:space="preserve">improve upon communication protocols between the grid and distributed energy resources in order to better facilitate operational coordination.  He indicated that developing definitions for grid services that descriptive of the service being provided, as opposed to an operationally based definition that describes why a service is used, will provide a clearer demarcation between the service provider and the service requester.  Mr. Brown explained that these types of grid service descriptions will likely not only lead to an increase in the generators and types of resources that are participating in a market but also streamline communications by </w:t>
      </w:r>
      <w:r w:rsidR="00264D7C">
        <w:t xml:space="preserve">simplifying the information that needs to be </w:t>
      </w:r>
      <w:r w:rsidR="00264D7C">
        <w:lastRenderedPageBreak/>
        <w:t xml:space="preserve">communicated to engage and activate a resource to provide a specific service.  Mr. Rahimi noted that several existing grid services require telemetry and asked if this type of requirement would be included as part of the definition.  Mr. Brown responded that definitions could include telemetry requirements if needed but indicated that the ultimate goal is to provide consistency in how the market service/product is quantified.  He explained that there are likely some types of services that are not appropriate to define using a </w:t>
      </w:r>
      <w:r w:rsidR="00AB5CDF">
        <w:t>service-oriented</w:t>
      </w:r>
      <w:r w:rsidR="00264D7C">
        <w:t xml:space="preserve"> </w:t>
      </w:r>
      <w:r w:rsidR="00AB5CDF">
        <w:t>framework</w:t>
      </w:r>
      <w:r w:rsidR="00264D7C">
        <w:t>, such as</w:t>
      </w:r>
      <w:r w:rsidR="00AB5CDF">
        <w:t xml:space="preserve"> services in which the generator is under direct control of the system operator.</w:t>
      </w:r>
    </w:p>
    <w:p w14:paraId="106E9C88" w14:textId="001119E8" w:rsidR="00AB5CDF" w:rsidRDefault="00AB5CDF" w:rsidP="00370B79">
      <w:pPr>
        <w:widowControl w:val="0"/>
        <w:tabs>
          <w:tab w:val="left" w:pos="1440"/>
        </w:tabs>
        <w:spacing w:before="120" w:after="120"/>
        <w:jc w:val="both"/>
      </w:pPr>
      <w:r>
        <w:t xml:space="preserve">Mr. Brown explained that in reviewing the publicly available information of existing grid services available within wholesale markets, the authors of the State of Common Grid Services Definitions identified six broad categories of grid services for potential standardization: energy schedule, reserve, regulation, voltage management, frequency response, and emergency.  He stated that the proposal is to create a defined term for each of these services with a high-level definition and develop, as a new suite of standards, </w:t>
      </w:r>
      <w:r w:rsidR="00AB1F6C">
        <w:t>applicable performance expectations for each of the common grid services.  Mr. Brown indicated that these performance expectations could include requirements around electric and timing attributes as well as additional, applicable information such as performance measurements or a description of the operational objective.</w:t>
      </w:r>
    </w:p>
    <w:p w14:paraId="2B1B88B6" w14:textId="3072AFAD" w:rsidR="00AB1F6C" w:rsidRDefault="00AB1F6C" w:rsidP="00370B79">
      <w:pPr>
        <w:widowControl w:val="0"/>
        <w:tabs>
          <w:tab w:val="left" w:pos="1440"/>
        </w:tabs>
        <w:spacing w:before="120" w:after="120"/>
        <w:jc w:val="both"/>
      </w:pPr>
      <w:r>
        <w:t xml:space="preserve">Mr. Rahimi stated that there are some services, such as load following, that do not appear to be inclusive of the broad categories noted by Mr. Brown.  Mr. Widergren responded that the identified categories are not definitive and could modified as necessary to meet the needs of the industry and existing market services/programs.  </w:t>
      </w:r>
      <w:r w:rsidR="0002768E">
        <w:t>Mr. Rahimi suggested that a work paper mapping of grid services could be a helpful resource for the subcommittee in developing standards.</w:t>
      </w:r>
    </w:p>
    <w:p w14:paraId="225E47BB" w14:textId="3840C648" w:rsidR="00AB1F6C" w:rsidRDefault="00AB1F6C" w:rsidP="00370B79">
      <w:pPr>
        <w:widowControl w:val="0"/>
        <w:tabs>
          <w:tab w:val="left" w:pos="1440"/>
        </w:tabs>
        <w:spacing w:before="120" w:after="120"/>
        <w:jc w:val="both"/>
      </w:pPr>
      <w:r>
        <w:t>Mr. Wood noted that there are differentiations in terminology between markets operated by vertically integrated utilities and those by ISOs/RTOs that will have to be accommodated in standards development.</w:t>
      </w:r>
      <w:r w:rsidR="0002768E">
        <w:t xml:space="preserve">  He suggested that any defined terms be coordinated with NERC and that the subcommittee could begin by reviewing existing definitions in WEQ-000 that may be applicable to the standards development effort.  Ms. </w:t>
      </w:r>
      <w:proofErr w:type="spellStart"/>
      <w:r w:rsidR="0002768E">
        <w:t>Trum</w:t>
      </w:r>
      <w:proofErr w:type="spellEnd"/>
      <w:r w:rsidR="0002768E">
        <w:t xml:space="preserve"> stated that NAESB staff has been in communication with NERC staff about this effort and will continue to coordinate. </w:t>
      </w:r>
    </w:p>
    <w:p w14:paraId="28037A18" w14:textId="12AD5DC2" w:rsidR="0002768E" w:rsidRDefault="0002768E" w:rsidP="00370B79">
      <w:pPr>
        <w:widowControl w:val="0"/>
        <w:tabs>
          <w:tab w:val="left" w:pos="1440"/>
        </w:tabs>
        <w:spacing w:before="120" w:after="120"/>
        <w:jc w:val="both"/>
      </w:pPr>
      <w:r>
        <w:t xml:space="preserve">Mr. Phillips agreed that reviewing existing definitions in WEQ-000 would be a helpful starting point as there may be some overlap between existing defined terms.  He noted that, as an example, </w:t>
      </w:r>
      <w:r w:rsidR="00FC47F2">
        <w:t>Energy Service is a defined term in WEQ-000 and used as part of standards addressing demand response.  Mr. Phillips explained that there will need to be a discussion as to if existing definitions can be revised without substantively changing the meaning of the defined term or if new defined terms should be developed.  Mr. Brown suggested that a work paper be created to compare existing defined terms in WEQ-000 with proposed common grid service definitions.</w:t>
      </w:r>
    </w:p>
    <w:p w14:paraId="50155E89" w14:textId="3DE76956" w:rsidR="0026341B" w:rsidRDefault="005C688C" w:rsidP="004B32C5">
      <w:pPr>
        <w:widowControl w:val="0"/>
        <w:numPr>
          <w:ilvl w:val="0"/>
          <w:numId w:val="11"/>
        </w:numPr>
        <w:tabs>
          <w:tab w:val="left" w:pos="1440"/>
        </w:tabs>
        <w:spacing w:before="120" w:after="120"/>
        <w:jc w:val="both"/>
        <w:rPr>
          <w:b/>
          <w:bCs/>
        </w:rPr>
      </w:pPr>
      <w:r>
        <w:rPr>
          <w:b/>
          <w:bCs/>
        </w:rPr>
        <w:t>Identify N</w:t>
      </w:r>
      <w:r w:rsidR="0026341B">
        <w:rPr>
          <w:b/>
          <w:bCs/>
        </w:rPr>
        <w:t>ext Steps</w:t>
      </w:r>
      <w:r>
        <w:rPr>
          <w:b/>
          <w:bCs/>
        </w:rPr>
        <w:t xml:space="preserve"> and</w:t>
      </w:r>
      <w:r w:rsidR="0026341B">
        <w:rPr>
          <w:b/>
          <w:bCs/>
        </w:rPr>
        <w:t xml:space="preserve"> Action Items</w:t>
      </w:r>
    </w:p>
    <w:p w14:paraId="5D5DA6EB" w14:textId="65FC703B" w:rsidR="003433AF" w:rsidRDefault="00FC47F2" w:rsidP="00F979E4">
      <w:pPr>
        <w:widowControl w:val="0"/>
        <w:tabs>
          <w:tab w:val="left" w:pos="1440"/>
          <w:tab w:val="num" w:pos="1620"/>
          <w:tab w:val="num" w:pos="2160"/>
        </w:tabs>
        <w:spacing w:before="120" w:after="120"/>
        <w:jc w:val="both"/>
        <w:rPr>
          <w:bCs/>
        </w:rPr>
      </w:pPr>
      <w:r>
        <w:rPr>
          <w:bCs/>
        </w:rPr>
        <w:t xml:space="preserve">The participants discussed the next steps to move forward with standards development.  Mr. Brown noted the importance of </w:t>
      </w:r>
      <w:r w:rsidR="003433AF">
        <w:rPr>
          <w:bCs/>
        </w:rPr>
        <w:t>stakeholder input</w:t>
      </w:r>
      <w:r>
        <w:rPr>
          <w:bCs/>
        </w:rPr>
        <w:t xml:space="preserve"> throughout the process.  Mr. Phillips suggested that the subcommittee consider developing an initial, high-level </w:t>
      </w:r>
      <w:r w:rsidR="003433AF">
        <w:rPr>
          <w:bCs/>
        </w:rPr>
        <w:t xml:space="preserve">draft standard containing the proposed definitions and performance expectations for each of the identified categories of grid services.  He explained that the subcommittee can then use NAESB’s informal comment process to solicit feedback from the industry and help guide finalizing a recommendation.  There was general agreement with proceeding in this manner.  </w:t>
      </w:r>
    </w:p>
    <w:p w14:paraId="0D234792" w14:textId="51E32B12" w:rsidR="00996F77" w:rsidRDefault="003433AF" w:rsidP="00F979E4">
      <w:pPr>
        <w:widowControl w:val="0"/>
        <w:tabs>
          <w:tab w:val="left" w:pos="1440"/>
          <w:tab w:val="num" w:pos="1620"/>
          <w:tab w:val="num" w:pos="2160"/>
        </w:tabs>
        <w:spacing w:before="120" w:after="120"/>
        <w:jc w:val="both"/>
        <w:rPr>
          <w:bCs/>
        </w:rPr>
      </w:pPr>
      <w:r>
        <w:rPr>
          <w:bCs/>
        </w:rPr>
        <w:t xml:space="preserve">Mr. Phillips proposed that the subcommittee tentatively plan to have work papers together for informal comment following the meeting scheduled for August 23, 2022.  Mr. Brown agreed </w:t>
      </w:r>
      <w:r w:rsidR="00FE5105">
        <w:rPr>
          <w:bCs/>
        </w:rPr>
        <w:t>and indicated that he could submit as a work paper for the next meeting an example of a grid service definition and performance expectations that could be used as a template.  Mr. Widergren suggested that the initial focus should be the definitions and performance expectations for energy schedule service and reserve service.  Mr. Rahimi noted that the grid services mapping work paper could also help any participants better identify if the standards are representative of existing grid services.</w:t>
      </w:r>
    </w:p>
    <w:p w14:paraId="12F838F1" w14:textId="7A53B6CD" w:rsidR="00FE5105" w:rsidRDefault="00FE5105" w:rsidP="00F979E4">
      <w:pPr>
        <w:widowControl w:val="0"/>
        <w:tabs>
          <w:tab w:val="left" w:pos="1440"/>
          <w:tab w:val="num" w:pos="1620"/>
          <w:tab w:val="num" w:pos="2160"/>
        </w:tabs>
        <w:spacing w:before="120" w:after="120"/>
        <w:jc w:val="both"/>
        <w:rPr>
          <w:bCs/>
        </w:rPr>
      </w:pPr>
      <w:r>
        <w:rPr>
          <w:bCs/>
        </w:rPr>
        <w:t>Mr. Phillips stated that the subcommittee co-chairs would develop a definitions comparison work paper for discussion at the next meeting.</w:t>
      </w:r>
    </w:p>
    <w:p w14:paraId="53CA196C" w14:textId="72376D20" w:rsidR="00996F77" w:rsidRDefault="005C688C" w:rsidP="00F27BFF">
      <w:pPr>
        <w:keepNext/>
        <w:keepLines/>
        <w:numPr>
          <w:ilvl w:val="0"/>
          <w:numId w:val="11"/>
        </w:numPr>
        <w:tabs>
          <w:tab w:val="left" w:pos="1440"/>
        </w:tabs>
        <w:spacing w:after="120"/>
        <w:ind w:left="0" w:firstLine="0"/>
        <w:jc w:val="both"/>
        <w:rPr>
          <w:b/>
          <w:bCs/>
        </w:rPr>
      </w:pPr>
      <w:r>
        <w:rPr>
          <w:b/>
          <w:bCs/>
        </w:rPr>
        <w:lastRenderedPageBreak/>
        <w:t>Discuss Future Meetings</w:t>
      </w:r>
    </w:p>
    <w:p w14:paraId="7B118CCB" w14:textId="77777777" w:rsidR="00F27BFF" w:rsidRDefault="00996F77" w:rsidP="00F27BFF">
      <w:pPr>
        <w:keepNext/>
        <w:keepLines/>
        <w:tabs>
          <w:tab w:val="left" w:pos="1440"/>
        </w:tabs>
        <w:spacing w:after="120"/>
        <w:jc w:val="both"/>
      </w:pPr>
      <w:r>
        <w:t xml:space="preserve">Mr. Phillips noted that </w:t>
      </w:r>
      <w:r w:rsidR="00F27BFF">
        <w:t xml:space="preserve">the next meeting of the subcommittee is scheduled for August 3, 2022.  </w:t>
      </w:r>
    </w:p>
    <w:p w14:paraId="53625D09" w14:textId="0DB4CF15" w:rsidR="00996F77" w:rsidRPr="00996F77" w:rsidRDefault="00F27BFF" w:rsidP="00F27BFF">
      <w:pPr>
        <w:keepNext/>
        <w:keepLines/>
        <w:tabs>
          <w:tab w:val="left" w:pos="1440"/>
        </w:tabs>
        <w:spacing w:after="120"/>
        <w:jc w:val="both"/>
      </w:pPr>
      <w:r>
        <w:t xml:space="preserve">Ms. </w:t>
      </w:r>
      <w:proofErr w:type="spellStart"/>
      <w:r>
        <w:t>Trum</w:t>
      </w:r>
      <w:proofErr w:type="spellEnd"/>
      <w:r>
        <w:t xml:space="preserve"> stated that the deadline to vote out a recommendation for consideration by the WEQ Executive Committee at its upcoming October meeting is September 13, 2022.  It was noted that the subcommittee would likely not be able to finalize a recommendation by this date</w:t>
      </w:r>
    </w:p>
    <w:p w14:paraId="3691BDEB" w14:textId="71C0E59A" w:rsidR="00171CE0" w:rsidRDefault="00C44C62" w:rsidP="00FE27AA">
      <w:pPr>
        <w:widowControl w:val="0"/>
        <w:numPr>
          <w:ilvl w:val="0"/>
          <w:numId w:val="11"/>
        </w:numPr>
        <w:tabs>
          <w:tab w:val="left" w:pos="1440"/>
        </w:tabs>
        <w:spacing w:after="120"/>
        <w:ind w:left="0" w:firstLine="0"/>
        <w:jc w:val="both"/>
        <w:rPr>
          <w:b/>
          <w:bCs/>
        </w:rPr>
      </w:pPr>
      <w:r w:rsidRPr="00A651AC">
        <w:rPr>
          <w:b/>
          <w:bCs/>
        </w:rPr>
        <w:t>Adjourn</w:t>
      </w:r>
    </w:p>
    <w:p w14:paraId="102FB5CB" w14:textId="44EF49BA"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at</w:t>
      </w:r>
      <w:r w:rsidR="00F27BFF">
        <w:rPr>
          <w:bCs/>
        </w:rPr>
        <w:t xml:space="preserve"> 12:56 </w:t>
      </w:r>
      <w:r w:rsidR="009D1F6F">
        <w:rPr>
          <w:bCs/>
        </w:rPr>
        <w:t>PM</w:t>
      </w:r>
      <w:r w:rsidR="00FF2568">
        <w:rPr>
          <w:bCs/>
        </w:rPr>
        <w:t xml:space="preserve"> Central </w:t>
      </w:r>
      <w:r w:rsidR="00B7548D">
        <w:rPr>
          <w:bCs/>
        </w:rPr>
        <w:t xml:space="preserve">on a motion by </w:t>
      </w:r>
      <w:r w:rsidR="00936011">
        <w:rPr>
          <w:bCs/>
        </w:rPr>
        <w:t xml:space="preserve">Mr. </w:t>
      </w:r>
      <w:r w:rsidR="00F979E4">
        <w:rPr>
          <w:bCs/>
        </w:rPr>
        <w:t>Brooks</w:t>
      </w:r>
      <w:r w:rsidR="00F27BFF">
        <w:rPr>
          <w:bCs/>
        </w:rPr>
        <w:t>.</w:t>
      </w:r>
    </w:p>
    <w:p w14:paraId="115DE2EC" w14:textId="77777777" w:rsidR="00492BAD" w:rsidRPr="00700781" w:rsidRDefault="00C44C62" w:rsidP="00C00301">
      <w:pPr>
        <w:widowControl w:val="0"/>
        <w:numPr>
          <w:ilvl w:val="0"/>
          <w:numId w:val="11"/>
        </w:numPr>
        <w:tabs>
          <w:tab w:val="left" w:pos="1440"/>
        </w:tabs>
        <w:spacing w:before="120"/>
        <w:ind w:left="0" w:firstLine="0"/>
        <w:jc w:val="both"/>
        <w:rPr>
          <w:b/>
          <w:bCs/>
        </w:rPr>
      </w:pPr>
      <w:r w:rsidRPr="00A651AC">
        <w:rPr>
          <w:b/>
          <w:bCs/>
        </w:rPr>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C00301">
            <w:pPr>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C00301">
            <w:pPr>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C00301">
            <w:pPr>
              <w:widowControl w:val="0"/>
              <w:spacing w:before="120"/>
              <w:rPr>
                <w:rFonts w:ascii="Calibri" w:eastAsiaTheme="minorHAnsi" w:hAnsi="Calibri" w:cs="Calibri"/>
                <w:sz w:val="22"/>
                <w:szCs w:val="22"/>
              </w:rPr>
            </w:pPr>
            <w:r w:rsidRPr="003A33E1">
              <w:rPr>
                <w:b/>
                <w:bCs/>
              </w:rPr>
              <w:t>Organization</w:t>
            </w:r>
          </w:p>
        </w:tc>
      </w:tr>
      <w:tr w:rsidR="0074610C" w:rsidRPr="00286562" w14:paraId="70664519" w14:textId="77777777" w:rsidTr="001262CB">
        <w:tc>
          <w:tcPr>
            <w:tcW w:w="1998" w:type="dxa"/>
            <w:tcMar>
              <w:top w:w="0" w:type="dxa"/>
              <w:left w:w="108" w:type="dxa"/>
              <w:bottom w:w="0" w:type="dxa"/>
              <w:right w:w="108" w:type="dxa"/>
            </w:tcMar>
          </w:tcPr>
          <w:p w14:paraId="17EE4765" w14:textId="25F81189" w:rsidR="0074610C" w:rsidRPr="00F27BFF" w:rsidRDefault="0074610C" w:rsidP="00C00301">
            <w:pPr>
              <w:widowControl w:val="0"/>
              <w:spacing w:before="120"/>
              <w:rPr>
                <w:bCs/>
              </w:rPr>
            </w:pPr>
            <w:r w:rsidRPr="00F27BFF">
              <w:rPr>
                <w:bCs/>
              </w:rPr>
              <w:t>Dick</w:t>
            </w:r>
          </w:p>
        </w:tc>
        <w:tc>
          <w:tcPr>
            <w:tcW w:w="3240" w:type="dxa"/>
            <w:tcMar>
              <w:top w:w="0" w:type="dxa"/>
              <w:left w:w="108" w:type="dxa"/>
              <w:bottom w:w="0" w:type="dxa"/>
              <w:right w:w="108" w:type="dxa"/>
            </w:tcMar>
          </w:tcPr>
          <w:p w14:paraId="2B35B985" w14:textId="45E58EBE" w:rsidR="0074610C" w:rsidRPr="00F27BFF" w:rsidRDefault="0074610C" w:rsidP="00C00301">
            <w:pPr>
              <w:widowControl w:val="0"/>
              <w:spacing w:before="120"/>
              <w:rPr>
                <w:bCs/>
              </w:rPr>
            </w:pPr>
            <w:r w:rsidRPr="00F27BFF">
              <w:rPr>
                <w:bCs/>
              </w:rPr>
              <w:t>Brooks</w:t>
            </w:r>
          </w:p>
        </w:tc>
        <w:tc>
          <w:tcPr>
            <w:tcW w:w="3870" w:type="dxa"/>
            <w:tcMar>
              <w:top w:w="0" w:type="dxa"/>
              <w:left w:w="108" w:type="dxa"/>
              <w:bottom w:w="0" w:type="dxa"/>
              <w:right w:w="108" w:type="dxa"/>
            </w:tcMar>
          </w:tcPr>
          <w:p w14:paraId="471AF643" w14:textId="61B50145" w:rsidR="0074610C" w:rsidRPr="00F27BFF" w:rsidRDefault="0074610C" w:rsidP="00C00301">
            <w:pPr>
              <w:widowControl w:val="0"/>
              <w:spacing w:before="120"/>
              <w:rPr>
                <w:bCs/>
              </w:rPr>
            </w:pPr>
            <w:r w:rsidRPr="00F27BFF">
              <w:rPr>
                <w:bCs/>
              </w:rPr>
              <w:t xml:space="preserve">Reliable Energy Analytics </w:t>
            </w:r>
          </w:p>
        </w:tc>
      </w:tr>
      <w:tr w:rsidR="00F27BFF" w:rsidRPr="00286562" w14:paraId="187BCED5" w14:textId="77777777" w:rsidTr="001262CB">
        <w:tc>
          <w:tcPr>
            <w:tcW w:w="1998" w:type="dxa"/>
            <w:tcMar>
              <w:top w:w="0" w:type="dxa"/>
              <w:left w:w="108" w:type="dxa"/>
              <w:bottom w:w="0" w:type="dxa"/>
              <w:right w:w="108" w:type="dxa"/>
            </w:tcMar>
          </w:tcPr>
          <w:p w14:paraId="4B1B2F73" w14:textId="7264C390" w:rsidR="00F27BFF" w:rsidRPr="00F27BFF" w:rsidRDefault="00F27BFF" w:rsidP="00C00301">
            <w:pPr>
              <w:widowControl w:val="0"/>
              <w:spacing w:before="120"/>
              <w:rPr>
                <w:bCs/>
              </w:rPr>
            </w:pPr>
            <w:r w:rsidRPr="00F27BFF">
              <w:rPr>
                <w:bCs/>
              </w:rPr>
              <w:t>Rich</w:t>
            </w:r>
          </w:p>
        </w:tc>
        <w:tc>
          <w:tcPr>
            <w:tcW w:w="3240" w:type="dxa"/>
            <w:tcMar>
              <w:top w:w="0" w:type="dxa"/>
              <w:left w:w="108" w:type="dxa"/>
              <w:bottom w:w="0" w:type="dxa"/>
              <w:right w:w="108" w:type="dxa"/>
            </w:tcMar>
          </w:tcPr>
          <w:p w14:paraId="6CF81AFA" w14:textId="5AC1DCD9" w:rsidR="00F27BFF" w:rsidRPr="00F27BFF" w:rsidRDefault="00F27BFF" w:rsidP="00C00301">
            <w:pPr>
              <w:widowControl w:val="0"/>
              <w:spacing w:before="120"/>
              <w:rPr>
                <w:bCs/>
              </w:rPr>
            </w:pPr>
            <w:r w:rsidRPr="00F27BFF">
              <w:rPr>
                <w:bCs/>
              </w:rPr>
              <w:t>Brown</w:t>
            </w:r>
          </w:p>
        </w:tc>
        <w:tc>
          <w:tcPr>
            <w:tcW w:w="3870" w:type="dxa"/>
            <w:tcMar>
              <w:top w:w="0" w:type="dxa"/>
              <w:left w:w="108" w:type="dxa"/>
              <w:bottom w:w="0" w:type="dxa"/>
              <w:right w:w="108" w:type="dxa"/>
            </w:tcMar>
          </w:tcPr>
          <w:p w14:paraId="052FDE9D" w14:textId="7FF0A6B5" w:rsidR="00F27BFF" w:rsidRPr="00F27BFF" w:rsidRDefault="00F27BFF" w:rsidP="00C00301">
            <w:pPr>
              <w:widowControl w:val="0"/>
              <w:spacing w:before="120"/>
              <w:rPr>
                <w:bCs/>
              </w:rPr>
            </w:pPr>
            <w:r w:rsidRPr="00F27BFF">
              <w:rPr>
                <w:bCs/>
              </w:rPr>
              <w:t>Lawrence Berkeley National Laboratory</w:t>
            </w:r>
          </w:p>
        </w:tc>
      </w:tr>
      <w:tr w:rsidR="00031B6D" w:rsidRPr="00286562" w14:paraId="0617F908" w14:textId="77777777" w:rsidTr="001262CB">
        <w:tc>
          <w:tcPr>
            <w:tcW w:w="1998" w:type="dxa"/>
            <w:tcMar>
              <w:top w:w="0" w:type="dxa"/>
              <w:left w:w="108" w:type="dxa"/>
              <w:bottom w:w="0" w:type="dxa"/>
              <w:right w:w="108" w:type="dxa"/>
            </w:tcMar>
          </w:tcPr>
          <w:p w14:paraId="2B1AE19D" w14:textId="59C3E345" w:rsidR="00031B6D" w:rsidRPr="00031B6D" w:rsidRDefault="00031B6D" w:rsidP="00C00301">
            <w:pPr>
              <w:widowControl w:val="0"/>
              <w:spacing w:before="120"/>
              <w:rPr>
                <w:bCs/>
              </w:rPr>
            </w:pPr>
            <w:r w:rsidRPr="00031B6D">
              <w:rPr>
                <w:bCs/>
              </w:rPr>
              <w:t>Yarrow</w:t>
            </w:r>
          </w:p>
        </w:tc>
        <w:tc>
          <w:tcPr>
            <w:tcW w:w="3240" w:type="dxa"/>
            <w:tcMar>
              <w:top w:w="0" w:type="dxa"/>
              <w:left w:w="108" w:type="dxa"/>
              <w:bottom w:w="0" w:type="dxa"/>
              <w:right w:w="108" w:type="dxa"/>
            </w:tcMar>
          </w:tcPr>
          <w:p w14:paraId="414E1BA0" w14:textId="5A2EBC09" w:rsidR="00031B6D" w:rsidRPr="00031B6D" w:rsidRDefault="00031B6D" w:rsidP="00C00301">
            <w:pPr>
              <w:widowControl w:val="0"/>
              <w:spacing w:before="120"/>
              <w:rPr>
                <w:bCs/>
              </w:rPr>
            </w:pPr>
            <w:r w:rsidRPr="00031B6D">
              <w:rPr>
                <w:bCs/>
              </w:rPr>
              <w:t>Etheredge</w:t>
            </w:r>
          </w:p>
        </w:tc>
        <w:tc>
          <w:tcPr>
            <w:tcW w:w="3870" w:type="dxa"/>
            <w:tcMar>
              <w:top w:w="0" w:type="dxa"/>
              <w:left w:w="108" w:type="dxa"/>
              <w:bottom w:w="0" w:type="dxa"/>
              <w:right w:w="108" w:type="dxa"/>
            </w:tcMar>
          </w:tcPr>
          <w:p w14:paraId="6C86AFED" w14:textId="04F78E40" w:rsidR="00031B6D" w:rsidRPr="00031B6D" w:rsidRDefault="00031B6D" w:rsidP="00C00301">
            <w:pPr>
              <w:widowControl w:val="0"/>
              <w:spacing w:before="120"/>
              <w:rPr>
                <w:bCs/>
              </w:rPr>
            </w:pPr>
            <w:r w:rsidRPr="00031B6D">
              <w:rPr>
                <w:bCs/>
              </w:rPr>
              <w:t>Entergy</w:t>
            </w:r>
          </w:p>
        </w:tc>
      </w:tr>
      <w:tr w:rsidR="00031B6D" w:rsidRPr="00286562" w14:paraId="548E7461" w14:textId="77777777" w:rsidTr="001262CB">
        <w:tc>
          <w:tcPr>
            <w:tcW w:w="1998" w:type="dxa"/>
            <w:tcMar>
              <w:top w:w="0" w:type="dxa"/>
              <w:left w:w="108" w:type="dxa"/>
              <w:bottom w:w="0" w:type="dxa"/>
              <w:right w:w="108" w:type="dxa"/>
            </w:tcMar>
          </w:tcPr>
          <w:p w14:paraId="58531D63" w14:textId="24497D68" w:rsidR="00031B6D" w:rsidRDefault="00031B6D" w:rsidP="00C00301">
            <w:pPr>
              <w:widowControl w:val="0"/>
              <w:spacing w:before="120"/>
              <w:rPr>
                <w:bCs/>
              </w:rPr>
            </w:pPr>
            <w:r>
              <w:rPr>
                <w:bCs/>
              </w:rPr>
              <w:t>Alan</w:t>
            </w:r>
          </w:p>
        </w:tc>
        <w:tc>
          <w:tcPr>
            <w:tcW w:w="3240" w:type="dxa"/>
            <w:tcMar>
              <w:top w:w="0" w:type="dxa"/>
              <w:left w:w="108" w:type="dxa"/>
              <w:bottom w:w="0" w:type="dxa"/>
              <w:right w:w="108" w:type="dxa"/>
            </w:tcMar>
          </w:tcPr>
          <w:p w14:paraId="079B5462" w14:textId="7A63889C" w:rsidR="00031B6D" w:rsidRDefault="00031B6D" w:rsidP="00C00301">
            <w:pPr>
              <w:widowControl w:val="0"/>
              <w:spacing w:before="120"/>
              <w:rPr>
                <w:bCs/>
              </w:rPr>
            </w:pPr>
            <w:r>
              <w:rPr>
                <w:bCs/>
              </w:rPr>
              <w:t>Johnson</w:t>
            </w:r>
          </w:p>
        </w:tc>
        <w:tc>
          <w:tcPr>
            <w:tcW w:w="3870" w:type="dxa"/>
            <w:tcMar>
              <w:top w:w="0" w:type="dxa"/>
              <w:left w:w="108" w:type="dxa"/>
              <w:bottom w:w="0" w:type="dxa"/>
              <w:right w:w="108" w:type="dxa"/>
            </w:tcMar>
          </w:tcPr>
          <w:p w14:paraId="6D00D8EA" w14:textId="390AA9DE" w:rsidR="00031B6D" w:rsidRDefault="00031B6D" w:rsidP="00C00301">
            <w:pPr>
              <w:widowControl w:val="0"/>
              <w:spacing w:before="120"/>
              <w:rPr>
                <w:bCs/>
              </w:rPr>
            </w:pPr>
            <w:r>
              <w:rPr>
                <w:bCs/>
              </w:rPr>
              <w:t>NRG</w:t>
            </w:r>
          </w:p>
        </w:tc>
      </w:tr>
      <w:tr w:rsidR="00031B6D" w:rsidRPr="00286562" w14:paraId="3B526755" w14:textId="77777777" w:rsidTr="001262CB">
        <w:tc>
          <w:tcPr>
            <w:tcW w:w="1998" w:type="dxa"/>
            <w:tcMar>
              <w:top w:w="0" w:type="dxa"/>
              <w:left w:w="108" w:type="dxa"/>
              <w:bottom w:w="0" w:type="dxa"/>
              <w:right w:w="108" w:type="dxa"/>
            </w:tcMar>
          </w:tcPr>
          <w:p w14:paraId="283F8D84" w14:textId="03F6F031" w:rsidR="00031B6D" w:rsidRPr="00F27BFF" w:rsidRDefault="00031B6D" w:rsidP="00C00301">
            <w:pPr>
              <w:widowControl w:val="0"/>
              <w:spacing w:before="120"/>
              <w:rPr>
                <w:bCs/>
              </w:rPr>
            </w:pPr>
            <w:r>
              <w:rPr>
                <w:bCs/>
              </w:rPr>
              <w:t>Jo</w:t>
            </w:r>
          </w:p>
        </w:tc>
        <w:tc>
          <w:tcPr>
            <w:tcW w:w="3240" w:type="dxa"/>
            <w:tcMar>
              <w:top w:w="0" w:type="dxa"/>
              <w:left w:w="108" w:type="dxa"/>
              <w:bottom w:w="0" w:type="dxa"/>
              <w:right w:w="108" w:type="dxa"/>
            </w:tcMar>
          </w:tcPr>
          <w:p w14:paraId="2924CFC8" w14:textId="104A620E" w:rsidR="00031B6D" w:rsidRPr="00F27BFF" w:rsidRDefault="00031B6D" w:rsidP="00C00301">
            <w:pPr>
              <w:widowControl w:val="0"/>
              <w:spacing w:before="120"/>
              <w:rPr>
                <w:bCs/>
              </w:rPr>
            </w:pPr>
            <w:r>
              <w:rPr>
                <w:bCs/>
              </w:rPr>
              <w:t>Johnson</w:t>
            </w:r>
          </w:p>
        </w:tc>
        <w:tc>
          <w:tcPr>
            <w:tcW w:w="3870" w:type="dxa"/>
            <w:tcMar>
              <w:top w:w="0" w:type="dxa"/>
              <w:left w:w="108" w:type="dxa"/>
              <w:bottom w:w="0" w:type="dxa"/>
              <w:right w:w="108" w:type="dxa"/>
            </w:tcMar>
          </w:tcPr>
          <w:p w14:paraId="0443E26F" w14:textId="54D354E1" w:rsidR="00031B6D" w:rsidRPr="00F27BFF" w:rsidRDefault="00031B6D" w:rsidP="00C00301">
            <w:pPr>
              <w:widowControl w:val="0"/>
              <w:spacing w:before="120"/>
              <w:rPr>
                <w:bCs/>
              </w:rPr>
            </w:pPr>
            <w:r>
              <w:rPr>
                <w:bCs/>
              </w:rPr>
              <w:t>Portland General Electric</w:t>
            </w:r>
          </w:p>
        </w:tc>
      </w:tr>
      <w:tr w:rsidR="00FF1A71" w:rsidRPr="00286562" w14:paraId="313345C5" w14:textId="77777777" w:rsidTr="001262CB">
        <w:tc>
          <w:tcPr>
            <w:tcW w:w="1998" w:type="dxa"/>
            <w:tcMar>
              <w:top w:w="0" w:type="dxa"/>
              <w:left w:w="108" w:type="dxa"/>
              <w:bottom w:w="0" w:type="dxa"/>
              <w:right w:w="108" w:type="dxa"/>
            </w:tcMar>
          </w:tcPr>
          <w:p w14:paraId="2094B541" w14:textId="72D17EA0" w:rsidR="00FF1A71" w:rsidRPr="00F27BFF" w:rsidRDefault="00FF1A71" w:rsidP="00C00301">
            <w:pPr>
              <w:widowControl w:val="0"/>
              <w:spacing w:before="120"/>
              <w:rPr>
                <w:bCs/>
              </w:rPr>
            </w:pPr>
            <w:r w:rsidRPr="00F27BFF">
              <w:rPr>
                <w:bCs/>
              </w:rPr>
              <w:t>Brad</w:t>
            </w:r>
          </w:p>
        </w:tc>
        <w:tc>
          <w:tcPr>
            <w:tcW w:w="3240" w:type="dxa"/>
            <w:tcMar>
              <w:top w:w="0" w:type="dxa"/>
              <w:left w:w="108" w:type="dxa"/>
              <w:bottom w:w="0" w:type="dxa"/>
              <w:right w:w="108" w:type="dxa"/>
            </w:tcMar>
          </w:tcPr>
          <w:p w14:paraId="03FA42A7" w14:textId="19EFC328" w:rsidR="00FF1A71" w:rsidRPr="00F27BFF" w:rsidRDefault="00FF1A71" w:rsidP="00C00301">
            <w:pPr>
              <w:widowControl w:val="0"/>
              <w:spacing w:before="120"/>
              <w:rPr>
                <w:bCs/>
              </w:rPr>
            </w:pPr>
            <w:r w:rsidRPr="00F27BFF">
              <w:rPr>
                <w:bCs/>
              </w:rPr>
              <w:t>Johnston</w:t>
            </w:r>
          </w:p>
        </w:tc>
        <w:tc>
          <w:tcPr>
            <w:tcW w:w="3870" w:type="dxa"/>
            <w:tcMar>
              <w:top w:w="0" w:type="dxa"/>
              <w:left w:w="108" w:type="dxa"/>
              <w:bottom w:w="0" w:type="dxa"/>
              <w:right w:w="108" w:type="dxa"/>
            </w:tcMar>
          </w:tcPr>
          <w:p w14:paraId="32DBB173" w14:textId="516B8105" w:rsidR="00FF1A71" w:rsidRPr="00F27BFF" w:rsidRDefault="00FF1A71" w:rsidP="00C00301">
            <w:pPr>
              <w:widowControl w:val="0"/>
              <w:spacing w:before="120"/>
              <w:rPr>
                <w:bCs/>
              </w:rPr>
            </w:pPr>
            <w:r w:rsidRPr="00F27BFF">
              <w:rPr>
                <w:bCs/>
              </w:rPr>
              <w:t>SPP</w:t>
            </w:r>
          </w:p>
        </w:tc>
      </w:tr>
      <w:tr w:rsidR="00121237" w:rsidRPr="00286562" w14:paraId="4F981D3E" w14:textId="77777777" w:rsidTr="001262CB">
        <w:tc>
          <w:tcPr>
            <w:tcW w:w="1998" w:type="dxa"/>
            <w:tcMar>
              <w:top w:w="0" w:type="dxa"/>
              <w:left w:w="108" w:type="dxa"/>
              <w:bottom w:w="0" w:type="dxa"/>
              <w:right w:w="108" w:type="dxa"/>
            </w:tcMar>
          </w:tcPr>
          <w:p w14:paraId="1EF2A42D" w14:textId="3E00BB34" w:rsidR="00121237" w:rsidRPr="00031B6D" w:rsidRDefault="00121237" w:rsidP="00C00301">
            <w:pPr>
              <w:widowControl w:val="0"/>
              <w:spacing w:before="120"/>
              <w:rPr>
                <w:bCs/>
              </w:rPr>
            </w:pPr>
            <w:r w:rsidRPr="00031B6D">
              <w:rPr>
                <w:bCs/>
              </w:rPr>
              <w:t>Elizabeth</w:t>
            </w:r>
          </w:p>
        </w:tc>
        <w:tc>
          <w:tcPr>
            <w:tcW w:w="3240" w:type="dxa"/>
            <w:tcMar>
              <w:top w:w="0" w:type="dxa"/>
              <w:left w:w="108" w:type="dxa"/>
              <w:bottom w:w="0" w:type="dxa"/>
              <w:right w:w="108" w:type="dxa"/>
            </w:tcMar>
          </w:tcPr>
          <w:p w14:paraId="5D91029A" w14:textId="365B3BE8" w:rsidR="00121237" w:rsidRPr="00031B6D" w:rsidRDefault="00121237" w:rsidP="00C00301">
            <w:pPr>
              <w:widowControl w:val="0"/>
              <w:spacing w:before="120"/>
              <w:rPr>
                <w:bCs/>
              </w:rPr>
            </w:pPr>
            <w:r w:rsidRPr="00031B6D">
              <w:rPr>
                <w:bCs/>
              </w:rPr>
              <w:t>Mallett</w:t>
            </w:r>
          </w:p>
        </w:tc>
        <w:tc>
          <w:tcPr>
            <w:tcW w:w="3870" w:type="dxa"/>
            <w:tcMar>
              <w:top w:w="0" w:type="dxa"/>
              <w:left w:w="108" w:type="dxa"/>
              <w:bottom w:w="0" w:type="dxa"/>
              <w:right w:w="108" w:type="dxa"/>
            </w:tcMar>
          </w:tcPr>
          <w:p w14:paraId="1F1DA6E3" w14:textId="7792AD61" w:rsidR="00121237" w:rsidRPr="00031B6D" w:rsidRDefault="00121237" w:rsidP="00C00301">
            <w:pPr>
              <w:widowControl w:val="0"/>
              <w:spacing w:before="120"/>
              <w:rPr>
                <w:bCs/>
              </w:rPr>
            </w:pPr>
            <w:r w:rsidRPr="00031B6D">
              <w:rPr>
                <w:bCs/>
              </w:rPr>
              <w:t>NAESB</w:t>
            </w:r>
          </w:p>
        </w:tc>
      </w:tr>
      <w:tr w:rsidR="00EA28F0" w:rsidRPr="00286562" w14:paraId="23E1C061" w14:textId="77777777" w:rsidTr="001262CB">
        <w:tc>
          <w:tcPr>
            <w:tcW w:w="1998" w:type="dxa"/>
            <w:tcMar>
              <w:top w:w="0" w:type="dxa"/>
              <w:left w:w="108" w:type="dxa"/>
              <w:bottom w:w="0" w:type="dxa"/>
              <w:right w:w="108" w:type="dxa"/>
            </w:tcMar>
          </w:tcPr>
          <w:p w14:paraId="3C5E8765" w14:textId="746BA219" w:rsidR="00EA28F0" w:rsidRPr="00F27BFF" w:rsidRDefault="00EA28F0" w:rsidP="00C00301">
            <w:pPr>
              <w:widowControl w:val="0"/>
              <w:spacing w:before="120"/>
              <w:rPr>
                <w:bCs/>
              </w:rPr>
            </w:pPr>
            <w:r w:rsidRPr="00F27BFF">
              <w:rPr>
                <w:bCs/>
              </w:rPr>
              <w:t>Joshua</w:t>
            </w:r>
          </w:p>
        </w:tc>
        <w:tc>
          <w:tcPr>
            <w:tcW w:w="3240" w:type="dxa"/>
            <w:tcMar>
              <w:top w:w="0" w:type="dxa"/>
              <w:left w:w="108" w:type="dxa"/>
              <w:bottom w:w="0" w:type="dxa"/>
              <w:right w:w="108" w:type="dxa"/>
            </w:tcMar>
          </w:tcPr>
          <w:p w14:paraId="117D0E94" w14:textId="5D650685" w:rsidR="00EA28F0" w:rsidRPr="00F27BFF" w:rsidRDefault="00EA28F0" w:rsidP="00C00301">
            <w:pPr>
              <w:widowControl w:val="0"/>
              <w:spacing w:before="120"/>
              <w:rPr>
                <w:bCs/>
              </w:rPr>
            </w:pPr>
            <w:r w:rsidRPr="00F27BFF">
              <w:rPr>
                <w:bCs/>
              </w:rPr>
              <w:t>Phillips</w:t>
            </w:r>
          </w:p>
        </w:tc>
        <w:tc>
          <w:tcPr>
            <w:tcW w:w="3870" w:type="dxa"/>
            <w:tcMar>
              <w:top w:w="0" w:type="dxa"/>
              <w:left w:w="108" w:type="dxa"/>
              <w:bottom w:w="0" w:type="dxa"/>
              <w:right w:w="108" w:type="dxa"/>
            </w:tcMar>
          </w:tcPr>
          <w:p w14:paraId="05A4F1ED" w14:textId="74987D2F" w:rsidR="00EA28F0" w:rsidRPr="00F27BFF" w:rsidRDefault="00EA28F0" w:rsidP="00C00301">
            <w:pPr>
              <w:widowControl w:val="0"/>
              <w:spacing w:before="120"/>
              <w:rPr>
                <w:bCs/>
              </w:rPr>
            </w:pPr>
            <w:r w:rsidRPr="00F27BFF">
              <w:rPr>
                <w:bCs/>
              </w:rPr>
              <w:t>SPP</w:t>
            </w:r>
          </w:p>
        </w:tc>
      </w:tr>
      <w:tr w:rsidR="00031B6D" w:rsidRPr="00286562" w14:paraId="13F70FE9" w14:textId="77777777" w:rsidTr="001262CB">
        <w:tc>
          <w:tcPr>
            <w:tcW w:w="1998" w:type="dxa"/>
            <w:tcMar>
              <w:top w:w="0" w:type="dxa"/>
              <w:left w:w="108" w:type="dxa"/>
              <w:bottom w:w="0" w:type="dxa"/>
              <w:right w:w="108" w:type="dxa"/>
            </w:tcMar>
          </w:tcPr>
          <w:p w14:paraId="1F43A172" w14:textId="4B9148DA" w:rsidR="00031B6D" w:rsidRPr="00F27BFF" w:rsidRDefault="00031B6D" w:rsidP="00C00301">
            <w:pPr>
              <w:widowControl w:val="0"/>
              <w:spacing w:before="120"/>
              <w:rPr>
                <w:bCs/>
              </w:rPr>
            </w:pPr>
            <w:r>
              <w:rPr>
                <w:bCs/>
              </w:rPr>
              <w:t>Julia</w:t>
            </w:r>
          </w:p>
        </w:tc>
        <w:tc>
          <w:tcPr>
            <w:tcW w:w="3240" w:type="dxa"/>
            <w:tcMar>
              <w:top w:w="0" w:type="dxa"/>
              <w:left w:w="108" w:type="dxa"/>
              <w:bottom w:w="0" w:type="dxa"/>
              <w:right w:w="108" w:type="dxa"/>
            </w:tcMar>
          </w:tcPr>
          <w:p w14:paraId="00956776" w14:textId="5E0F7EBB" w:rsidR="00031B6D" w:rsidRPr="00F27BFF" w:rsidRDefault="00031B6D" w:rsidP="00C00301">
            <w:pPr>
              <w:widowControl w:val="0"/>
              <w:spacing w:before="120"/>
              <w:rPr>
                <w:bCs/>
              </w:rPr>
            </w:pPr>
            <w:r>
              <w:rPr>
                <w:bCs/>
              </w:rPr>
              <w:t>Popova</w:t>
            </w:r>
          </w:p>
        </w:tc>
        <w:tc>
          <w:tcPr>
            <w:tcW w:w="3870" w:type="dxa"/>
            <w:tcMar>
              <w:top w:w="0" w:type="dxa"/>
              <w:left w:w="108" w:type="dxa"/>
              <w:bottom w:w="0" w:type="dxa"/>
              <w:right w:w="108" w:type="dxa"/>
            </w:tcMar>
          </w:tcPr>
          <w:p w14:paraId="7EAED38F" w14:textId="0D2C43EB" w:rsidR="00031B6D" w:rsidRPr="00F27BFF" w:rsidRDefault="00031B6D" w:rsidP="00C00301">
            <w:pPr>
              <w:widowControl w:val="0"/>
              <w:spacing w:before="120"/>
              <w:rPr>
                <w:bCs/>
              </w:rPr>
            </w:pPr>
            <w:r>
              <w:rPr>
                <w:bCs/>
              </w:rPr>
              <w:t>NRG</w:t>
            </w:r>
          </w:p>
        </w:tc>
      </w:tr>
      <w:tr w:rsidR="0074610C" w:rsidRPr="00286562" w14:paraId="7D1F1664" w14:textId="77777777" w:rsidTr="001262CB">
        <w:tc>
          <w:tcPr>
            <w:tcW w:w="1998" w:type="dxa"/>
            <w:tcMar>
              <w:top w:w="0" w:type="dxa"/>
              <w:left w:w="108" w:type="dxa"/>
              <w:bottom w:w="0" w:type="dxa"/>
              <w:right w:w="108" w:type="dxa"/>
            </w:tcMar>
          </w:tcPr>
          <w:p w14:paraId="2F857D2F" w14:textId="288B4BCB" w:rsidR="0074610C" w:rsidRPr="00F27BFF" w:rsidRDefault="0074610C" w:rsidP="00C00301">
            <w:pPr>
              <w:widowControl w:val="0"/>
              <w:spacing w:before="120"/>
              <w:rPr>
                <w:bCs/>
              </w:rPr>
            </w:pPr>
            <w:r w:rsidRPr="00F27BFF">
              <w:rPr>
                <w:bCs/>
              </w:rPr>
              <w:t>Farrokh</w:t>
            </w:r>
          </w:p>
        </w:tc>
        <w:tc>
          <w:tcPr>
            <w:tcW w:w="3240" w:type="dxa"/>
            <w:tcMar>
              <w:top w:w="0" w:type="dxa"/>
              <w:left w:w="108" w:type="dxa"/>
              <w:bottom w:w="0" w:type="dxa"/>
              <w:right w:w="108" w:type="dxa"/>
            </w:tcMar>
          </w:tcPr>
          <w:p w14:paraId="2F204526" w14:textId="1E799E56" w:rsidR="0074610C" w:rsidRPr="00F27BFF" w:rsidRDefault="0074610C" w:rsidP="00C00301">
            <w:pPr>
              <w:widowControl w:val="0"/>
              <w:spacing w:before="120"/>
              <w:rPr>
                <w:bCs/>
              </w:rPr>
            </w:pPr>
            <w:r w:rsidRPr="00F27BFF">
              <w:rPr>
                <w:bCs/>
              </w:rPr>
              <w:t>Rahimi</w:t>
            </w:r>
          </w:p>
        </w:tc>
        <w:tc>
          <w:tcPr>
            <w:tcW w:w="3870" w:type="dxa"/>
            <w:tcMar>
              <w:top w:w="0" w:type="dxa"/>
              <w:left w:w="108" w:type="dxa"/>
              <w:bottom w:w="0" w:type="dxa"/>
              <w:right w:w="108" w:type="dxa"/>
            </w:tcMar>
          </w:tcPr>
          <w:p w14:paraId="04098AD1" w14:textId="5F3DE8C0" w:rsidR="0074610C" w:rsidRPr="00F27BFF" w:rsidRDefault="0074610C" w:rsidP="00C00301">
            <w:pPr>
              <w:widowControl w:val="0"/>
              <w:spacing w:before="120"/>
              <w:rPr>
                <w:bCs/>
              </w:rPr>
            </w:pPr>
            <w:r w:rsidRPr="00F27BFF">
              <w:rPr>
                <w:bCs/>
              </w:rPr>
              <w:t>OATI</w:t>
            </w:r>
          </w:p>
        </w:tc>
      </w:tr>
      <w:tr w:rsidR="00B07034" w:rsidRPr="00286562" w14:paraId="39B83FC7" w14:textId="77777777" w:rsidTr="001262CB">
        <w:tc>
          <w:tcPr>
            <w:tcW w:w="1998" w:type="dxa"/>
            <w:tcMar>
              <w:top w:w="0" w:type="dxa"/>
              <w:left w:w="108" w:type="dxa"/>
              <w:bottom w:w="0" w:type="dxa"/>
              <w:right w:w="108" w:type="dxa"/>
            </w:tcMar>
          </w:tcPr>
          <w:p w14:paraId="67CF7BB7" w14:textId="2D3AADBE" w:rsidR="00B07034" w:rsidRPr="00F27BFF" w:rsidRDefault="00B07034" w:rsidP="00C00301">
            <w:pPr>
              <w:widowControl w:val="0"/>
              <w:spacing w:before="120"/>
              <w:rPr>
                <w:bCs/>
              </w:rPr>
            </w:pPr>
            <w:r w:rsidRPr="00F27BFF">
              <w:rPr>
                <w:bCs/>
              </w:rPr>
              <w:t>Robin</w:t>
            </w:r>
          </w:p>
        </w:tc>
        <w:tc>
          <w:tcPr>
            <w:tcW w:w="3240" w:type="dxa"/>
            <w:tcMar>
              <w:top w:w="0" w:type="dxa"/>
              <w:left w:w="108" w:type="dxa"/>
              <w:bottom w:w="0" w:type="dxa"/>
              <w:right w:w="108" w:type="dxa"/>
            </w:tcMar>
          </w:tcPr>
          <w:p w14:paraId="1DCA194A" w14:textId="2C0BA7A8" w:rsidR="00B07034" w:rsidRPr="00F27BFF" w:rsidRDefault="00B07034" w:rsidP="00C00301">
            <w:pPr>
              <w:widowControl w:val="0"/>
              <w:spacing w:before="120"/>
              <w:rPr>
                <w:bCs/>
              </w:rPr>
            </w:pPr>
            <w:proofErr w:type="spellStart"/>
            <w:r w:rsidRPr="00F27BFF">
              <w:rPr>
                <w:bCs/>
              </w:rPr>
              <w:t>Rebillard</w:t>
            </w:r>
            <w:proofErr w:type="spellEnd"/>
          </w:p>
        </w:tc>
        <w:tc>
          <w:tcPr>
            <w:tcW w:w="3870" w:type="dxa"/>
            <w:tcMar>
              <w:top w:w="0" w:type="dxa"/>
              <w:left w:w="108" w:type="dxa"/>
              <w:bottom w:w="0" w:type="dxa"/>
              <w:right w:w="108" w:type="dxa"/>
            </w:tcMar>
          </w:tcPr>
          <w:p w14:paraId="6D38DE62" w14:textId="4B7C2C56" w:rsidR="00B07034" w:rsidRPr="00F27BFF" w:rsidRDefault="00B07034" w:rsidP="00C00301">
            <w:pPr>
              <w:widowControl w:val="0"/>
              <w:spacing w:before="120"/>
              <w:rPr>
                <w:bCs/>
              </w:rPr>
            </w:pPr>
            <w:r w:rsidRPr="00F27BFF">
              <w:rPr>
                <w:bCs/>
              </w:rPr>
              <w:t>Manitoba Hydro</w:t>
            </w:r>
          </w:p>
        </w:tc>
      </w:tr>
      <w:tr w:rsidR="00FF1A71" w:rsidRPr="00286562" w14:paraId="221D408C" w14:textId="77777777" w:rsidTr="001262CB">
        <w:tc>
          <w:tcPr>
            <w:tcW w:w="1998" w:type="dxa"/>
            <w:tcMar>
              <w:top w:w="0" w:type="dxa"/>
              <w:left w:w="108" w:type="dxa"/>
              <w:bottom w:w="0" w:type="dxa"/>
              <w:right w:w="108" w:type="dxa"/>
            </w:tcMar>
          </w:tcPr>
          <w:p w14:paraId="14730D91" w14:textId="6837E695" w:rsidR="00FF1A71" w:rsidRPr="00F27BFF" w:rsidRDefault="00FF1A71" w:rsidP="00C00301">
            <w:pPr>
              <w:widowControl w:val="0"/>
              <w:spacing w:before="120"/>
              <w:rPr>
                <w:bCs/>
              </w:rPr>
            </w:pPr>
            <w:r w:rsidRPr="00F27BFF">
              <w:rPr>
                <w:bCs/>
              </w:rPr>
              <w:t>Ron</w:t>
            </w:r>
          </w:p>
        </w:tc>
        <w:tc>
          <w:tcPr>
            <w:tcW w:w="3240" w:type="dxa"/>
            <w:tcMar>
              <w:top w:w="0" w:type="dxa"/>
              <w:left w:w="108" w:type="dxa"/>
              <w:bottom w:w="0" w:type="dxa"/>
              <w:right w:w="108" w:type="dxa"/>
            </w:tcMar>
          </w:tcPr>
          <w:p w14:paraId="1CDC292D" w14:textId="28F999DC" w:rsidR="00FF1A71" w:rsidRPr="00F27BFF" w:rsidRDefault="00FF1A71" w:rsidP="00C00301">
            <w:pPr>
              <w:widowControl w:val="0"/>
              <w:spacing w:before="120"/>
              <w:rPr>
                <w:bCs/>
              </w:rPr>
            </w:pPr>
            <w:r w:rsidRPr="00F27BFF">
              <w:rPr>
                <w:bCs/>
              </w:rPr>
              <w:t>Robinson</w:t>
            </w:r>
          </w:p>
        </w:tc>
        <w:tc>
          <w:tcPr>
            <w:tcW w:w="3870" w:type="dxa"/>
            <w:tcMar>
              <w:top w:w="0" w:type="dxa"/>
              <w:left w:w="108" w:type="dxa"/>
              <w:bottom w:w="0" w:type="dxa"/>
              <w:right w:w="108" w:type="dxa"/>
            </w:tcMar>
          </w:tcPr>
          <w:p w14:paraId="45247159" w14:textId="7AE6FD80" w:rsidR="00FF1A71" w:rsidRPr="00F27BFF" w:rsidRDefault="00FF1A71" w:rsidP="00C00301">
            <w:pPr>
              <w:widowControl w:val="0"/>
              <w:spacing w:before="120"/>
              <w:rPr>
                <w:bCs/>
              </w:rPr>
            </w:pPr>
            <w:r w:rsidRPr="00F27BFF">
              <w:rPr>
                <w:bCs/>
              </w:rPr>
              <w:t>TVA</w:t>
            </w:r>
          </w:p>
        </w:tc>
      </w:tr>
      <w:tr w:rsidR="00AD3870" w:rsidRPr="00286562" w14:paraId="6E13412B" w14:textId="77777777" w:rsidTr="001262CB">
        <w:tc>
          <w:tcPr>
            <w:tcW w:w="1998" w:type="dxa"/>
            <w:tcMar>
              <w:top w:w="0" w:type="dxa"/>
              <w:left w:w="108" w:type="dxa"/>
              <w:bottom w:w="0" w:type="dxa"/>
              <w:right w:w="108" w:type="dxa"/>
            </w:tcMar>
          </w:tcPr>
          <w:p w14:paraId="78478E63" w14:textId="6C69739E" w:rsidR="00AD3870" w:rsidRPr="00F27BFF" w:rsidRDefault="00121237" w:rsidP="00C00301">
            <w:pPr>
              <w:widowControl w:val="0"/>
              <w:spacing w:before="120"/>
              <w:rPr>
                <w:bCs/>
              </w:rPr>
            </w:pPr>
            <w:r w:rsidRPr="00F27BFF">
              <w:rPr>
                <w:bCs/>
              </w:rPr>
              <w:t>Lisa</w:t>
            </w:r>
          </w:p>
        </w:tc>
        <w:tc>
          <w:tcPr>
            <w:tcW w:w="3240" w:type="dxa"/>
            <w:tcMar>
              <w:top w:w="0" w:type="dxa"/>
              <w:left w:w="108" w:type="dxa"/>
              <w:bottom w:w="0" w:type="dxa"/>
              <w:right w:w="108" w:type="dxa"/>
            </w:tcMar>
          </w:tcPr>
          <w:p w14:paraId="6C2E6439" w14:textId="603856A5" w:rsidR="00AD3870" w:rsidRPr="00F27BFF" w:rsidRDefault="00121237" w:rsidP="00C00301">
            <w:pPr>
              <w:widowControl w:val="0"/>
              <w:spacing w:before="120"/>
              <w:rPr>
                <w:bCs/>
              </w:rPr>
            </w:pPr>
            <w:proofErr w:type="spellStart"/>
            <w:r w:rsidRPr="00F27BFF">
              <w:rPr>
                <w:bCs/>
              </w:rPr>
              <w:t>Sieg</w:t>
            </w:r>
            <w:proofErr w:type="spellEnd"/>
          </w:p>
        </w:tc>
        <w:tc>
          <w:tcPr>
            <w:tcW w:w="3870" w:type="dxa"/>
            <w:tcMar>
              <w:top w:w="0" w:type="dxa"/>
              <w:left w:w="108" w:type="dxa"/>
              <w:bottom w:w="0" w:type="dxa"/>
              <w:right w:w="108" w:type="dxa"/>
            </w:tcMar>
          </w:tcPr>
          <w:p w14:paraId="4AC7CD13" w14:textId="7E0C90AC" w:rsidR="00AD3870" w:rsidRPr="00F27BFF" w:rsidRDefault="00121237" w:rsidP="00C00301">
            <w:pPr>
              <w:widowControl w:val="0"/>
              <w:spacing w:before="120"/>
              <w:rPr>
                <w:bCs/>
              </w:rPr>
            </w:pPr>
            <w:r w:rsidRPr="00F27BFF">
              <w:rPr>
                <w:bCs/>
              </w:rPr>
              <w:t>LG&amp;E and KU Services</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F27BFF" w:rsidRDefault="00BE24C3" w:rsidP="00C00301">
            <w:pPr>
              <w:widowControl w:val="0"/>
              <w:spacing w:before="120"/>
              <w:rPr>
                <w:bCs/>
              </w:rPr>
            </w:pPr>
            <w:r w:rsidRPr="00F27BFF">
              <w:rPr>
                <w:bCs/>
              </w:rPr>
              <w:t>Caroline</w:t>
            </w:r>
          </w:p>
        </w:tc>
        <w:tc>
          <w:tcPr>
            <w:tcW w:w="3240" w:type="dxa"/>
            <w:tcMar>
              <w:top w:w="0" w:type="dxa"/>
              <w:left w:w="108" w:type="dxa"/>
              <w:bottom w:w="0" w:type="dxa"/>
              <w:right w:w="108" w:type="dxa"/>
            </w:tcMar>
            <w:hideMark/>
          </w:tcPr>
          <w:p w14:paraId="3166FE36" w14:textId="77777777" w:rsidR="00BE24C3" w:rsidRPr="00F27BFF" w:rsidRDefault="00BE24C3" w:rsidP="00C00301">
            <w:pPr>
              <w:widowControl w:val="0"/>
              <w:spacing w:before="120"/>
              <w:rPr>
                <w:bCs/>
              </w:rPr>
            </w:pPr>
            <w:proofErr w:type="spellStart"/>
            <w:r w:rsidRPr="00F27BFF">
              <w:rPr>
                <w:bCs/>
              </w:rPr>
              <w:t>Trum</w:t>
            </w:r>
            <w:proofErr w:type="spellEnd"/>
          </w:p>
        </w:tc>
        <w:tc>
          <w:tcPr>
            <w:tcW w:w="3870" w:type="dxa"/>
            <w:tcMar>
              <w:top w:w="0" w:type="dxa"/>
              <w:left w:w="108" w:type="dxa"/>
              <w:bottom w:w="0" w:type="dxa"/>
              <w:right w:w="108" w:type="dxa"/>
            </w:tcMar>
            <w:hideMark/>
          </w:tcPr>
          <w:p w14:paraId="57332193" w14:textId="77777777" w:rsidR="00BE24C3" w:rsidRPr="00F27BFF" w:rsidRDefault="00BE24C3" w:rsidP="00C00301">
            <w:pPr>
              <w:widowControl w:val="0"/>
              <w:spacing w:before="120"/>
              <w:rPr>
                <w:bCs/>
              </w:rPr>
            </w:pPr>
            <w:r w:rsidRPr="00F27BFF">
              <w:rPr>
                <w:bCs/>
              </w:rPr>
              <w:t>NAESB</w:t>
            </w:r>
          </w:p>
        </w:tc>
      </w:tr>
      <w:tr w:rsidR="00121237" w:rsidRPr="00286562" w14:paraId="25715827" w14:textId="77777777" w:rsidTr="001262CB">
        <w:tc>
          <w:tcPr>
            <w:tcW w:w="1998" w:type="dxa"/>
            <w:tcMar>
              <w:top w:w="0" w:type="dxa"/>
              <w:left w:w="108" w:type="dxa"/>
              <w:bottom w:w="0" w:type="dxa"/>
              <w:right w:w="108" w:type="dxa"/>
            </w:tcMar>
          </w:tcPr>
          <w:p w14:paraId="6E399D4A" w14:textId="66B565FE" w:rsidR="00121237" w:rsidRPr="00F27BFF" w:rsidRDefault="00121237" w:rsidP="00C00301">
            <w:pPr>
              <w:widowControl w:val="0"/>
              <w:spacing w:before="120"/>
              <w:rPr>
                <w:bCs/>
              </w:rPr>
            </w:pPr>
            <w:r w:rsidRPr="00F27BFF">
              <w:rPr>
                <w:bCs/>
              </w:rPr>
              <w:t>Steve</w:t>
            </w:r>
          </w:p>
        </w:tc>
        <w:tc>
          <w:tcPr>
            <w:tcW w:w="3240" w:type="dxa"/>
            <w:tcMar>
              <w:top w:w="0" w:type="dxa"/>
              <w:left w:w="108" w:type="dxa"/>
              <w:bottom w:w="0" w:type="dxa"/>
              <w:right w:w="108" w:type="dxa"/>
            </w:tcMar>
          </w:tcPr>
          <w:p w14:paraId="335408C9" w14:textId="512969D7" w:rsidR="00121237" w:rsidRPr="00F27BFF" w:rsidRDefault="00121237" w:rsidP="00C00301">
            <w:pPr>
              <w:widowControl w:val="0"/>
              <w:spacing w:before="120"/>
              <w:rPr>
                <w:bCs/>
              </w:rPr>
            </w:pPr>
            <w:r w:rsidRPr="00F27BFF">
              <w:rPr>
                <w:bCs/>
              </w:rPr>
              <w:t>Widergren</w:t>
            </w:r>
          </w:p>
        </w:tc>
        <w:tc>
          <w:tcPr>
            <w:tcW w:w="3870" w:type="dxa"/>
            <w:tcMar>
              <w:top w:w="0" w:type="dxa"/>
              <w:left w:w="108" w:type="dxa"/>
              <w:bottom w:w="0" w:type="dxa"/>
              <w:right w:w="108" w:type="dxa"/>
            </w:tcMar>
          </w:tcPr>
          <w:p w14:paraId="39E1C5E3" w14:textId="20014D7D" w:rsidR="00121237" w:rsidRPr="00F27BFF" w:rsidRDefault="00121237" w:rsidP="00C00301">
            <w:pPr>
              <w:widowControl w:val="0"/>
              <w:spacing w:before="120"/>
              <w:rPr>
                <w:bCs/>
              </w:rPr>
            </w:pPr>
            <w:r w:rsidRPr="00F27BFF">
              <w:rPr>
                <w:bCs/>
              </w:rPr>
              <w:t>Pacific Northwest National Laboratory</w:t>
            </w:r>
          </w:p>
        </w:tc>
      </w:tr>
      <w:tr w:rsidR="00BC5DF1" w:rsidRPr="00286562" w14:paraId="11DA91D6" w14:textId="77777777" w:rsidTr="001262CB">
        <w:tc>
          <w:tcPr>
            <w:tcW w:w="1998" w:type="dxa"/>
            <w:tcMar>
              <w:top w:w="0" w:type="dxa"/>
              <w:left w:w="108" w:type="dxa"/>
              <w:bottom w:w="0" w:type="dxa"/>
              <w:right w:w="108" w:type="dxa"/>
            </w:tcMar>
          </w:tcPr>
          <w:p w14:paraId="13AE5F83" w14:textId="303FA004" w:rsidR="00BC5DF1" w:rsidRPr="00F27BFF" w:rsidRDefault="00BC5DF1" w:rsidP="00C00301">
            <w:pPr>
              <w:widowControl w:val="0"/>
              <w:spacing w:before="120"/>
              <w:rPr>
                <w:bCs/>
              </w:rPr>
            </w:pPr>
            <w:r w:rsidRPr="00F27BFF">
              <w:rPr>
                <w:bCs/>
              </w:rPr>
              <w:t>JT</w:t>
            </w:r>
          </w:p>
        </w:tc>
        <w:tc>
          <w:tcPr>
            <w:tcW w:w="3240" w:type="dxa"/>
            <w:tcMar>
              <w:top w:w="0" w:type="dxa"/>
              <w:left w:w="108" w:type="dxa"/>
              <w:bottom w:w="0" w:type="dxa"/>
              <w:right w:w="108" w:type="dxa"/>
            </w:tcMar>
          </w:tcPr>
          <w:p w14:paraId="2392DA64" w14:textId="53DBD2D9" w:rsidR="00BC5DF1" w:rsidRPr="00F27BFF" w:rsidRDefault="00BC5DF1" w:rsidP="00C00301">
            <w:pPr>
              <w:widowControl w:val="0"/>
              <w:spacing w:before="120"/>
              <w:rPr>
                <w:bCs/>
              </w:rPr>
            </w:pPr>
            <w:r w:rsidRPr="00F27BFF">
              <w:rPr>
                <w:bCs/>
              </w:rPr>
              <w:t>Wood</w:t>
            </w:r>
          </w:p>
        </w:tc>
        <w:tc>
          <w:tcPr>
            <w:tcW w:w="3870" w:type="dxa"/>
            <w:tcMar>
              <w:top w:w="0" w:type="dxa"/>
              <w:left w:w="108" w:type="dxa"/>
              <w:bottom w:w="0" w:type="dxa"/>
              <w:right w:w="108" w:type="dxa"/>
            </w:tcMar>
          </w:tcPr>
          <w:p w14:paraId="53D0F1D6" w14:textId="445FF6B8" w:rsidR="00BC5DF1" w:rsidRPr="00F27BFF" w:rsidRDefault="00BC5DF1" w:rsidP="00C00301">
            <w:pPr>
              <w:widowControl w:val="0"/>
              <w:spacing w:before="120"/>
              <w:rPr>
                <w:bCs/>
              </w:rPr>
            </w:pPr>
            <w:r w:rsidRPr="00F27BFF">
              <w:rPr>
                <w:bCs/>
              </w:rPr>
              <w:t>Southern Company</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1"/>
      <w:footerReference w:type="default" r:id="rId12"/>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15F9" w14:textId="77777777" w:rsidR="00D71FED" w:rsidRDefault="00D71FED">
      <w:r>
        <w:separator/>
      </w:r>
    </w:p>
  </w:endnote>
  <w:endnote w:type="continuationSeparator" w:id="0">
    <w:p w14:paraId="33D4166D" w14:textId="77777777" w:rsidR="00D71FED" w:rsidRDefault="00D7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4C409B35" w:rsidR="00F7176E" w:rsidRPr="00176FB9" w:rsidRDefault="00F7176E" w:rsidP="005E6421">
    <w:pPr>
      <w:pStyle w:val="Footer"/>
      <w:pBdr>
        <w:top w:val="single" w:sz="12" w:space="1" w:color="auto"/>
      </w:pBdr>
      <w:jc w:val="right"/>
      <w:rPr>
        <w:sz w:val="18"/>
        <w:szCs w:val="18"/>
      </w:rPr>
    </w:pPr>
    <w:r>
      <w:rPr>
        <w:sz w:val="18"/>
        <w:szCs w:val="18"/>
      </w:rPr>
      <w:t xml:space="preserve">WEQ BPS </w:t>
    </w:r>
    <w:r w:rsidR="008F2301">
      <w:rPr>
        <w:sz w:val="18"/>
        <w:szCs w:val="18"/>
      </w:rPr>
      <w:t xml:space="preserve">Final </w:t>
    </w:r>
    <w:r>
      <w:rPr>
        <w:sz w:val="18"/>
        <w:szCs w:val="18"/>
      </w:rPr>
      <w:t xml:space="preserve">Meeting Minutes </w:t>
    </w:r>
    <w:r w:rsidRPr="00176FB9">
      <w:rPr>
        <w:sz w:val="18"/>
        <w:szCs w:val="18"/>
      </w:rPr>
      <w:t>–</w:t>
    </w:r>
    <w:r w:rsidR="0038023A">
      <w:rPr>
        <w:sz w:val="18"/>
        <w:szCs w:val="18"/>
      </w:rPr>
      <w:t xml:space="preserve"> </w:t>
    </w:r>
    <w:r w:rsidR="004F170A">
      <w:rPr>
        <w:sz w:val="18"/>
        <w:szCs w:val="18"/>
      </w:rPr>
      <w:t>Ju</w:t>
    </w:r>
    <w:r w:rsidR="00F27BFF">
      <w:rPr>
        <w:sz w:val="18"/>
        <w:szCs w:val="18"/>
      </w:rPr>
      <w:t>ly 18</w:t>
    </w:r>
    <w:r w:rsidR="00936011">
      <w:rPr>
        <w:sz w:val="18"/>
        <w:szCs w:val="18"/>
      </w:rPr>
      <w:t>, 2022</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44760" w14:textId="77777777" w:rsidR="00D71FED" w:rsidRDefault="00D71FED">
      <w:r>
        <w:separator/>
      </w:r>
    </w:p>
  </w:footnote>
  <w:footnote w:type="continuationSeparator" w:id="0">
    <w:p w14:paraId="14099D7A" w14:textId="77777777" w:rsidR="00D71FED" w:rsidRDefault="00D71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47E9DAD1" w:rsidR="00F7176E" w:rsidRPr="00D65256" w:rsidRDefault="005C688C"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142066936">
    <w:abstractNumId w:val="40"/>
  </w:num>
  <w:num w:numId="2" w16cid:durableId="213082767">
    <w:abstractNumId w:val="16"/>
  </w:num>
  <w:num w:numId="3" w16cid:durableId="228997703">
    <w:abstractNumId w:val="31"/>
  </w:num>
  <w:num w:numId="4" w16cid:durableId="1936547836">
    <w:abstractNumId w:val="38"/>
  </w:num>
  <w:num w:numId="5" w16cid:durableId="918439651">
    <w:abstractNumId w:val="9"/>
  </w:num>
  <w:num w:numId="6" w16cid:durableId="1601640830">
    <w:abstractNumId w:val="33"/>
  </w:num>
  <w:num w:numId="7" w16cid:durableId="38825310">
    <w:abstractNumId w:val="8"/>
  </w:num>
  <w:num w:numId="8" w16cid:durableId="1860660652">
    <w:abstractNumId w:val="11"/>
  </w:num>
  <w:num w:numId="9" w16cid:durableId="1096249235">
    <w:abstractNumId w:val="12"/>
  </w:num>
  <w:num w:numId="10" w16cid:durableId="1044909686">
    <w:abstractNumId w:val="4"/>
  </w:num>
  <w:num w:numId="11" w16cid:durableId="1653287285">
    <w:abstractNumId w:val="22"/>
  </w:num>
  <w:num w:numId="12" w16cid:durableId="693113558">
    <w:abstractNumId w:val="6"/>
  </w:num>
  <w:num w:numId="13" w16cid:durableId="1279530205">
    <w:abstractNumId w:val="14"/>
  </w:num>
  <w:num w:numId="14" w16cid:durableId="1358391778">
    <w:abstractNumId w:val="17"/>
  </w:num>
  <w:num w:numId="15" w16cid:durableId="797454161">
    <w:abstractNumId w:val="10"/>
  </w:num>
  <w:num w:numId="16" w16cid:durableId="641740180">
    <w:abstractNumId w:val="2"/>
  </w:num>
  <w:num w:numId="17" w16cid:durableId="154493278">
    <w:abstractNumId w:val="41"/>
  </w:num>
  <w:num w:numId="18" w16cid:durableId="919752428">
    <w:abstractNumId w:val="20"/>
  </w:num>
  <w:num w:numId="19" w16cid:durableId="211485760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310445">
    <w:abstractNumId w:val="15"/>
  </w:num>
  <w:num w:numId="21" w16cid:durableId="1327245217">
    <w:abstractNumId w:val="39"/>
  </w:num>
  <w:num w:numId="22" w16cid:durableId="1432434037">
    <w:abstractNumId w:val="24"/>
  </w:num>
  <w:num w:numId="23" w16cid:durableId="479855235">
    <w:abstractNumId w:val="35"/>
  </w:num>
  <w:num w:numId="24" w16cid:durableId="154879141">
    <w:abstractNumId w:val="36"/>
  </w:num>
  <w:num w:numId="25" w16cid:durableId="318770904">
    <w:abstractNumId w:val="18"/>
  </w:num>
  <w:num w:numId="26" w16cid:durableId="244800911">
    <w:abstractNumId w:val="34"/>
  </w:num>
  <w:num w:numId="27" w16cid:durableId="4988435">
    <w:abstractNumId w:val="19"/>
  </w:num>
  <w:num w:numId="28" w16cid:durableId="1289050080">
    <w:abstractNumId w:val="5"/>
  </w:num>
  <w:num w:numId="29" w16cid:durableId="185486468">
    <w:abstractNumId w:val="27"/>
  </w:num>
  <w:num w:numId="30" w16cid:durableId="1722486156">
    <w:abstractNumId w:val="32"/>
  </w:num>
  <w:num w:numId="31" w16cid:durableId="1437480256">
    <w:abstractNumId w:val="37"/>
  </w:num>
  <w:num w:numId="32" w16cid:durableId="18432699">
    <w:abstractNumId w:val="26"/>
  </w:num>
  <w:num w:numId="33" w16cid:durableId="585383483">
    <w:abstractNumId w:val="25"/>
  </w:num>
  <w:num w:numId="34" w16cid:durableId="501631256">
    <w:abstractNumId w:val="23"/>
  </w:num>
  <w:num w:numId="35" w16cid:durableId="1536885961">
    <w:abstractNumId w:val="28"/>
  </w:num>
  <w:num w:numId="36" w16cid:durableId="1118331430">
    <w:abstractNumId w:val="13"/>
  </w:num>
  <w:num w:numId="37" w16cid:durableId="951210971">
    <w:abstractNumId w:val="29"/>
  </w:num>
  <w:num w:numId="38" w16cid:durableId="4798804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8810241">
    <w:abstractNumId w:val="21"/>
  </w:num>
  <w:num w:numId="40" w16cid:durableId="1517188946">
    <w:abstractNumId w:val="7"/>
  </w:num>
  <w:num w:numId="41" w16cid:durableId="1042635673">
    <w:abstractNumId w:val="3"/>
  </w:num>
  <w:num w:numId="42" w16cid:durableId="1268544486">
    <w:abstractNumId w:val="1"/>
  </w:num>
  <w:num w:numId="43" w16cid:durableId="97656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0A83"/>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332"/>
    <w:rsid w:val="00017436"/>
    <w:rsid w:val="0001758B"/>
    <w:rsid w:val="00017887"/>
    <w:rsid w:val="00020036"/>
    <w:rsid w:val="000202B7"/>
    <w:rsid w:val="00020541"/>
    <w:rsid w:val="00020710"/>
    <w:rsid w:val="00020931"/>
    <w:rsid w:val="00020C47"/>
    <w:rsid w:val="00020D1E"/>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68E"/>
    <w:rsid w:val="00027B2D"/>
    <w:rsid w:val="00027DDB"/>
    <w:rsid w:val="00027F68"/>
    <w:rsid w:val="00030BF1"/>
    <w:rsid w:val="00030F25"/>
    <w:rsid w:val="00031613"/>
    <w:rsid w:val="00031B6D"/>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C74"/>
    <w:rsid w:val="0005211D"/>
    <w:rsid w:val="000526F0"/>
    <w:rsid w:val="0005275C"/>
    <w:rsid w:val="000527B9"/>
    <w:rsid w:val="0005302E"/>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0"/>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E5D"/>
    <w:rsid w:val="000C0049"/>
    <w:rsid w:val="000C01EA"/>
    <w:rsid w:val="000C08D0"/>
    <w:rsid w:val="000C121F"/>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237"/>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80B"/>
    <w:rsid w:val="00145881"/>
    <w:rsid w:val="00145EE5"/>
    <w:rsid w:val="001462D2"/>
    <w:rsid w:val="00146CC3"/>
    <w:rsid w:val="0014759B"/>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3E6"/>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77B54"/>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746"/>
    <w:rsid w:val="001A480B"/>
    <w:rsid w:val="001A4A37"/>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88B"/>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2B3"/>
    <w:rsid w:val="001F23FD"/>
    <w:rsid w:val="001F25EE"/>
    <w:rsid w:val="001F25EF"/>
    <w:rsid w:val="001F2ABE"/>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0F2F"/>
    <w:rsid w:val="00261294"/>
    <w:rsid w:val="00261302"/>
    <w:rsid w:val="002614FF"/>
    <w:rsid w:val="00261DC5"/>
    <w:rsid w:val="00262E42"/>
    <w:rsid w:val="002633AC"/>
    <w:rsid w:val="0026341B"/>
    <w:rsid w:val="00264194"/>
    <w:rsid w:val="00264ADE"/>
    <w:rsid w:val="00264C95"/>
    <w:rsid w:val="00264D69"/>
    <w:rsid w:val="00264D7C"/>
    <w:rsid w:val="00264E30"/>
    <w:rsid w:val="00264FD6"/>
    <w:rsid w:val="002651AF"/>
    <w:rsid w:val="0026552E"/>
    <w:rsid w:val="00265A2C"/>
    <w:rsid w:val="00265A56"/>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99A"/>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90F"/>
    <w:rsid w:val="002B6E7C"/>
    <w:rsid w:val="002B713B"/>
    <w:rsid w:val="002B71A4"/>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3F7"/>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312"/>
    <w:rsid w:val="002E439E"/>
    <w:rsid w:val="002E4403"/>
    <w:rsid w:val="002E4535"/>
    <w:rsid w:val="002E4A70"/>
    <w:rsid w:val="002E4D77"/>
    <w:rsid w:val="002E591E"/>
    <w:rsid w:val="002E59A1"/>
    <w:rsid w:val="002E5A53"/>
    <w:rsid w:val="002E5F52"/>
    <w:rsid w:val="002E6540"/>
    <w:rsid w:val="002E67F1"/>
    <w:rsid w:val="002E6BF7"/>
    <w:rsid w:val="002E6D44"/>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5BA"/>
    <w:rsid w:val="002F5A06"/>
    <w:rsid w:val="002F639A"/>
    <w:rsid w:val="002F6C7F"/>
    <w:rsid w:val="002F6DCE"/>
    <w:rsid w:val="002F709E"/>
    <w:rsid w:val="002F75B3"/>
    <w:rsid w:val="002F7B77"/>
    <w:rsid w:val="002F7C8C"/>
    <w:rsid w:val="0030089B"/>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BC4"/>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A49"/>
    <w:rsid w:val="00340AF3"/>
    <w:rsid w:val="00340F51"/>
    <w:rsid w:val="0034142C"/>
    <w:rsid w:val="00341435"/>
    <w:rsid w:val="00341538"/>
    <w:rsid w:val="0034154F"/>
    <w:rsid w:val="00341941"/>
    <w:rsid w:val="00341A9D"/>
    <w:rsid w:val="00341CB7"/>
    <w:rsid w:val="00341DD2"/>
    <w:rsid w:val="0034244E"/>
    <w:rsid w:val="003424BF"/>
    <w:rsid w:val="003424D8"/>
    <w:rsid w:val="003429DB"/>
    <w:rsid w:val="003433AF"/>
    <w:rsid w:val="003437F9"/>
    <w:rsid w:val="00343932"/>
    <w:rsid w:val="00343BB1"/>
    <w:rsid w:val="003441A8"/>
    <w:rsid w:val="00344E6E"/>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0DDB"/>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76C"/>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79"/>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5CFF"/>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C4B"/>
    <w:rsid w:val="003E1E8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634"/>
    <w:rsid w:val="003F1BD7"/>
    <w:rsid w:val="003F1CA9"/>
    <w:rsid w:val="003F22DB"/>
    <w:rsid w:val="003F2480"/>
    <w:rsid w:val="003F2729"/>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BE"/>
    <w:rsid w:val="00423A9F"/>
    <w:rsid w:val="00423D88"/>
    <w:rsid w:val="0042414F"/>
    <w:rsid w:val="00424573"/>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6C5"/>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3B7"/>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9EC"/>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A6C"/>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19"/>
    <w:rsid w:val="004A5CC9"/>
    <w:rsid w:val="004A601A"/>
    <w:rsid w:val="004A6591"/>
    <w:rsid w:val="004A6934"/>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4F2"/>
    <w:rsid w:val="004E1F78"/>
    <w:rsid w:val="004E1FA7"/>
    <w:rsid w:val="004E247B"/>
    <w:rsid w:val="004E24A0"/>
    <w:rsid w:val="004E26A9"/>
    <w:rsid w:val="004E29D3"/>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70A"/>
    <w:rsid w:val="004F1885"/>
    <w:rsid w:val="004F19AE"/>
    <w:rsid w:val="004F1BB9"/>
    <w:rsid w:val="004F1F3D"/>
    <w:rsid w:val="004F1F8B"/>
    <w:rsid w:val="004F2CFC"/>
    <w:rsid w:val="004F2DBA"/>
    <w:rsid w:val="004F31E2"/>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3F1"/>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A0"/>
    <w:rsid w:val="005052D6"/>
    <w:rsid w:val="005055C7"/>
    <w:rsid w:val="0050569E"/>
    <w:rsid w:val="00505887"/>
    <w:rsid w:val="00505DB2"/>
    <w:rsid w:val="00505FDF"/>
    <w:rsid w:val="005063DA"/>
    <w:rsid w:val="00506A66"/>
    <w:rsid w:val="00506B77"/>
    <w:rsid w:val="00506DB5"/>
    <w:rsid w:val="00507130"/>
    <w:rsid w:val="005072C1"/>
    <w:rsid w:val="005077F7"/>
    <w:rsid w:val="00507A24"/>
    <w:rsid w:val="00507AEF"/>
    <w:rsid w:val="00507D3A"/>
    <w:rsid w:val="005100E6"/>
    <w:rsid w:val="005107A3"/>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87F"/>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CF5"/>
    <w:rsid w:val="00546DB7"/>
    <w:rsid w:val="0054762B"/>
    <w:rsid w:val="00547804"/>
    <w:rsid w:val="00547818"/>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4B6C"/>
    <w:rsid w:val="005956D8"/>
    <w:rsid w:val="005957CA"/>
    <w:rsid w:val="00595816"/>
    <w:rsid w:val="005958BB"/>
    <w:rsid w:val="00595BF1"/>
    <w:rsid w:val="00595E99"/>
    <w:rsid w:val="00596468"/>
    <w:rsid w:val="00596ADD"/>
    <w:rsid w:val="005970CB"/>
    <w:rsid w:val="005970D0"/>
    <w:rsid w:val="0059727A"/>
    <w:rsid w:val="00597673"/>
    <w:rsid w:val="005976DE"/>
    <w:rsid w:val="00597C0B"/>
    <w:rsid w:val="00597D73"/>
    <w:rsid w:val="00597E25"/>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CD"/>
    <w:rsid w:val="005B1444"/>
    <w:rsid w:val="005B1554"/>
    <w:rsid w:val="005B1C13"/>
    <w:rsid w:val="005B1D16"/>
    <w:rsid w:val="005B1D5B"/>
    <w:rsid w:val="005B1E49"/>
    <w:rsid w:val="005B1EF0"/>
    <w:rsid w:val="005B24E1"/>
    <w:rsid w:val="005B2957"/>
    <w:rsid w:val="005B35F1"/>
    <w:rsid w:val="005B3AAE"/>
    <w:rsid w:val="005B3B38"/>
    <w:rsid w:val="005B3E5C"/>
    <w:rsid w:val="005B4EFA"/>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5D5"/>
    <w:rsid w:val="005C0E06"/>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88C"/>
    <w:rsid w:val="005C6CA5"/>
    <w:rsid w:val="005C6E6A"/>
    <w:rsid w:val="005C6E96"/>
    <w:rsid w:val="005C6F9C"/>
    <w:rsid w:val="005C7291"/>
    <w:rsid w:val="005C7322"/>
    <w:rsid w:val="005C7792"/>
    <w:rsid w:val="005C7FEF"/>
    <w:rsid w:val="005D05D3"/>
    <w:rsid w:val="005D1AAA"/>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04C"/>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297A"/>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33B8"/>
    <w:rsid w:val="00633D68"/>
    <w:rsid w:val="006342AD"/>
    <w:rsid w:val="00634581"/>
    <w:rsid w:val="006346AE"/>
    <w:rsid w:val="0063492A"/>
    <w:rsid w:val="00634946"/>
    <w:rsid w:val="00634DD6"/>
    <w:rsid w:val="006357AF"/>
    <w:rsid w:val="006358F1"/>
    <w:rsid w:val="006358F7"/>
    <w:rsid w:val="00635B61"/>
    <w:rsid w:val="00635C42"/>
    <w:rsid w:val="00636220"/>
    <w:rsid w:val="006364E3"/>
    <w:rsid w:val="00636EF3"/>
    <w:rsid w:val="00636F37"/>
    <w:rsid w:val="006371CB"/>
    <w:rsid w:val="006371D5"/>
    <w:rsid w:val="00637E50"/>
    <w:rsid w:val="00637FB9"/>
    <w:rsid w:val="00637FCD"/>
    <w:rsid w:val="00640222"/>
    <w:rsid w:val="006403FE"/>
    <w:rsid w:val="00640452"/>
    <w:rsid w:val="00640492"/>
    <w:rsid w:val="006404F8"/>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492"/>
    <w:rsid w:val="00654863"/>
    <w:rsid w:val="00654F6A"/>
    <w:rsid w:val="00654FA2"/>
    <w:rsid w:val="00655274"/>
    <w:rsid w:val="00655275"/>
    <w:rsid w:val="006552AB"/>
    <w:rsid w:val="006557F0"/>
    <w:rsid w:val="006558CE"/>
    <w:rsid w:val="00655936"/>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6AD"/>
    <w:rsid w:val="00686B06"/>
    <w:rsid w:val="00686E20"/>
    <w:rsid w:val="00687D11"/>
    <w:rsid w:val="006903C9"/>
    <w:rsid w:val="006905F3"/>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496"/>
    <w:rsid w:val="006A092D"/>
    <w:rsid w:val="006A0B28"/>
    <w:rsid w:val="006A0EAD"/>
    <w:rsid w:val="006A1336"/>
    <w:rsid w:val="006A1377"/>
    <w:rsid w:val="006A1BB4"/>
    <w:rsid w:val="006A1E77"/>
    <w:rsid w:val="006A2279"/>
    <w:rsid w:val="006A2E2D"/>
    <w:rsid w:val="006A2EC7"/>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3D05"/>
    <w:rsid w:val="006B42A2"/>
    <w:rsid w:val="006B4A19"/>
    <w:rsid w:val="006B4ADF"/>
    <w:rsid w:val="006B4D60"/>
    <w:rsid w:val="006B4DB5"/>
    <w:rsid w:val="006B4E4D"/>
    <w:rsid w:val="006B5130"/>
    <w:rsid w:val="006B536D"/>
    <w:rsid w:val="006B5596"/>
    <w:rsid w:val="006B56E1"/>
    <w:rsid w:val="006B5F3E"/>
    <w:rsid w:val="006B60B4"/>
    <w:rsid w:val="006B645C"/>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2D8A"/>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349"/>
    <w:rsid w:val="006F2662"/>
    <w:rsid w:val="006F2675"/>
    <w:rsid w:val="006F28A8"/>
    <w:rsid w:val="006F29A9"/>
    <w:rsid w:val="006F29CC"/>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7F6"/>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AA3"/>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4E23"/>
    <w:rsid w:val="0073529F"/>
    <w:rsid w:val="0073576A"/>
    <w:rsid w:val="007357F4"/>
    <w:rsid w:val="0073650A"/>
    <w:rsid w:val="00737620"/>
    <w:rsid w:val="00737E27"/>
    <w:rsid w:val="00737F7D"/>
    <w:rsid w:val="0074104C"/>
    <w:rsid w:val="00741088"/>
    <w:rsid w:val="0074112E"/>
    <w:rsid w:val="007411E7"/>
    <w:rsid w:val="0074139F"/>
    <w:rsid w:val="007417B4"/>
    <w:rsid w:val="00741C19"/>
    <w:rsid w:val="00741F69"/>
    <w:rsid w:val="0074231D"/>
    <w:rsid w:val="00742558"/>
    <w:rsid w:val="007425BD"/>
    <w:rsid w:val="00742608"/>
    <w:rsid w:val="007428E5"/>
    <w:rsid w:val="00742B55"/>
    <w:rsid w:val="0074310B"/>
    <w:rsid w:val="007433D4"/>
    <w:rsid w:val="00743D6D"/>
    <w:rsid w:val="00744185"/>
    <w:rsid w:val="00744671"/>
    <w:rsid w:val="007447ED"/>
    <w:rsid w:val="00744A0E"/>
    <w:rsid w:val="0074610C"/>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4F2D"/>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CA8"/>
    <w:rsid w:val="007A0FAC"/>
    <w:rsid w:val="007A12E5"/>
    <w:rsid w:val="007A1769"/>
    <w:rsid w:val="007A1777"/>
    <w:rsid w:val="007A205C"/>
    <w:rsid w:val="007A249B"/>
    <w:rsid w:val="007A2713"/>
    <w:rsid w:val="007A2938"/>
    <w:rsid w:val="007A2A89"/>
    <w:rsid w:val="007A2BAE"/>
    <w:rsid w:val="007A2CE6"/>
    <w:rsid w:val="007A2D1E"/>
    <w:rsid w:val="007A2E74"/>
    <w:rsid w:val="007A35B1"/>
    <w:rsid w:val="007A3617"/>
    <w:rsid w:val="007A3748"/>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2B24"/>
    <w:rsid w:val="007D3025"/>
    <w:rsid w:val="007D32C6"/>
    <w:rsid w:val="007D3716"/>
    <w:rsid w:val="007D37E5"/>
    <w:rsid w:val="007D3909"/>
    <w:rsid w:val="007D3D60"/>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75B"/>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188"/>
    <w:rsid w:val="00824933"/>
    <w:rsid w:val="00824C2F"/>
    <w:rsid w:val="00824FB0"/>
    <w:rsid w:val="00824FCF"/>
    <w:rsid w:val="00825065"/>
    <w:rsid w:val="0082508E"/>
    <w:rsid w:val="008253C5"/>
    <w:rsid w:val="00825783"/>
    <w:rsid w:val="008257A6"/>
    <w:rsid w:val="00826308"/>
    <w:rsid w:val="0082641B"/>
    <w:rsid w:val="00826525"/>
    <w:rsid w:val="0082695C"/>
    <w:rsid w:val="00826C64"/>
    <w:rsid w:val="00826EA6"/>
    <w:rsid w:val="008271CB"/>
    <w:rsid w:val="008271D2"/>
    <w:rsid w:val="0082731B"/>
    <w:rsid w:val="008278F5"/>
    <w:rsid w:val="00827F85"/>
    <w:rsid w:val="008304D6"/>
    <w:rsid w:val="00831801"/>
    <w:rsid w:val="00832043"/>
    <w:rsid w:val="008333B6"/>
    <w:rsid w:val="00834214"/>
    <w:rsid w:val="008345D2"/>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44D"/>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36"/>
    <w:rsid w:val="008A619C"/>
    <w:rsid w:val="008A6BE4"/>
    <w:rsid w:val="008A7193"/>
    <w:rsid w:val="008A72FE"/>
    <w:rsid w:val="008A7780"/>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15E"/>
    <w:rsid w:val="008E097A"/>
    <w:rsid w:val="008E0B5D"/>
    <w:rsid w:val="008E1029"/>
    <w:rsid w:val="008E10CD"/>
    <w:rsid w:val="008E124E"/>
    <w:rsid w:val="008E136E"/>
    <w:rsid w:val="008E16F2"/>
    <w:rsid w:val="008E1E3B"/>
    <w:rsid w:val="008E21F8"/>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AE"/>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301"/>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DA9"/>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09E"/>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95B"/>
    <w:rsid w:val="00937B28"/>
    <w:rsid w:val="00937CE9"/>
    <w:rsid w:val="00940E55"/>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CD9"/>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3C7"/>
    <w:rsid w:val="00964899"/>
    <w:rsid w:val="00964F9A"/>
    <w:rsid w:val="0096503B"/>
    <w:rsid w:val="009653C4"/>
    <w:rsid w:val="0096570C"/>
    <w:rsid w:val="0096572C"/>
    <w:rsid w:val="009658B2"/>
    <w:rsid w:val="00966020"/>
    <w:rsid w:val="009662C1"/>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69BC"/>
    <w:rsid w:val="00996F77"/>
    <w:rsid w:val="00997AB0"/>
    <w:rsid w:val="00997FA5"/>
    <w:rsid w:val="009A0054"/>
    <w:rsid w:val="009A2511"/>
    <w:rsid w:val="009A267B"/>
    <w:rsid w:val="009A26EB"/>
    <w:rsid w:val="009A26EE"/>
    <w:rsid w:val="009A279A"/>
    <w:rsid w:val="009A2BB6"/>
    <w:rsid w:val="009A2C19"/>
    <w:rsid w:val="009A2D30"/>
    <w:rsid w:val="009A30AF"/>
    <w:rsid w:val="009A3952"/>
    <w:rsid w:val="009A3993"/>
    <w:rsid w:val="009A4545"/>
    <w:rsid w:val="009A4823"/>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B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C76E2"/>
    <w:rsid w:val="009D075E"/>
    <w:rsid w:val="009D09A0"/>
    <w:rsid w:val="009D09EB"/>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233"/>
    <w:rsid w:val="009D56C8"/>
    <w:rsid w:val="009D5956"/>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6B9"/>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4EB8"/>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36C0"/>
    <w:rsid w:val="00A04223"/>
    <w:rsid w:val="00A04442"/>
    <w:rsid w:val="00A04843"/>
    <w:rsid w:val="00A0513E"/>
    <w:rsid w:val="00A054AA"/>
    <w:rsid w:val="00A06814"/>
    <w:rsid w:val="00A06B9D"/>
    <w:rsid w:val="00A06BF8"/>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62AF"/>
    <w:rsid w:val="00A17997"/>
    <w:rsid w:val="00A20914"/>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586"/>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6F8"/>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0960"/>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8A0"/>
    <w:rsid w:val="00A74B27"/>
    <w:rsid w:val="00A74D5F"/>
    <w:rsid w:val="00A75122"/>
    <w:rsid w:val="00A752A7"/>
    <w:rsid w:val="00A75581"/>
    <w:rsid w:val="00A75676"/>
    <w:rsid w:val="00A75706"/>
    <w:rsid w:val="00A75B37"/>
    <w:rsid w:val="00A75C2A"/>
    <w:rsid w:val="00A75FA4"/>
    <w:rsid w:val="00A7604F"/>
    <w:rsid w:val="00A766B1"/>
    <w:rsid w:val="00A7685A"/>
    <w:rsid w:val="00A76F20"/>
    <w:rsid w:val="00A77A28"/>
    <w:rsid w:val="00A77D01"/>
    <w:rsid w:val="00A80434"/>
    <w:rsid w:val="00A80B92"/>
    <w:rsid w:val="00A812DA"/>
    <w:rsid w:val="00A81790"/>
    <w:rsid w:val="00A81C9A"/>
    <w:rsid w:val="00A81D22"/>
    <w:rsid w:val="00A826B4"/>
    <w:rsid w:val="00A833E4"/>
    <w:rsid w:val="00A8383A"/>
    <w:rsid w:val="00A83B2F"/>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0EC"/>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0F5C"/>
    <w:rsid w:val="00AB13E9"/>
    <w:rsid w:val="00AB15C0"/>
    <w:rsid w:val="00AB1BCD"/>
    <w:rsid w:val="00AB1C29"/>
    <w:rsid w:val="00AB1C31"/>
    <w:rsid w:val="00AB1F6C"/>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5CDF"/>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61F"/>
    <w:rsid w:val="00AD2D67"/>
    <w:rsid w:val="00AD316C"/>
    <w:rsid w:val="00AD375E"/>
    <w:rsid w:val="00AD379B"/>
    <w:rsid w:val="00AD3870"/>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493"/>
    <w:rsid w:val="00AF3791"/>
    <w:rsid w:val="00AF3862"/>
    <w:rsid w:val="00AF397A"/>
    <w:rsid w:val="00AF3A04"/>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B64"/>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5D3"/>
    <w:rsid w:val="00B0685F"/>
    <w:rsid w:val="00B06A9B"/>
    <w:rsid w:val="00B06AA7"/>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9B9"/>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560"/>
    <w:rsid w:val="00B32B43"/>
    <w:rsid w:val="00B32C66"/>
    <w:rsid w:val="00B32C94"/>
    <w:rsid w:val="00B33458"/>
    <w:rsid w:val="00B338C1"/>
    <w:rsid w:val="00B34319"/>
    <w:rsid w:val="00B3432A"/>
    <w:rsid w:val="00B3439E"/>
    <w:rsid w:val="00B3459D"/>
    <w:rsid w:val="00B348AE"/>
    <w:rsid w:val="00B34B8B"/>
    <w:rsid w:val="00B34D09"/>
    <w:rsid w:val="00B34D5A"/>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8F1"/>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4F4"/>
    <w:rsid w:val="00B60C6D"/>
    <w:rsid w:val="00B6166C"/>
    <w:rsid w:val="00B61AF0"/>
    <w:rsid w:val="00B61DF8"/>
    <w:rsid w:val="00B6293E"/>
    <w:rsid w:val="00B629ED"/>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679FB"/>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433"/>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91F"/>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449F"/>
    <w:rsid w:val="00BC52E2"/>
    <w:rsid w:val="00BC5300"/>
    <w:rsid w:val="00BC5793"/>
    <w:rsid w:val="00BC57AA"/>
    <w:rsid w:val="00BC5B04"/>
    <w:rsid w:val="00BC5DF1"/>
    <w:rsid w:val="00BC5FB4"/>
    <w:rsid w:val="00BC64BF"/>
    <w:rsid w:val="00BC6E20"/>
    <w:rsid w:val="00BC6FAF"/>
    <w:rsid w:val="00BC713E"/>
    <w:rsid w:val="00BC7330"/>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301"/>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62B"/>
    <w:rsid w:val="00C2274F"/>
    <w:rsid w:val="00C2283D"/>
    <w:rsid w:val="00C228D3"/>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999"/>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364"/>
    <w:rsid w:val="00C84691"/>
    <w:rsid w:val="00C84A47"/>
    <w:rsid w:val="00C84B90"/>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7A2"/>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9DC"/>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38B"/>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F9B"/>
    <w:rsid w:val="00CF308B"/>
    <w:rsid w:val="00CF31AC"/>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345"/>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621"/>
    <w:rsid w:val="00D70ABD"/>
    <w:rsid w:val="00D70FB3"/>
    <w:rsid w:val="00D710F6"/>
    <w:rsid w:val="00D714C1"/>
    <w:rsid w:val="00D719CD"/>
    <w:rsid w:val="00D71AE7"/>
    <w:rsid w:val="00D71FED"/>
    <w:rsid w:val="00D72279"/>
    <w:rsid w:val="00D73547"/>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4F"/>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566"/>
    <w:rsid w:val="00D96784"/>
    <w:rsid w:val="00D96A55"/>
    <w:rsid w:val="00D96B77"/>
    <w:rsid w:val="00D97105"/>
    <w:rsid w:val="00D97314"/>
    <w:rsid w:val="00D97448"/>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462"/>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1EFF"/>
    <w:rsid w:val="00DC2017"/>
    <w:rsid w:val="00DC2AE9"/>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1BC"/>
    <w:rsid w:val="00DD1AA3"/>
    <w:rsid w:val="00DD1BF9"/>
    <w:rsid w:val="00DD2536"/>
    <w:rsid w:val="00DD25FC"/>
    <w:rsid w:val="00DD2713"/>
    <w:rsid w:val="00DD2C51"/>
    <w:rsid w:val="00DD2C96"/>
    <w:rsid w:val="00DD3105"/>
    <w:rsid w:val="00DD33A9"/>
    <w:rsid w:val="00DD3825"/>
    <w:rsid w:val="00DD3E8D"/>
    <w:rsid w:val="00DD4CF1"/>
    <w:rsid w:val="00DD4D50"/>
    <w:rsid w:val="00DD5290"/>
    <w:rsid w:val="00DD54DA"/>
    <w:rsid w:val="00DD5686"/>
    <w:rsid w:val="00DD5A60"/>
    <w:rsid w:val="00DD5A66"/>
    <w:rsid w:val="00DD6205"/>
    <w:rsid w:val="00DD63A4"/>
    <w:rsid w:val="00DD64FC"/>
    <w:rsid w:val="00DD6680"/>
    <w:rsid w:val="00DD6ACF"/>
    <w:rsid w:val="00DD6E6D"/>
    <w:rsid w:val="00DD7305"/>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5BFB"/>
    <w:rsid w:val="00E26D00"/>
    <w:rsid w:val="00E274F4"/>
    <w:rsid w:val="00E27626"/>
    <w:rsid w:val="00E27E26"/>
    <w:rsid w:val="00E27EB4"/>
    <w:rsid w:val="00E3050C"/>
    <w:rsid w:val="00E307C9"/>
    <w:rsid w:val="00E30DFB"/>
    <w:rsid w:val="00E312F3"/>
    <w:rsid w:val="00E3144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702"/>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04B"/>
    <w:rsid w:val="00E57324"/>
    <w:rsid w:val="00E57B40"/>
    <w:rsid w:val="00E57C5E"/>
    <w:rsid w:val="00E57DF1"/>
    <w:rsid w:val="00E57F75"/>
    <w:rsid w:val="00E601B2"/>
    <w:rsid w:val="00E601B9"/>
    <w:rsid w:val="00E60248"/>
    <w:rsid w:val="00E60565"/>
    <w:rsid w:val="00E60F62"/>
    <w:rsid w:val="00E60F94"/>
    <w:rsid w:val="00E612B8"/>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2E2"/>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8F0"/>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36"/>
    <w:rsid w:val="00EA4F6B"/>
    <w:rsid w:val="00EA54C2"/>
    <w:rsid w:val="00EA5C0E"/>
    <w:rsid w:val="00EA5C6F"/>
    <w:rsid w:val="00EA5F3B"/>
    <w:rsid w:val="00EA65A1"/>
    <w:rsid w:val="00EA691D"/>
    <w:rsid w:val="00EA6A0D"/>
    <w:rsid w:val="00EA6C9D"/>
    <w:rsid w:val="00EA7699"/>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3D50"/>
    <w:rsid w:val="00EB4727"/>
    <w:rsid w:val="00EB5826"/>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16DB"/>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456"/>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BFF"/>
    <w:rsid w:val="00F27DF2"/>
    <w:rsid w:val="00F30008"/>
    <w:rsid w:val="00F3081B"/>
    <w:rsid w:val="00F3093D"/>
    <w:rsid w:val="00F30AD7"/>
    <w:rsid w:val="00F30C97"/>
    <w:rsid w:val="00F31345"/>
    <w:rsid w:val="00F31418"/>
    <w:rsid w:val="00F31701"/>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041"/>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D82"/>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866"/>
    <w:rsid w:val="00F828EB"/>
    <w:rsid w:val="00F82FFF"/>
    <w:rsid w:val="00F83304"/>
    <w:rsid w:val="00F83453"/>
    <w:rsid w:val="00F8378B"/>
    <w:rsid w:val="00F837C2"/>
    <w:rsid w:val="00F838FD"/>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39D"/>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9E4"/>
    <w:rsid w:val="00F97AD6"/>
    <w:rsid w:val="00FA01A7"/>
    <w:rsid w:val="00FA0E54"/>
    <w:rsid w:val="00FA1D99"/>
    <w:rsid w:val="00FA2246"/>
    <w:rsid w:val="00FA2260"/>
    <w:rsid w:val="00FA2798"/>
    <w:rsid w:val="00FA296C"/>
    <w:rsid w:val="00FA2BDA"/>
    <w:rsid w:val="00FA2C34"/>
    <w:rsid w:val="00FA2D78"/>
    <w:rsid w:val="00FA2F70"/>
    <w:rsid w:val="00FA2FB4"/>
    <w:rsid w:val="00FA3271"/>
    <w:rsid w:val="00FA3320"/>
    <w:rsid w:val="00FA385D"/>
    <w:rsid w:val="00FA3940"/>
    <w:rsid w:val="00FA3AA3"/>
    <w:rsid w:val="00FA4578"/>
    <w:rsid w:val="00FA482D"/>
    <w:rsid w:val="00FA4FAF"/>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4BB"/>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7F2"/>
    <w:rsid w:val="00FC48D9"/>
    <w:rsid w:val="00FC4B0B"/>
    <w:rsid w:val="00FC4FAC"/>
    <w:rsid w:val="00FC52CD"/>
    <w:rsid w:val="00FC596F"/>
    <w:rsid w:val="00FC5C8A"/>
    <w:rsid w:val="00FC5FA0"/>
    <w:rsid w:val="00FC6457"/>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105"/>
    <w:rsid w:val="00FE5BE6"/>
    <w:rsid w:val="00FE5CDE"/>
    <w:rsid w:val="00FE5DFA"/>
    <w:rsid w:val="00FE5FD8"/>
    <w:rsid w:val="00FE612C"/>
    <w:rsid w:val="00FE6C06"/>
    <w:rsid w:val="00FE7129"/>
    <w:rsid w:val="00FE78CB"/>
    <w:rsid w:val="00FE7B42"/>
    <w:rsid w:val="00FF00D3"/>
    <w:rsid w:val="00FF03BA"/>
    <w:rsid w:val="00FF045F"/>
    <w:rsid w:val="00FF059D"/>
    <w:rsid w:val="00FF0D0B"/>
    <w:rsid w:val="00FF161D"/>
    <w:rsid w:val="00FF1A71"/>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60122fm.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aesb.org/pdf4/weq_bps071822w2.pptx" TargetMode="External"/><Relationship Id="rId4" Type="http://schemas.openxmlformats.org/officeDocument/2006/relationships/settings" Target="settings.xml"/><Relationship Id="rId9" Type="http://schemas.openxmlformats.org/officeDocument/2006/relationships/hyperlink" Target="https://naesb.org/pdf4/weq_bps071822w1.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9406</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NAESB</cp:lastModifiedBy>
  <cp:revision>2</cp:revision>
  <cp:lastPrinted>2012-04-04T10:38:00Z</cp:lastPrinted>
  <dcterms:created xsi:type="dcterms:W3CDTF">2022-08-04T21:06:00Z</dcterms:created>
  <dcterms:modified xsi:type="dcterms:W3CDTF">2022-08-04T21:06:00Z</dcterms:modified>
</cp:coreProperties>
</file>