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447EF803" w:rsidR="00C44C62" w:rsidRPr="000E5855" w:rsidRDefault="00C44C62" w:rsidP="00D62DE0">
      <w:pPr>
        <w:ind w:left="1440" w:hanging="1440"/>
      </w:pPr>
      <w:r w:rsidRPr="000E5855">
        <w:rPr>
          <w:b/>
          <w:bCs/>
        </w:rPr>
        <w:t>RE:</w:t>
      </w:r>
      <w:r w:rsidRPr="000E5855">
        <w:rPr>
          <w:b/>
          <w:bCs/>
        </w:rPr>
        <w:tab/>
      </w:r>
      <w:r w:rsidR="00230ECA">
        <w:t xml:space="preserve">Draft Minutes from </w:t>
      </w:r>
      <w:r w:rsidR="00950D2F">
        <w:t>July 6</w:t>
      </w:r>
      <w:r w:rsidR="008A6136">
        <w:t>,</w:t>
      </w:r>
      <w:r w:rsidR="000B0FB1">
        <w:t xml:space="preserve"> 202</w:t>
      </w:r>
      <w:r w:rsidR="00AD617D">
        <w:t>2</w:t>
      </w:r>
      <w:r w:rsidR="00230ECA">
        <w:t xml:space="preserve"> WEQ BPS </w:t>
      </w:r>
      <w:r w:rsidR="00A856C9">
        <w:t>Meeti</w:t>
      </w:r>
      <w:r w:rsidR="00230ECA">
        <w:t>ng</w:t>
      </w:r>
    </w:p>
    <w:p w14:paraId="7C63E7B7" w14:textId="6C354752"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950D2F">
        <w:t>September 14</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5C7AA9CD" w:rsidR="00C44C62" w:rsidRDefault="00950D2F" w:rsidP="0063021A">
      <w:pPr>
        <w:widowControl w:val="0"/>
        <w:jc w:val="center"/>
        <w:outlineLvl w:val="2"/>
        <w:rPr>
          <w:b/>
          <w:bCs/>
        </w:rPr>
      </w:pPr>
      <w:r>
        <w:rPr>
          <w:b/>
          <w:bCs/>
        </w:rPr>
        <w:t>July 6</w:t>
      </w:r>
      <w:r w:rsidR="00AD617D">
        <w:rPr>
          <w:b/>
          <w:bCs/>
        </w:rPr>
        <w:t>, 2022</w:t>
      </w:r>
      <w:r w:rsidR="00B70957">
        <w:rPr>
          <w:b/>
          <w:bCs/>
        </w:rPr>
        <w:t xml:space="preserve"> – </w:t>
      </w:r>
      <w:r w:rsidR="00BB10BD">
        <w:rPr>
          <w:b/>
          <w:bCs/>
        </w:rPr>
        <w:t>1</w:t>
      </w:r>
      <w:r w:rsidR="00F55614">
        <w:rPr>
          <w:b/>
          <w:bCs/>
        </w:rPr>
        <w:t>0</w:t>
      </w:r>
      <w:r w:rsidR="00F250F8">
        <w:rPr>
          <w:b/>
          <w:bCs/>
        </w:rPr>
        <w:t>:</w:t>
      </w:r>
      <w:r w:rsidR="00437FB7">
        <w:rPr>
          <w:b/>
          <w:bCs/>
        </w:rPr>
        <w:t>0</w:t>
      </w:r>
      <w:r w:rsidR="00F250F8">
        <w:rPr>
          <w:b/>
          <w:bCs/>
        </w:rPr>
        <w:t xml:space="preserve">0 </w:t>
      </w:r>
      <w:r w:rsidR="00F55614">
        <w:rPr>
          <w:b/>
          <w:bCs/>
        </w:rPr>
        <w:t>A</w:t>
      </w:r>
      <w:r w:rsidR="00F250F8">
        <w:rPr>
          <w:b/>
          <w:bCs/>
        </w:rPr>
        <w:t>M</w:t>
      </w:r>
      <w:r w:rsidR="00B70957">
        <w:rPr>
          <w:b/>
          <w:bCs/>
        </w:rPr>
        <w:t xml:space="preserve"> to </w:t>
      </w:r>
      <w:r>
        <w:rPr>
          <w:b/>
          <w:bCs/>
        </w:rPr>
        <w:t>2</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14DF89D5"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BC449F">
        <w:t>Wood</w:t>
      </w:r>
      <w:r w:rsidR="00D8764F">
        <w:t xml:space="preserve">, seconded by </w:t>
      </w:r>
      <w:r w:rsidR="00FC6457">
        <w:t xml:space="preserve">Mr. </w:t>
      </w:r>
      <w:r w:rsidR="00950D2F">
        <w:t>Johnson.</w:t>
      </w:r>
    </w:p>
    <w:p w14:paraId="4515604A" w14:textId="2F663FDA" w:rsidR="00345320" w:rsidRDefault="00345320" w:rsidP="008F22D4">
      <w:pPr>
        <w:spacing w:after="120"/>
        <w:jc w:val="both"/>
      </w:pPr>
      <w:r>
        <w:t xml:space="preserve">The participants reviewed the draft minutes from the </w:t>
      </w:r>
      <w:r w:rsidR="00950D2F">
        <w:t>June 1</w:t>
      </w:r>
      <w:r w:rsidR="00264194">
        <w:t>,</w:t>
      </w:r>
      <w:r>
        <w:t xml:space="preserve"> 202</w:t>
      </w:r>
      <w:r w:rsidR="008345D2">
        <w:t>2</w:t>
      </w:r>
      <w:r>
        <w:t xml:space="preserve"> meeting.  </w:t>
      </w:r>
      <w:r w:rsidR="00FC6457">
        <w:t xml:space="preserve">No modifications were offered.  Mr. Wood moved, seconded by Mr. </w:t>
      </w:r>
      <w:r w:rsidR="00950D2F">
        <w:t>Johnson</w:t>
      </w:r>
      <w:r w:rsidR="00FC6457">
        <w:t>, to adopt the draft minutes as final.</w:t>
      </w:r>
      <w:r w:rsidR="00D8764F">
        <w:t xml:space="preserve">  </w:t>
      </w:r>
      <w:r w:rsidR="00FB2843">
        <w:t xml:space="preserve">The final meeting minutes </w:t>
      </w:r>
      <w:r w:rsidR="007A479C">
        <w:t xml:space="preserve">from the meeting </w:t>
      </w:r>
      <w:r w:rsidR="00FB2843">
        <w:t>are available at the following link:</w:t>
      </w:r>
      <w:r w:rsidR="00C5381A">
        <w:t xml:space="preserve"> </w:t>
      </w:r>
      <w:hyperlink r:id="rId8" w:history="1">
        <w:r w:rsidR="00BB1A78" w:rsidRPr="00B956FE">
          <w:rPr>
            <w:rStyle w:val="Hyperlink"/>
          </w:rPr>
          <w:t>https://naesb.org//pdf4/weq_bps060122fm.docx</w:t>
        </w:r>
      </w:hyperlink>
      <w:r w:rsidR="00BB1A78">
        <w:t xml:space="preserve"> </w:t>
      </w:r>
    </w:p>
    <w:p w14:paraId="1C7AFD42" w14:textId="05ED84D8" w:rsidR="008345D2" w:rsidRDefault="008345D2" w:rsidP="008345D2">
      <w:pPr>
        <w:numPr>
          <w:ilvl w:val="0"/>
          <w:numId w:val="11"/>
        </w:numPr>
        <w:tabs>
          <w:tab w:val="num" w:pos="1620"/>
          <w:tab w:val="num" w:pos="2160"/>
        </w:tabs>
        <w:spacing w:before="120"/>
        <w:jc w:val="both"/>
        <w:rPr>
          <w:b/>
          <w:bCs/>
        </w:rPr>
      </w:pPr>
      <w:r w:rsidRPr="00AD617D">
        <w:rPr>
          <w:b/>
          <w:bCs/>
        </w:rPr>
        <w:t xml:space="preserve">Discuss </w:t>
      </w:r>
      <w:r w:rsidR="00950D2F">
        <w:rPr>
          <w:b/>
          <w:bCs/>
        </w:rPr>
        <w:t xml:space="preserve">and Potentially Vote on Recommendation to Support </w:t>
      </w:r>
      <w:r w:rsidRPr="00AD617D">
        <w:rPr>
          <w:b/>
          <w:bCs/>
        </w:rPr>
        <w:t>2022 WEQ Annual Plan Item 2.a – Consistent with FERC Order No. 676-J, review WEQ-023-1.4 and WEQ-023-1.4.1 and determine if revisions are needed to address NOPR comments regarding contract path management</w:t>
      </w:r>
    </w:p>
    <w:p w14:paraId="040DFE9B" w14:textId="657E9A91" w:rsidR="00950D2F" w:rsidRDefault="00950D2F" w:rsidP="00950D2F">
      <w:pPr>
        <w:tabs>
          <w:tab w:val="num" w:pos="1620"/>
          <w:tab w:val="num" w:pos="2160"/>
        </w:tabs>
        <w:spacing w:before="120"/>
        <w:jc w:val="both"/>
      </w:pPr>
      <w:r>
        <w:t xml:space="preserve">Mr. Phillips reviewed with the participants the modifications as discussed during the previous meeting.  Additional revisions were made to WEQ-023-1.4 </w:t>
      </w:r>
      <w:r w:rsidR="00AC4BB6">
        <w:t xml:space="preserve">and WEQ-023-1.4.1 </w:t>
      </w:r>
      <w:r>
        <w:t>for consistency purposes.</w:t>
      </w:r>
    </w:p>
    <w:p w14:paraId="346A73F8" w14:textId="44FC9AE5" w:rsidR="00950D2F" w:rsidRDefault="00950D2F" w:rsidP="00950D2F">
      <w:pPr>
        <w:tabs>
          <w:tab w:val="num" w:pos="1620"/>
          <w:tab w:val="num" w:pos="2160"/>
        </w:tabs>
        <w:spacing w:before="120"/>
        <w:jc w:val="both"/>
      </w:pPr>
      <w:r>
        <w:t xml:space="preserve">Mr. Stewart proposed additional minor revisions to the language.  He explained that WEQ-001-21 states that a transmission provider must offer </w:t>
      </w:r>
      <w:r w:rsidR="00927A3A">
        <w:t xml:space="preserve">a conditional curtailment option (COO), if possible, and suggested that WEQ-023-1.4 be modified so as to not appear contradictory to WEQ-001-21.  Mr. Wood responded that COO is a long-term product and that TTC values are likely not calculated out far enough in advance to impact COO offers.  Mr. </w:t>
      </w:r>
      <w:proofErr w:type="spellStart"/>
      <w:r w:rsidR="00927A3A">
        <w:t>Steigerwald</w:t>
      </w:r>
      <w:proofErr w:type="spellEnd"/>
      <w:r w:rsidR="00927A3A">
        <w:t xml:space="preserve"> stated that BPA’s business practices allow requests for long-term firm transmission as early as two months prior to a date, which falls within the </w:t>
      </w:r>
      <w:proofErr w:type="gramStart"/>
      <w:r w:rsidR="00927A3A">
        <w:t>thirteen month</w:t>
      </w:r>
      <w:proofErr w:type="gramEnd"/>
      <w:r w:rsidR="00927A3A">
        <w:t xml:space="preserve"> TTC window.  He noted that as written, WEQ-023-1.4 could imply that COO could not be granted.  The participants agreed to make the additional revisions proposed by Mr. Stewart to WEQ-023-1.4.</w:t>
      </w:r>
    </w:p>
    <w:p w14:paraId="29CF2473" w14:textId="1D870CFF" w:rsidR="00AC4BB6" w:rsidRDefault="00AC4BB6" w:rsidP="00950D2F">
      <w:pPr>
        <w:tabs>
          <w:tab w:val="num" w:pos="1620"/>
          <w:tab w:val="num" w:pos="2160"/>
        </w:tabs>
        <w:spacing w:before="120"/>
        <w:jc w:val="both"/>
      </w:pPr>
      <w:r>
        <w:t>Mr. Phillips asked if there were any additional revisions to the language.  None were offered.  Mr. Phillips asked if there were any additional issues regarding WEQ-023-1.4 and WEQ-02-1.4.1 that should be addressed before voting on a recommendation.  None were offered.</w:t>
      </w:r>
    </w:p>
    <w:p w14:paraId="610A63AC" w14:textId="4D02BA1D" w:rsidR="00AC4BB6" w:rsidRPr="00950D2F" w:rsidRDefault="00AC4BB6" w:rsidP="00950D2F">
      <w:pPr>
        <w:tabs>
          <w:tab w:val="num" w:pos="1620"/>
          <w:tab w:val="num" w:pos="2160"/>
        </w:tabs>
        <w:spacing w:before="120"/>
        <w:jc w:val="both"/>
      </w:pPr>
      <w:r>
        <w:t xml:space="preserve">Mr. </w:t>
      </w:r>
      <w:proofErr w:type="spellStart"/>
      <w:r>
        <w:t>Steigerwald</w:t>
      </w:r>
      <w:proofErr w:type="spellEnd"/>
      <w:r>
        <w:t xml:space="preserve">, seconded by Mr. Wood, moved to adopt the recommendation with the </w:t>
      </w:r>
      <w:hyperlink r:id="rId9" w:history="1">
        <w:r w:rsidRPr="00BB1A78">
          <w:rPr>
            <w:rStyle w:val="Hyperlink"/>
          </w:rPr>
          <w:t>additional revisions</w:t>
        </w:r>
      </w:hyperlink>
      <w:r>
        <w:t xml:space="preserve"> to WEQ-023-1.4 and WEQ-023-1.4.1 as discussed during the meeting.  The motion passed a simple majority vote without opposition.</w:t>
      </w:r>
    </w:p>
    <w:p w14:paraId="74AE54C9" w14:textId="3C36D3A3" w:rsidR="00950D2F" w:rsidRPr="00950D2F" w:rsidRDefault="00950D2F" w:rsidP="00950D2F">
      <w:pPr>
        <w:numPr>
          <w:ilvl w:val="0"/>
          <w:numId w:val="11"/>
        </w:numPr>
        <w:tabs>
          <w:tab w:val="num" w:pos="1620"/>
          <w:tab w:val="num" w:pos="2160"/>
        </w:tabs>
        <w:spacing w:before="120"/>
        <w:jc w:val="both"/>
        <w:rPr>
          <w:b/>
          <w:bCs/>
        </w:rPr>
      </w:pPr>
      <w:r>
        <w:rPr>
          <w:b/>
          <w:bCs/>
        </w:rPr>
        <w:t xml:space="preserve">Discuss and Potentially Vote on No Action Recommendation to Support </w:t>
      </w:r>
      <w:r w:rsidRPr="00AD617D">
        <w:rPr>
          <w:b/>
          <w:bCs/>
        </w:rPr>
        <w:t>2022 WEQ Annual Plan Item 2.b – Consistent with FERC Order No. 676-J, review the WEQ-023 Business Practice Standards and make modifications as necessary to improve the accuracy of ATC and related calculations</w:t>
      </w:r>
    </w:p>
    <w:p w14:paraId="4614543E" w14:textId="06DED350" w:rsidR="00FC6457" w:rsidRDefault="00A526F8" w:rsidP="008345D2">
      <w:pPr>
        <w:widowControl w:val="0"/>
        <w:tabs>
          <w:tab w:val="left" w:pos="1440"/>
        </w:tabs>
        <w:spacing w:before="120" w:after="120"/>
        <w:jc w:val="both"/>
      </w:pPr>
      <w:r>
        <w:t>Mr. Phillips stated that</w:t>
      </w:r>
      <w:r w:rsidR="00AC4BB6">
        <w:t>, since December 2021,</w:t>
      </w:r>
      <w:r>
        <w:t xml:space="preserve"> </w:t>
      </w:r>
      <w:r w:rsidR="00AC4BB6">
        <w:t xml:space="preserve">the WEQ BPS has been discussing the two annual plan items addressing the Commission directives from FERC Order No. 676-J regarding WEQ-023, the second of which is </w:t>
      </w:r>
      <w:r w:rsidR="00AC4BB6">
        <w:lastRenderedPageBreak/>
        <w:t xml:space="preserve">to make any modifications that may be necessary to improve the accuracy of ATC and related calculations.  He indicated that during these discussions, </w:t>
      </w:r>
      <w:r w:rsidR="00637E05">
        <w:t>there have been no issues put forth by industry participants regarding the accuracy of the calculations and no further modifications proposed.</w:t>
      </w:r>
    </w:p>
    <w:p w14:paraId="2D5D4927" w14:textId="7E84D440" w:rsidR="00637E05" w:rsidRDefault="00637E05" w:rsidP="008345D2">
      <w:pPr>
        <w:widowControl w:val="0"/>
        <w:tabs>
          <w:tab w:val="left" w:pos="1440"/>
        </w:tabs>
        <w:spacing w:before="120" w:after="120"/>
        <w:jc w:val="both"/>
      </w:pPr>
      <w:r>
        <w:t>Mr. Phillips asked if there were any additional considerations that should be made before the subcommittee entertained a no action recommendation.  None were offered.</w:t>
      </w:r>
    </w:p>
    <w:p w14:paraId="48CF9B61" w14:textId="1FF6792A" w:rsidR="00637E05" w:rsidRDefault="00637E05" w:rsidP="008345D2">
      <w:pPr>
        <w:widowControl w:val="0"/>
        <w:tabs>
          <w:tab w:val="left" w:pos="1440"/>
        </w:tabs>
        <w:spacing w:before="120" w:after="120"/>
        <w:jc w:val="both"/>
      </w:pPr>
      <w:r>
        <w:t xml:space="preserve">Mr. Wood moved, seconded by Mr. </w:t>
      </w:r>
      <w:proofErr w:type="spellStart"/>
      <w:r>
        <w:t>Steigerwald</w:t>
      </w:r>
      <w:proofErr w:type="spellEnd"/>
      <w:r>
        <w:t>, to adopt a no action recommendation.  The motion passed a simple majority vote without opposition.</w:t>
      </w:r>
    </w:p>
    <w:p w14:paraId="1A15FF8A" w14:textId="14BD0A6B" w:rsidR="00637E05" w:rsidRDefault="00637E05" w:rsidP="004B32C5">
      <w:pPr>
        <w:widowControl w:val="0"/>
        <w:numPr>
          <w:ilvl w:val="0"/>
          <w:numId w:val="11"/>
        </w:numPr>
        <w:tabs>
          <w:tab w:val="left" w:pos="1440"/>
        </w:tabs>
        <w:spacing w:before="120" w:after="120"/>
        <w:jc w:val="both"/>
        <w:rPr>
          <w:b/>
          <w:bCs/>
        </w:rPr>
      </w:pPr>
      <w:r>
        <w:rPr>
          <w:b/>
          <w:bCs/>
        </w:rPr>
        <w:t>Other Business</w:t>
      </w:r>
    </w:p>
    <w:p w14:paraId="33455847" w14:textId="626CE65B" w:rsidR="00637E05" w:rsidRPr="00637E05" w:rsidRDefault="00637E05" w:rsidP="00637E05">
      <w:pPr>
        <w:widowControl w:val="0"/>
        <w:tabs>
          <w:tab w:val="left" w:pos="1440"/>
        </w:tabs>
        <w:spacing w:before="120" w:after="120"/>
        <w:jc w:val="both"/>
      </w:pPr>
      <w:r>
        <w:t xml:space="preserve">Mr. Phillips stated that </w:t>
      </w:r>
      <w:r w:rsidR="009301DD">
        <w:t>a new standards</w:t>
      </w:r>
      <w:r>
        <w:t xml:space="preserve"> request, </w:t>
      </w:r>
      <w:hyperlink r:id="rId10" w:history="1">
        <w:r w:rsidRPr="00637E05">
          <w:rPr>
            <w:rStyle w:val="Hyperlink"/>
          </w:rPr>
          <w:t>R22002</w:t>
        </w:r>
      </w:hyperlink>
      <w:r>
        <w:t>, had been submitted and assigned to the WEQ OASIS Subcommittee regarding FERC Order No. 881, which describes requirements for transmission providers to use to ambient adjusted line ratings for transmission facilities</w:t>
      </w:r>
      <w:r w:rsidR="009301DD">
        <w:t xml:space="preserve">.  He explained that while the standards request was specific to determining necessary revisions to the WEQ OASIS Suite of Standards to support the Order, the utilization of ambient adjusted line ratings could also impact ATC calculations.  The participants discussed that it may be beneficial to review WEQ-023 to determine if there are any modifications that can be made to support the industry in the implementation of Commission directives from FERC Order No. 881. </w:t>
      </w:r>
    </w:p>
    <w:p w14:paraId="3691BDEB" w14:textId="2C36441C"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4256BDD2"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637E05">
        <w:rPr>
          <w:bCs/>
        </w:rPr>
        <w:t>11:00 AM</w:t>
      </w:r>
      <w:r w:rsidR="00FF2568">
        <w:rPr>
          <w:bCs/>
        </w:rPr>
        <w:t xml:space="preserve"> Central </w:t>
      </w:r>
      <w:r w:rsidR="00B7548D">
        <w:rPr>
          <w:bCs/>
        </w:rPr>
        <w:t xml:space="preserve">on a motion by </w:t>
      </w:r>
      <w:r w:rsidR="00020D1E">
        <w:rPr>
          <w:bCs/>
        </w:rPr>
        <w:t>Mr. Wood.</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BB1A78" w:rsidRPr="00286562" w14:paraId="022533D1" w14:textId="77777777" w:rsidTr="001262CB">
        <w:tc>
          <w:tcPr>
            <w:tcW w:w="1998" w:type="dxa"/>
            <w:tcMar>
              <w:top w:w="0" w:type="dxa"/>
              <w:left w:w="108" w:type="dxa"/>
              <w:bottom w:w="0" w:type="dxa"/>
              <w:right w:w="108" w:type="dxa"/>
            </w:tcMar>
          </w:tcPr>
          <w:p w14:paraId="05ECA0E0" w14:textId="5FC55668" w:rsidR="00BB1A78" w:rsidRPr="009301DD" w:rsidRDefault="00BB1A78" w:rsidP="004C02E7">
            <w:pPr>
              <w:keepNext/>
              <w:keepLines/>
              <w:widowControl w:val="0"/>
              <w:spacing w:before="120"/>
              <w:rPr>
                <w:bCs/>
              </w:rPr>
            </w:pPr>
            <w:r>
              <w:rPr>
                <w:bCs/>
              </w:rPr>
              <w:t>Alan</w:t>
            </w:r>
          </w:p>
        </w:tc>
        <w:tc>
          <w:tcPr>
            <w:tcW w:w="3240" w:type="dxa"/>
            <w:tcMar>
              <w:top w:w="0" w:type="dxa"/>
              <w:left w:w="108" w:type="dxa"/>
              <w:bottom w:w="0" w:type="dxa"/>
              <w:right w:w="108" w:type="dxa"/>
            </w:tcMar>
          </w:tcPr>
          <w:p w14:paraId="61E472B6" w14:textId="237DAA9D" w:rsidR="00BB1A78" w:rsidRPr="009301DD" w:rsidRDefault="00BB1A78" w:rsidP="004C02E7">
            <w:pPr>
              <w:keepNext/>
              <w:keepLines/>
              <w:widowControl w:val="0"/>
              <w:spacing w:before="120"/>
              <w:rPr>
                <w:bCs/>
              </w:rPr>
            </w:pPr>
            <w:r>
              <w:rPr>
                <w:bCs/>
              </w:rPr>
              <w:t>Johnson</w:t>
            </w:r>
          </w:p>
        </w:tc>
        <w:tc>
          <w:tcPr>
            <w:tcW w:w="3870" w:type="dxa"/>
            <w:tcMar>
              <w:top w:w="0" w:type="dxa"/>
              <w:left w:w="108" w:type="dxa"/>
              <w:bottom w:w="0" w:type="dxa"/>
              <w:right w:w="108" w:type="dxa"/>
            </w:tcMar>
          </w:tcPr>
          <w:p w14:paraId="141198F2" w14:textId="582FBE8C" w:rsidR="00BB1A78" w:rsidRPr="009301DD" w:rsidRDefault="00BB1A78" w:rsidP="004C02E7">
            <w:pPr>
              <w:keepNext/>
              <w:keepLines/>
              <w:widowControl w:val="0"/>
              <w:spacing w:before="120"/>
              <w:rPr>
                <w:bCs/>
              </w:rPr>
            </w:pPr>
            <w:r>
              <w:rPr>
                <w:bCs/>
              </w:rPr>
              <w:t>NRG</w:t>
            </w:r>
          </w:p>
        </w:tc>
      </w:tr>
      <w:tr w:rsidR="0005302E" w:rsidRPr="00286562" w14:paraId="05E9B91F" w14:textId="77777777" w:rsidTr="001262CB">
        <w:tc>
          <w:tcPr>
            <w:tcW w:w="1998" w:type="dxa"/>
            <w:tcMar>
              <w:top w:w="0" w:type="dxa"/>
              <w:left w:w="108" w:type="dxa"/>
              <w:bottom w:w="0" w:type="dxa"/>
              <w:right w:w="108" w:type="dxa"/>
            </w:tcMar>
          </w:tcPr>
          <w:p w14:paraId="0ECBECFC" w14:textId="218466F2" w:rsidR="0005302E" w:rsidRPr="009301DD" w:rsidRDefault="0005302E" w:rsidP="004C02E7">
            <w:pPr>
              <w:keepNext/>
              <w:keepLines/>
              <w:widowControl w:val="0"/>
              <w:spacing w:before="120"/>
              <w:rPr>
                <w:bCs/>
              </w:rPr>
            </w:pPr>
            <w:r w:rsidRPr="009301DD">
              <w:rPr>
                <w:bCs/>
              </w:rPr>
              <w:t>Chris</w:t>
            </w:r>
          </w:p>
        </w:tc>
        <w:tc>
          <w:tcPr>
            <w:tcW w:w="3240" w:type="dxa"/>
            <w:tcMar>
              <w:top w:w="0" w:type="dxa"/>
              <w:left w:w="108" w:type="dxa"/>
              <w:bottom w:w="0" w:type="dxa"/>
              <w:right w:w="108" w:type="dxa"/>
            </w:tcMar>
          </w:tcPr>
          <w:p w14:paraId="404F36C5" w14:textId="45F5D1BF" w:rsidR="0005302E" w:rsidRPr="009301DD" w:rsidRDefault="0005302E" w:rsidP="004C02E7">
            <w:pPr>
              <w:keepNext/>
              <w:keepLines/>
              <w:widowControl w:val="0"/>
              <w:spacing w:before="120"/>
              <w:rPr>
                <w:bCs/>
              </w:rPr>
            </w:pPr>
            <w:r w:rsidRPr="009301DD">
              <w:rPr>
                <w:bCs/>
              </w:rPr>
              <w:t>Pacella</w:t>
            </w:r>
          </w:p>
        </w:tc>
        <w:tc>
          <w:tcPr>
            <w:tcW w:w="3870" w:type="dxa"/>
            <w:tcMar>
              <w:top w:w="0" w:type="dxa"/>
              <w:left w:w="108" w:type="dxa"/>
              <w:bottom w:w="0" w:type="dxa"/>
              <w:right w:w="108" w:type="dxa"/>
            </w:tcMar>
          </w:tcPr>
          <w:p w14:paraId="39F4F863" w14:textId="31C4D226" w:rsidR="0005302E" w:rsidRPr="009301DD" w:rsidRDefault="0005302E" w:rsidP="004C02E7">
            <w:pPr>
              <w:keepNext/>
              <w:keepLines/>
              <w:widowControl w:val="0"/>
              <w:spacing w:before="120"/>
              <w:rPr>
                <w:bCs/>
              </w:rPr>
            </w:pPr>
            <w:r w:rsidRPr="009301DD">
              <w:rPr>
                <w:bCs/>
              </w:rPr>
              <w:t>PJM</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9301DD" w:rsidRDefault="00EA28F0" w:rsidP="004C02E7">
            <w:pPr>
              <w:keepNext/>
              <w:keepLines/>
              <w:widowControl w:val="0"/>
              <w:spacing w:before="120"/>
              <w:rPr>
                <w:bCs/>
              </w:rPr>
            </w:pPr>
            <w:r w:rsidRPr="009301DD">
              <w:rPr>
                <w:bCs/>
              </w:rPr>
              <w:t>Joshua</w:t>
            </w:r>
          </w:p>
        </w:tc>
        <w:tc>
          <w:tcPr>
            <w:tcW w:w="3240" w:type="dxa"/>
            <w:tcMar>
              <w:top w:w="0" w:type="dxa"/>
              <w:left w:w="108" w:type="dxa"/>
              <w:bottom w:w="0" w:type="dxa"/>
              <w:right w:w="108" w:type="dxa"/>
            </w:tcMar>
          </w:tcPr>
          <w:p w14:paraId="117D0E94" w14:textId="5D650685" w:rsidR="00EA28F0" w:rsidRPr="009301DD" w:rsidRDefault="00EA28F0" w:rsidP="004C02E7">
            <w:pPr>
              <w:keepNext/>
              <w:keepLines/>
              <w:widowControl w:val="0"/>
              <w:spacing w:before="120"/>
              <w:rPr>
                <w:bCs/>
              </w:rPr>
            </w:pPr>
            <w:r w:rsidRPr="009301DD">
              <w:rPr>
                <w:bCs/>
              </w:rPr>
              <w:t>Phillips</w:t>
            </w:r>
          </w:p>
        </w:tc>
        <w:tc>
          <w:tcPr>
            <w:tcW w:w="3870" w:type="dxa"/>
            <w:tcMar>
              <w:top w:w="0" w:type="dxa"/>
              <w:left w:w="108" w:type="dxa"/>
              <w:bottom w:w="0" w:type="dxa"/>
              <w:right w:w="108" w:type="dxa"/>
            </w:tcMar>
          </w:tcPr>
          <w:p w14:paraId="05A4F1ED" w14:textId="74987D2F" w:rsidR="00EA28F0" w:rsidRPr="009301DD" w:rsidRDefault="00EA28F0" w:rsidP="004C02E7">
            <w:pPr>
              <w:keepNext/>
              <w:keepLines/>
              <w:widowControl w:val="0"/>
              <w:spacing w:before="120"/>
              <w:rPr>
                <w:bCs/>
              </w:rPr>
            </w:pPr>
            <w:r w:rsidRPr="009301DD">
              <w:rPr>
                <w:bCs/>
              </w:rPr>
              <w:t>SPP</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9301DD" w:rsidRDefault="0074610C" w:rsidP="004C02E7">
            <w:pPr>
              <w:keepNext/>
              <w:keepLines/>
              <w:widowControl w:val="0"/>
              <w:spacing w:before="120"/>
              <w:rPr>
                <w:bCs/>
              </w:rPr>
            </w:pPr>
            <w:r w:rsidRPr="009301DD">
              <w:rPr>
                <w:bCs/>
              </w:rPr>
              <w:t>Farrokh</w:t>
            </w:r>
          </w:p>
        </w:tc>
        <w:tc>
          <w:tcPr>
            <w:tcW w:w="3240" w:type="dxa"/>
            <w:tcMar>
              <w:top w:w="0" w:type="dxa"/>
              <w:left w:w="108" w:type="dxa"/>
              <w:bottom w:w="0" w:type="dxa"/>
              <w:right w:w="108" w:type="dxa"/>
            </w:tcMar>
          </w:tcPr>
          <w:p w14:paraId="2F204526" w14:textId="1E799E56" w:rsidR="0074610C" w:rsidRPr="009301DD" w:rsidRDefault="0074610C" w:rsidP="004C02E7">
            <w:pPr>
              <w:keepNext/>
              <w:keepLines/>
              <w:widowControl w:val="0"/>
              <w:spacing w:before="120"/>
              <w:rPr>
                <w:bCs/>
              </w:rPr>
            </w:pPr>
            <w:r w:rsidRPr="009301DD">
              <w:rPr>
                <w:bCs/>
              </w:rPr>
              <w:t>Rahimi</w:t>
            </w:r>
          </w:p>
        </w:tc>
        <w:tc>
          <w:tcPr>
            <w:tcW w:w="3870" w:type="dxa"/>
            <w:tcMar>
              <w:top w:w="0" w:type="dxa"/>
              <w:left w:w="108" w:type="dxa"/>
              <w:bottom w:w="0" w:type="dxa"/>
              <w:right w:w="108" w:type="dxa"/>
            </w:tcMar>
          </w:tcPr>
          <w:p w14:paraId="04098AD1" w14:textId="5F3DE8C0" w:rsidR="0074610C" w:rsidRPr="009301DD" w:rsidRDefault="0074610C" w:rsidP="004C02E7">
            <w:pPr>
              <w:keepNext/>
              <w:keepLines/>
              <w:widowControl w:val="0"/>
              <w:spacing w:before="120"/>
              <w:rPr>
                <w:bCs/>
              </w:rPr>
            </w:pPr>
            <w:r w:rsidRPr="009301DD">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9301DD" w:rsidRDefault="00B07034" w:rsidP="004C02E7">
            <w:pPr>
              <w:keepNext/>
              <w:keepLines/>
              <w:widowControl w:val="0"/>
              <w:spacing w:before="120"/>
              <w:rPr>
                <w:bCs/>
              </w:rPr>
            </w:pPr>
            <w:r w:rsidRPr="009301DD">
              <w:rPr>
                <w:bCs/>
              </w:rPr>
              <w:t>Robin</w:t>
            </w:r>
          </w:p>
        </w:tc>
        <w:tc>
          <w:tcPr>
            <w:tcW w:w="3240" w:type="dxa"/>
            <w:tcMar>
              <w:top w:w="0" w:type="dxa"/>
              <w:left w:w="108" w:type="dxa"/>
              <w:bottom w:w="0" w:type="dxa"/>
              <w:right w:w="108" w:type="dxa"/>
            </w:tcMar>
          </w:tcPr>
          <w:p w14:paraId="1DCA194A" w14:textId="2C0BA7A8" w:rsidR="00B07034" w:rsidRPr="009301DD" w:rsidRDefault="00B07034" w:rsidP="004C02E7">
            <w:pPr>
              <w:keepNext/>
              <w:keepLines/>
              <w:widowControl w:val="0"/>
              <w:spacing w:before="120"/>
              <w:rPr>
                <w:bCs/>
              </w:rPr>
            </w:pPr>
            <w:r w:rsidRPr="009301DD">
              <w:rPr>
                <w:bCs/>
              </w:rPr>
              <w:t>Rebillard</w:t>
            </w:r>
          </w:p>
        </w:tc>
        <w:tc>
          <w:tcPr>
            <w:tcW w:w="3870" w:type="dxa"/>
            <w:tcMar>
              <w:top w:w="0" w:type="dxa"/>
              <w:left w:w="108" w:type="dxa"/>
              <w:bottom w:w="0" w:type="dxa"/>
              <w:right w:w="108" w:type="dxa"/>
            </w:tcMar>
          </w:tcPr>
          <w:p w14:paraId="6D38DE62" w14:textId="4B7C2C56" w:rsidR="00B07034" w:rsidRPr="009301DD" w:rsidRDefault="00B07034" w:rsidP="004C02E7">
            <w:pPr>
              <w:keepNext/>
              <w:keepLines/>
              <w:widowControl w:val="0"/>
              <w:spacing w:before="120"/>
              <w:rPr>
                <w:bCs/>
              </w:rPr>
            </w:pPr>
            <w:r w:rsidRPr="009301DD">
              <w:rPr>
                <w:bCs/>
              </w:rPr>
              <w:t>Manitoba Hydro</w:t>
            </w:r>
          </w:p>
        </w:tc>
      </w:tr>
      <w:tr w:rsidR="009C76E2" w:rsidRPr="00286562" w14:paraId="25E7E1EA" w14:textId="77777777" w:rsidTr="001262CB">
        <w:tc>
          <w:tcPr>
            <w:tcW w:w="1998" w:type="dxa"/>
            <w:tcMar>
              <w:top w:w="0" w:type="dxa"/>
              <w:left w:w="108" w:type="dxa"/>
              <w:bottom w:w="0" w:type="dxa"/>
              <w:right w:w="108" w:type="dxa"/>
            </w:tcMar>
          </w:tcPr>
          <w:p w14:paraId="0E511778" w14:textId="507F501D" w:rsidR="009C76E2" w:rsidRPr="00BB1A78" w:rsidRDefault="009C76E2" w:rsidP="004C02E7">
            <w:pPr>
              <w:keepNext/>
              <w:keepLines/>
              <w:widowControl w:val="0"/>
              <w:spacing w:before="120"/>
              <w:rPr>
                <w:bCs/>
              </w:rPr>
            </w:pPr>
            <w:r w:rsidRPr="00BB1A78">
              <w:rPr>
                <w:bCs/>
              </w:rPr>
              <w:t>Byron</w:t>
            </w:r>
          </w:p>
        </w:tc>
        <w:tc>
          <w:tcPr>
            <w:tcW w:w="3240" w:type="dxa"/>
            <w:tcMar>
              <w:top w:w="0" w:type="dxa"/>
              <w:left w:w="108" w:type="dxa"/>
              <w:bottom w:w="0" w:type="dxa"/>
              <w:right w:w="108" w:type="dxa"/>
            </w:tcMar>
          </w:tcPr>
          <w:p w14:paraId="57FE0AD1" w14:textId="5D75BA20" w:rsidR="009C76E2" w:rsidRPr="00BB1A78" w:rsidRDefault="009C76E2" w:rsidP="004C02E7">
            <w:pPr>
              <w:keepNext/>
              <w:keepLines/>
              <w:widowControl w:val="0"/>
              <w:spacing w:before="120"/>
              <w:rPr>
                <w:bCs/>
              </w:rPr>
            </w:pPr>
            <w:proofErr w:type="spellStart"/>
            <w:r w:rsidRPr="00BB1A78">
              <w:rPr>
                <w:bCs/>
              </w:rPr>
              <w:t>Reischl</w:t>
            </w:r>
            <w:proofErr w:type="spellEnd"/>
          </w:p>
        </w:tc>
        <w:tc>
          <w:tcPr>
            <w:tcW w:w="3870" w:type="dxa"/>
            <w:tcMar>
              <w:top w:w="0" w:type="dxa"/>
              <w:left w:w="108" w:type="dxa"/>
              <w:bottom w:w="0" w:type="dxa"/>
              <w:right w:w="108" w:type="dxa"/>
            </w:tcMar>
          </w:tcPr>
          <w:p w14:paraId="47F1E4EB" w14:textId="24844B0E" w:rsidR="009C76E2" w:rsidRPr="00BB1A78" w:rsidRDefault="009C76E2" w:rsidP="004C02E7">
            <w:pPr>
              <w:keepNext/>
              <w:keepLines/>
              <w:widowControl w:val="0"/>
              <w:spacing w:before="120"/>
              <w:rPr>
                <w:bCs/>
              </w:rPr>
            </w:pPr>
            <w:r w:rsidRPr="00BB1A78">
              <w:rPr>
                <w:bCs/>
              </w:rPr>
              <w:t>Arizona Public Service</w:t>
            </w:r>
          </w:p>
        </w:tc>
      </w:tr>
      <w:tr w:rsidR="00FF1A71" w:rsidRPr="00286562" w14:paraId="221D408C" w14:textId="77777777" w:rsidTr="001262CB">
        <w:tc>
          <w:tcPr>
            <w:tcW w:w="1998" w:type="dxa"/>
            <w:tcMar>
              <w:top w:w="0" w:type="dxa"/>
              <w:left w:w="108" w:type="dxa"/>
              <w:bottom w:w="0" w:type="dxa"/>
              <w:right w:w="108" w:type="dxa"/>
            </w:tcMar>
          </w:tcPr>
          <w:p w14:paraId="14730D91" w14:textId="6837E695" w:rsidR="00FF1A71" w:rsidRPr="00BB1A78" w:rsidRDefault="00FF1A71" w:rsidP="004C02E7">
            <w:pPr>
              <w:keepNext/>
              <w:keepLines/>
              <w:widowControl w:val="0"/>
              <w:spacing w:before="120"/>
              <w:rPr>
                <w:bCs/>
              </w:rPr>
            </w:pPr>
            <w:r w:rsidRPr="00BB1A78">
              <w:rPr>
                <w:bCs/>
              </w:rPr>
              <w:t>Ron</w:t>
            </w:r>
          </w:p>
        </w:tc>
        <w:tc>
          <w:tcPr>
            <w:tcW w:w="3240" w:type="dxa"/>
            <w:tcMar>
              <w:top w:w="0" w:type="dxa"/>
              <w:left w:w="108" w:type="dxa"/>
              <w:bottom w:w="0" w:type="dxa"/>
              <w:right w:w="108" w:type="dxa"/>
            </w:tcMar>
          </w:tcPr>
          <w:p w14:paraId="1CDC292D" w14:textId="28F999DC" w:rsidR="00FF1A71" w:rsidRPr="00BB1A78" w:rsidRDefault="00FF1A71" w:rsidP="004C02E7">
            <w:pPr>
              <w:keepNext/>
              <w:keepLines/>
              <w:widowControl w:val="0"/>
              <w:spacing w:before="120"/>
              <w:rPr>
                <w:bCs/>
              </w:rPr>
            </w:pPr>
            <w:r w:rsidRPr="00BB1A78">
              <w:rPr>
                <w:bCs/>
              </w:rPr>
              <w:t>Robinson</w:t>
            </w:r>
          </w:p>
        </w:tc>
        <w:tc>
          <w:tcPr>
            <w:tcW w:w="3870" w:type="dxa"/>
            <w:tcMar>
              <w:top w:w="0" w:type="dxa"/>
              <w:left w:w="108" w:type="dxa"/>
              <w:bottom w:w="0" w:type="dxa"/>
              <w:right w:w="108" w:type="dxa"/>
            </w:tcMar>
          </w:tcPr>
          <w:p w14:paraId="45247159" w14:textId="7AE6FD80" w:rsidR="00FF1A71" w:rsidRPr="00BB1A78" w:rsidRDefault="00FF1A71" w:rsidP="004C02E7">
            <w:pPr>
              <w:keepNext/>
              <w:keepLines/>
              <w:widowControl w:val="0"/>
              <w:spacing w:before="120"/>
              <w:rPr>
                <w:bCs/>
              </w:rPr>
            </w:pPr>
            <w:r w:rsidRPr="00BB1A78">
              <w:rPr>
                <w:bCs/>
              </w:rPr>
              <w:t>TVA</w:t>
            </w:r>
          </w:p>
        </w:tc>
      </w:tr>
      <w:tr w:rsidR="00EA28F0" w:rsidRPr="00286562" w14:paraId="7A9559F6" w14:textId="77777777" w:rsidTr="001262CB">
        <w:tc>
          <w:tcPr>
            <w:tcW w:w="1998" w:type="dxa"/>
            <w:tcMar>
              <w:top w:w="0" w:type="dxa"/>
              <w:left w:w="108" w:type="dxa"/>
              <w:bottom w:w="0" w:type="dxa"/>
              <w:right w:w="108" w:type="dxa"/>
            </w:tcMar>
          </w:tcPr>
          <w:p w14:paraId="2DC5B104" w14:textId="42AA3AF9" w:rsidR="00EA28F0" w:rsidRPr="009301DD" w:rsidRDefault="00EA28F0" w:rsidP="004C02E7">
            <w:pPr>
              <w:keepNext/>
              <w:keepLines/>
              <w:widowControl w:val="0"/>
              <w:spacing w:before="120"/>
              <w:rPr>
                <w:bCs/>
              </w:rPr>
            </w:pPr>
            <w:r w:rsidRPr="009301DD">
              <w:rPr>
                <w:bCs/>
              </w:rPr>
              <w:t>Patrick</w:t>
            </w:r>
          </w:p>
        </w:tc>
        <w:tc>
          <w:tcPr>
            <w:tcW w:w="3240" w:type="dxa"/>
            <w:tcMar>
              <w:top w:w="0" w:type="dxa"/>
              <w:left w:w="108" w:type="dxa"/>
              <w:bottom w:w="0" w:type="dxa"/>
              <w:right w:w="108" w:type="dxa"/>
            </w:tcMar>
          </w:tcPr>
          <w:p w14:paraId="1424BF79" w14:textId="1E17708C" w:rsidR="00EA28F0" w:rsidRPr="009301DD" w:rsidRDefault="00EA28F0" w:rsidP="004C02E7">
            <w:pPr>
              <w:keepNext/>
              <w:keepLines/>
              <w:widowControl w:val="0"/>
              <w:spacing w:before="120"/>
              <w:rPr>
                <w:bCs/>
              </w:rPr>
            </w:pPr>
            <w:r w:rsidRPr="009301DD">
              <w:rPr>
                <w:bCs/>
              </w:rPr>
              <w:t>Scarborough</w:t>
            </w:r>
          </w:p>
        </w:tc>
        <w:tc>
          <w:tcPr>
            <w:tcW w:w="3870" w:type="dxa"/>
            <w:tcMar>
              <w:top w:w="0" w:type="dxa"/>
              <w:left w:w="108" w:type="dxa"/>
              <w:bottom w:w="0" w:type="dxa"/>
              <w:right w:w="108" w:type="dxa"/>
            </w:tcMar>
          </w:tcPr>
          <w:p w14:paraId="60D23057" w14:textId="645257E5" w:rsidR="00EA28F0" w:rsidRPr="009301DD" w:rsidRDefault="00EA28F0" w:rsidP="004C02E7">
            <w:pPr>
              <w:keepNext/>
              <w:keepLines/>
              <w:widowControl w:val="0"/>
              <w:spacing w:before="120"/>
              <w:rPr>
                <w:bCs/>
              </w:rPr>
            </w:pPr>
            <w:r w:rsidRPr="009301DD">
              <w:rPr>
                <w:bCs/>
              </w:rPr>
              <w:t>Southern Company</w:t>
            </w:r>
          </w:p>
        </w:tc>
      </w:tr>
      <w:tr w:rsidR="0005302E" w:rsidRPr="00286562" w14:paraId="27655857" w14:textId="77777777" w:rsidTr="001262CB">
        <w:tc>
          <w:tcPr>
            <w:tcW w:w="1998" w:type="dxa"/>
            <w:tcMar>
              <w:top w:w="0" w:type="dxa"/>
              <w:left w:w="108" w:type="dxa"/>
              <w:bottom w:w="0" w:type="dxa"/>
              <w:right w:w="108" w:type="dxa"/>
            </w:tcMar>
          </w:tcPr>
          <w:p w14:paraId="7A345B1C" w14:textId="17616179" w:rsidR="0005302E" w:rsidRPr="009301DD" w:rsidRDefault="0005302E" w:rsidP="004C02E7">
            <w:pPr>
              <w:keepNext/>
              <w:keepLines/>
              <w:widowControl w:val="0"/>
              <w:spacing w:before="120"/>
              <w:rPr>
                <w:bCs/>
              </w:rPr>
            </w:pPr>
            <w:r w:rsidRPr="009301DD">
              <w:rPr>
                <w:bCs/>
              </w:rPr>
              <w:t>Mike</w:t>
            </w:r>
          </w:p>
        </w:tc>
        <w:tc>
          <w:tcPr>
            <w:tcW w:w="3240" w:type="dxa"/>
            <w:tcMar>
              <w:top w:w="0" w:type="dxa"/>
              <w:left w:w="108" w:type="dxa"/>
              <w:bottom w:w="0" w:type="dxa"/>
              <w:right w:w="108" w:type="dxa"/>
            </w:tcMar>
          </w:tcPr>
          <w:p w14:paraId="45982A85" w14:textId="7CDB934C" w:rsidR="0005302E" w:rsidRPr="009301DD" w:rsidRDefault="0005302E" w:rsidP="004C02E7">
            <w:pPr>
              <w:keepNext/>
              <w:keepLines/>
              <w:widowControl w:val="0"/>
              <w:spacing w:before="120"/>
              <w:rPr>
                <w:bCs/>
              </w:rPr>
            </w:pPr>
            <w:proofErr w:type="spellStart"/>
            <w:r w:rsidRPr="009301DD">
              <w:rPr>
                <w:bCs/>
              </w:rPr>
              <w:t>Steigerwald</w:t>
            </w:r>
            <w:proofErr w:type="spellEnd"/>
          </w:p>
        </w:tc>
        <w:tc>
          <w:tcPr>
            <w:tcW w:w="3870" w:type="dxa"/>
            <w:tcMar>
              <w:top w:w="0" w:type="dxa"/>
              <w:left w:w="108" w:type="dxa"/>
              <w:bottom w:w="0" w:type="dxa"/>
              <w:right w:w="108" w:type="dxa"/>
            </w:tcMar>
          </w:tcPr>
          <w:p w14:paraId="79A41923" w14:textId="3AC9198C" w:rsidR="0005302E" w:rsidRPr="009301DD" w:rsidRDefault="0005302E" w:rsidP="004C02E7">
            <w:pPr>
              <w:keepNext/>
              <w:keepLines/>
              <w:widowControl w:val="0"/>
              <w:spacing w:before="120"/>
              <w:rPr>
                <w:bCs/>
              </w:rPr>
            </w:pPr>
            <w:r w:rsidRPr="009301DD">
              <w:rPr>
                <w:bCs/>
              </w:rPr>
              <w:t>BPA</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9301DD" w:rsidRDefault="00F27096" w:rsidP="004C02E7">
            <w:pPr>
              <w:keepNext/>
              <w:keepLines/>
              <w:widowControl w:val="0"/>
              <w:spacing w:before="120"/>
              <w:rPr>
                <w:bCs/>
              </w:rPr>
            </w:pPr>
            <w:r w:rsidRPr="009301DD">
              <w:rPr>
                <w:bCs/>
              </w:rPr>
              <w:t xml:space="preserve">Scott </w:t>
            </w:r>
          </w:p>
        </w:tc>
        <w:tc>
          <w:tcPr>
            <w:tcW w:w="3240" w:type="dxa"/>
            <w:tcMar>
              <w:top w:w="0" w:type="dxa"/>
              <w:left w:w="108" w:type="dxa"/>
              <w:bottom w:w="0" w:type="dxa"/>
              <w:right w:w="108" w:type="dxa"/>
            </w:tcMar>
          </w:tcPr>
          <w:p w14:paraId="36643A7A" w14:textId="687132FC" w:rsidR="00F27096" w:rsidRPr="009301DD" w:rsidRDefault="00F27096" w:rsidP="004C02E7">
            <w:pPr>
              <w:keepNext/>
              <w:keepLines/>
              <w:widowControl w:val="0"/>
              <w:spacing w:before="120"/>
              <w:rPr>
                <w:bCs/>
              </w:rPr>
            </w:pPr>
            <w:r w:rsidRPr="009301DD">
              <w:rPr>
                <w:bCs/>
              </w:rPr>
              <w:t>Stewart</w:t>
            </w:r>
          </w:p>
        </w:tc>
        <w:tc>
          <w:tcPr>
            <w:tcW w:w="3870" w:type="dxa"/>
            <w:tcMar>
              <w:top w:w="0" w:type="dxa"/>
              <w:left w:w="108" w:type="dxa"/>
              <w:bottom w:w="0" w:type="dxa"/>
              <w:right w:w="108" w:type="dxa"/>
            </w:tcMar>
          </w:tcPr>
          <w:p w14:paraId="3E2433C9" w14:textId="7891AD9C" w:rsidR="00F27096" w:rsidRPr="009301DD" w:rsidRDefault="005444CA" w:rsidP="004C02E7">
            <w:pPr>
              <w:keepNext/>
              <w:keepLines/>
              <w:widowControl w:val="0"/>
              <w:spacing w:before="120"/>
              <w:rPr>
                <w:bCs/>
              </w:rPr>
            </w:pPr>
            <w:r w:rsidRPr="009301DD">
              <w:rPr>
                <w:bCs/>
              </w:rPr>
              <w:t>BPA</w:t>
            </w:r>
          </w:p>
        </w:tc>
      </w:tr>
      <w:tr w:rsidR="009C76E2" w:rsidRPr="00286562" w14:paraId="350FC776" w14:textId="77777777" w:rsidTr="001262CB">
        <w:tc>
          <w:tcPr>
            <w:tcW w:w="1998" w:type="dxa"/>
            <w:tcMar>
              <w:top w:w="0" w:type="dxa"/>
              <w:left w:w="108" w:type="dxa"/>
              <w:bottom w:w="0" w:type="dxa"/>
              <w:right w:w="108" w:type="dxa"/>
            </w:tcMar>
          </w:tcPr>
          <w:p w14:paraId="5C6CC842" w14:textId="6F8C1717" w:rsidR="009C76E2" w:rsidRPr="009301DD" w:rsidRDefault="009C76E2" w:rsidP="004C02E7">
            <w:pPr>
              <w:keepNext/>
              <w:keepLines/>
              <w:widowControl w:val="0"/>
              <w:spacing w:before="120"/>
              <w:rPr>
                <w:bCs/>
              </w:rPr>
            </w:pPr>
            <w:r w:rsidRPr="009301DD">
              <w:rPr>
                <w:bCs/>
              </w:rPr>
              <w:t>Matt</w:t>
            </w:r>
          </w:p>
        </w:tc>
        <w:tc>
          <w:tcPr>
            <w:tcW w:w="3240" w:type="dxa"/>
            <w:tcMar>
              <w:top w:w="0" w:type="dxa"/>
              <w:left w:w="108" w:type="dxa"/>
              <w:bottom w:w="0" w:type="dxa"/>
              <w:right w:w="108" w:type="dxa"/>
            </w:tcMar>
          </w:tcPr>
          <w:p w14:paraId="544B6C55" w14:textId="31D30555" w:rsidR="009C76E2" w:rsidRPr="009301DD" w:rsidRDefault="009C76E2" w:rsidP="004C02E7">
            <w:pPr>
              <w:keepNext/>
              <w:keepLines/>
              <w:widowControl w:val="0"/>
              <w:spacing w:before="120"/>
              <w:rPr>
                <w:bCs/>
              </w:rPr>
            </w:pPr>
            <w:r w:rsidRPr="009301DD">
              <w:rPr>
                <w:bCs/>
              </w:rPr>
              <w:t>Sutton</w:t>
            </w:r>
          </w:p>
        </w:tc>
        <w:tc>
          <w:tcPr>
            <w:tcW w:w="3870" w:type="dxa"/>
            <w:tcMar>
              <w:top w:w="0" w:type="dxa"/>
              <w:left w:w="108" w:type="dxa"/>
              <w:bottom w:w="0" w:type="dxa"/>
              <w:right w:w="108" w:type="dxa"/>
            </w:tcMar>
          </w:tcPr>
          <w:p w14:paraId="6C87E958" w14:textId="125E6D1C" w:rsidR="009C76E2" w:rsidRPr="009301DD" w:rsidRDefault="009C76E2" w:rsidP="004C02E7">
            <w:pPr>
              <w:keepNext/>
              <w:keepLines/>
              <w:widowControl w:val="0"/>
              <w:spacing w:before="120"/>
              <w:rPr>
                <w:bCs/>
              </w:rPr>
            </w:pPr>
            <w:r w:rsidRPr="009301DD">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9301DD" w:rsidRDefault="00BE24C3" w:rsidP="004C02E7">
            <w:pPr>
              <w:keepNext/>
              <w:keepLines/>
              <w:widowControl w:val="0"/>
              <w:spacing w:before="120"/>
              <w:rPr>
                <w:bCs/>
              </w:rPr>
            </w:pPr>
            <w:r w:rsidRPr="009301DD">
              <w:rPr>
                <w:bCs/>
              </w:rPr>
              <w:t>Caroline</w:t>
            </w:r>
          </w:p>
        </w:tc>
        <w:tc>
          <w:tcPr>
            <w:tcW w:w="3240" w:type="dxa"/>
            <w:tcMar>
              <w:top w:w="0" w:type="dxa"/>
              <w:left w:w="108" w:type="dxa"/>
              <w:bottom w:w="0" w:type="dxa"/>
              <w:right w:w="108" w:type="dxa"/>
            </w:tcMar>
            <w:hideMark/>
          </w:tcPr>
          <w:p w14:paraId="3166FE36" w14:textId="77777777" w:rsidR="00BE24C3" w:rsidRPr="009301DD" w:rsidRDefault="00BE24C3" w:rsidP="004C02E7">
            <w:pPr>
              <w:keepNext/>
              <w:keepLines/>
              <w:widowControl w:val="0"/>
              <w:spacing w:before="120"/>
              <w:rPr>
                <w:bCs/>
              </w:rPr>
            </w:pPr>
            <w:r w:rsidRPr="009301DD">
              <w:rPr>
                <w:bCs/>
              </w:rPr>
              <w:t>Trum</w:t>
            </w:r>
          </w:p>
        </w:tc>
        <w:tc>
          <w:tcPr>
            <w:tcW w:w="3870" w:type="dxa"/>
            <w:tcMar>
              <w:top w:w="0" w:type="dxa"/>
              <w:left w:w="108" w:type="dxa"/>
              <w:bottom w:w="0" w:type="dxa"/>
              <w:right w:w="108" w:type="dxa"/>
            </w:tcMar>
            <w:hideMark/>
          </w:tcPr>
          <w:p w14:paraId="57332193" w14:textId="77777777" w:rsidR="00BE24C3" w:rsidRPr="009301DD" w:rsidRDefault="00BE24C3" w:rsidP="004C02E7">
            <w:pPr>
              <w:keepNext/>
              <w:keepLines/>
              <w:widowControl w:val="0"/>
              <w:spacing w:before="120"/>
              <w:rPr>
                <w:bCs/>
              </w:rPr>
            </w:pPr>
            <w:r w:rsidRPr="009301DD">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9301DD" w:rsidRDefault="00BC5DF1" w:rsidP="004C02E7">
            <w:pPr>
              <w:keepNext/>
              <w:keepLines/>
              <w:widowControl w:val="0"/>
              <w:spacing w:before="120"/>
              <w:rPr>
                <w:bCs/>
              </w:rPr>
            </w:pPr>
            <w:r w:rsidRPr="009301DD">
              <w:rPr>
                <w:bCs/>
              </w:rPr>
              <w:t>JT</w:t>
            </w:r>
          </w:p>
        </w:tc>
        <w:tc>
          <w:tcPr>
            <w:tcW w:w="3240" w:type="dxa"/>
            <w:tcMar>
              <w:top w:w="0" w:type="dxa"/>
              <w:left w:w="108" w:type="dxa"/>
              <w:bottom w:w="0" w:type="dxa"/>
              <w:right w:w="108" w:type="dxa"/>
            </w:tcMar>
          </w:tcPr>
          <w:p w14:paraId="2392DA64" w14:textId="53DBD2D9" w:rsidR="00BC5DF1" w:rsidRPr="009301DD" w:rsidRDefault="00BC5DF1" w:rsidP="004C02E7">
            <w:pPr>
              <w:keepNext/>
              <w:keepLines/>
              <w:widowControl w:val="0"/>
              <w:spacing w:before="120"/>
              <w:rPr>
                <w:bCs/>
              </w:rPr>
            </w:pPr>
            <w:r w:rsidRPr="009301DD">
              <w:rPr>
                <w:bCs/>
              </w:rPr>
              <w:t>Wood</w:t>
            </w:r>
          </w:p>
        </w:tc>
        <w:tc>
          <w:tcPr>
            <w:tcW w:w="3870" w:type="dxa"/>
            <w:tcMar>
              <w:top w:w="0" w:type="dxa"/>
              <w:left w:w="108" w:type="dxa"/>
              <w:bottom w:w="0" w:type="dxa"/>
              <w:right w:w="108" w:type="dxa"/>
            </w:tcMar>
          </w:tcPr>
          <w:p w14:paraId="53D0F1D6" w14:textId="445FF6B8" w:rsidR="00BC5DF1" w:rsidRPr="009301DD" w:rsidRDefault="00BC5DF1" w:rsidP="004C02E7">
            <w:pPr>
              <w:keepNext/>
              <w:keepLines/>
              <w:widowControl w:val="0"/>
              <w:spacing w:before="120"/>
              <w:rPr>
                <w:bCs/>
              </w:rPr>
            </w:pPr>
            <w:r w:rsidRPr="009301DD">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D5C20" w14:textId="77777777" w:rsidR="00740BD7" w:rsidRDefault="00740BD7">
      <w:r>
        <w:separator/>
      </w:r>
    </w:p>
  </w:endnote>
  <w:endnote w:type="continuationSeparator" w:id="0">
    <w:p w14:paraId="56BBB403" w14:textId="77777777" w:rsidR="00740BD7" w:rsidRDefault="0074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11BFCC83"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4F170A">
      <w:rPr>
        <w:sz w:val="18"/>
        <w:szCs w:val="18"/>
      </w:rPr>
      <w:t>Ju</w:t>
    </w:r>
    <w:r w:rsidR="009301DD">
      <w:rPr>
        <w:sz w:val="18"/>
        <w:szCs w:val="18"/>
      </w:rPr>
      <w:t>ly 6</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96744" w14:textId="77777777" w:rsidR="00740BD7" w:rsidRDefault="00740BD7">
      <w:r>
        <w:separator/>
      </w:r>
    </w:p>
  </w:footnote>
  <w:footnote w:type="continuationSeparator" w:id="0">
    <w:p w14:paraId="3AD46A96" w14:textId="77777777" w:rsidR="00740BD7" w:rsidRDefault="0074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1E452C41" w:rsidR="00F7176E" w:rsidRPr="00D65256" w:rsidRDefault="00381A3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31"/>
  </w:num>
  <w:num w:numId="4">
    <w:abstractNumId w:val="38"/>
  </w:num>
  <w:num w:numId="5">
    <w:abstractNumId w:val="9"/>
  </w:num>
  <w:num w:numId="6">
    <w:abstractNumId w:val="33"/>
  </w:num>
  <w:num w:numId="7">
    <w:abstractNumId w:val="8"/>
  </w:num>
  <w:num w:numId="8">
    <w:abstractNumId w:val="11"/>
  </w:num>
  <w:num w:numId="9">
    <w:abstractNumId w:val="12"/>
  </w:num>
  <w:num w:numId="10">
    <w:abstractNumId w:val="4"/>
  </w:num>
  <w:num w:numId="11">
    <w:abstractNumId w:val="22"/>
  </w:num>
  <w:num w:numId="12">
    <w:abstractNumId w:val="6"/>
  </w:num>
  <w:num w:numId="13">
    <w:abstractNumId w:val="14"/>
  </w:num>
  <w:num w:numId="14">
    <w:abstractNumId w:val="17"/>
  </w:num>
  <w:num w:numId="15">
    <w:abstractNumId w:val="10"/>
  </w:num>
  <w:num w:numId="16">
    <w:abstractNumId w:val="2"/>
  </w:num>
  <w:num w:numId="17">
    <w:abstractNumId w:val="41"/>
  </w:num>
  <w:num w:numId="18">
    <w:abstractNumId w:val="20"/>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num>
  <w:num w:numId="22">
    <w:abstractNumId w:val="24"/>
  </w:num>
  <w:num w:numId="23">
    <w:abstractNumId w:val="35"/>
  </w:num>
  <w:num w:numId="24">
    <w:abstractNumId w:val="36"/>
  </w:num>
  <w:num w:numId="25">
    <w:abstractNumId w:val="18"/>
  </w:num>
  <w:num w:numId="26">
    <w:abstractNumId w:val="34"/>
  </w:num>
  <w:num w:numId="27">
    <w:abstractNumId w:val="19"/>
  </w:num>
  <w:num w:numId="28">
    <w:abstractNumId w:val="5"/>
  </w:num>
  <w:num w:numId="29">
    <w:abstractNumId w:val="27"/>
  </w:num>
  <w:num w:numId="30">
    <w:abstractNumId w:val="32"/>
  </w:num>
  <w:num w:numId="31">
    <w:abstractNumId w:val="37"/>
  </w:num>
  <w:num w:numId="32">
    <w:abstractNumId w:val="26"/>
  </w:num>
  <w:num w:numId="33">
    <w:abstractNumId w:val="25"/>
  </w:num>
  <w:num w:numId="34">
    <w:abstractNumId w:val="23"/>
  </w:num>
  <w:num w:numId="35">
    <w:abstractNumId w:val="28"/>
  </w:num>
  <w:num w:numId="36">
    <w:abstractNumId w:val="13"/>
  </w:num>
  <w:num w:numId="37">
    <w:abstractNumId w:val="2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7"/>
  </w:num>
  <w:num w:numId="41">
    <w:abstractNumId w:val="3"/>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A3C"/>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05"/>
    <w:rsid w:val="00637E50"/>
    <w:rsid w:val="00637FB9"/>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0BD7"/>
    <w:rsid w:val="0074104C"/>
    <w:rsid w:val="00741088"/>
    <w:rsid w:val="0074112E"/>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A3A"/>
    <w:rsid w:val="00927C03"/>
    <w:rsid w:val="00927E10"/>
    <w:rsid w:val="009301DD"/>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2F"/>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243"/>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4BB6"/>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A78"/>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60122f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pdf4/r22002.doc" TargetMode="External"/><Relationship Id="rId4" Type="http://schemas.openxmlformats.org/officeDocument/2006/relationships/settings" Target="settings.xml"/><Relationship Id="rId9" Type="http://schemas.openxmlformats.org/officeDocument/2006/relationships/hyperlink" Target="https://naesb.org/member_login_check.asp?doc=weq_bps070622a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7B05-F785-4BCB-A1D8-123C7F6D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5145</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Veronica Thomason</cp:lastModifiedBy>
  <cp:revision>3</cp:revision>
  <cp:lastPrinted>2012-04-04T10:38:00Z</cp:lastPrinted>
  <dcterms:created xsi:type="dcterms:W3CDTF">2022-09-14T16:34:00Z</dcterms:created>
  <dcterms:modified xsi:type="dcterms:W3CDTF">2022-09-15T18:04:00Z</dcterms:modified>
</cp:coreProperties>
</file>