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F74" w14:textId="16899BD0" w:rsidR="00F504E0" w:rsidRPr="00F504E0" w:rsidRDefault="00F504E0" w:rsidP="00F504E0">
      <w:pPr>
        <w:pStyle w:val="ListBullet"/>
        <w:numPr>
          <w:ilvl w:val="0"/>
          <w:numId w:val="0"/>
        </w:numPr>
        <w:spacing w:before="120" w:after="120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F504E0">
        <w:rPr>
          <w:rFonts w:ascii="Times New Roman" w:hAnsi="Times New Roman"/>
          <w:sz w:val="28"/>
          <w:szCs w:val="28"/>
        </w:rPr>
        <w:t>Use Cas</w:t>
      </w:r>
      <w:r w:rsidR="00B71DCA">
        <w:rPr>
          <w:rFonts w:ascii="Times New Roman" w:hAnsi="Times New Roman"/>
          <w:sz w:val="28"/>
          <w:szCs w:val="28"/>
        </w:rPr>
        <w:t xml:space="preserve">e – </w:t>
      </w:r>
      <w:r w:rsidRPr="00F504E0">
        <w:rPr>
          <w:rFonts w:ascii="Times New Roman" w:hAnsi="Times New Roman"/>
          <w:sz w:val="28"/>
          <w:szCs w:val="28"/>
        </w:rPr>
        <w:t>Data Usage Description</w:t>
      </w:r>
      <w:r w:rsidR="00CD76C4">
        <w:rPr>
          <w:rFonts w:ascii="Times New Roman" w:hAnsi="Times New Roman"/>
          <w:sz w:val="28"/>
          <w:szCs w:val="28"/>
        </w:rPr>
        <w:t>s</w:t>
      </w:r>
    </w:p>
    <w:p w14:paraId="27AED86F" w14:textId="6B954402" w:rsidR="00DC07DC" w:rsidRDefault="00DC07DC" w:rsidP="00AB1CB5">
      <w:pPr>
        <w:pStyle w:val="List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WEQ Business Practices Subcommittee has developed a use case to identify data elements that may be needed in the registration of </w:t>
      </w:r>
      <w:r w:rsidR="00CD76C4">
        <w:rPr>
          <w:rFonts w:ascii="Times New Roman" w:hAnsi="Times New Roman"/>
          <w:sz w:val="20"/>
          <w:szCs w:val="20"/>
        </w:rPr>
        <w:t>Distributed Energy Resource (</w:t>
      </w:r>
      <w:r>
        <w:rPr>
          <w:rFonts w:ascii="Times New Roman" w:hAnsi="Times New Roman"/>
          <w:sz w:val="20"/>
          <w:szCs w:val="20"/>
        </w:rPr>
        <w:t>DER</w:t>
      </w:r>
      <w:r w:rsidR="00CD76C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aggregations and/or individual resources comprising a DER aggregation.  This use case is envisioned to support the various entities with which the DER registration may interact as a common set of information requirements.</w:t>
      </w:r>
      <w:r w:rsidR="001362B1">
        <w:rPr>
          <w:rFonts w:ascii="Times New Roman" w:hAnsi="Times New Roman"/>
          <w:sz w:val="20"/>
          <w:szCs w:val="20"/>
        </w:rPr>
        <w:t xml:space="preserve">  The WEQ BPS is seeking input on if there are additional data elements that may be required.</w:t>
      </w:r>
    </w:p>
    <w:p w14:paraId="26C01FDD" w14:textId="636C8F6F" w:rsidR="00010D49" w:rsidRPr="007F4810" w:rsidRDefault="00C84144" w:rsidP="00AB1CB5">
      <w:pPr>
        <w:pStyle w:val="List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ISO or RTO</w:t>
      </w:r>
      <w:r w:rsidR="00010D49">
        <w:rPr>
          <w:rFonts w:ascii="Times New Roman" w:hAnsi="Times New Roman"/>
          <w:sz w:val="20"/>
          <w:szCs w:val="20"/>
        </w:rPr>
        <w:t xml:space="preserve"> may elect to increase or reduce the amount of information obtained from the data usage description</w:t>
      </w:r>
      <w:r w:rsidR="00767C20">
        <w:rPr>
          <w:rFonts w:ascii="Times New Roman" w:hAnsi="Times New Roman"/>
          <w:sz w:val="20"/>
          <w:szCs w:val="20"/>
        </w:rPr>
        <w:t xml:space="preserve"> subject to </w:t>
      </w:r>
      <w:r w:rsidR="008C76BA">
        <w:rPr>
          <w:rFonts w:ascii="Times New Roman" w:hAnsi="Times New Roman"/>
          <w:sz w:val="20"/>
          <w:szCs w:val="20"/>
        </w:rPr>
        <w:t>their Governing Documents</w:t>
      </w:r>
      <w:r w:rsidR="00955CB2">
        <w:rPr>
          <w:rFonts w:ascii="Times New Roman" w:hAnsi="Times New Roman"/>
          <w:sz w:val="20"/>
          <w:szCs w:val="20"/>
        </w:rPr>
        <w:t>.  Other entities</w:t>
      </w:r>
      <w:r w:rsidR="00023532">
        <w:rPr>
          <w:rFonts w:ascii="Times New Roman" w:hAnsi="Times New Roman"/>
          <w:sz w:val="20"/>
          <w:szCs w:val="20"/>
        </w:rPr>
        <w:t>,</w:t>
      </w:r>
      <w:r w:rsidR="00955CB2">
        <w:rPr>
          <w:rFonts w:ascii="Times New Roman" w:hAnsi="Times New Roman"/>
          <w:sz w:val="20"/>
          <w:szCs w:val="20"/>
        </w:rPr>
        <w:t xml:space="preserve"> </w:t>
      </w:r>
      <w:r w:rsidR="0089073E">
        <w:rPr>
          <w:rFonts w:ascii="Times New Roman" w:hAnsi="Times New Roman"/>
          <w:sz w:val="20"/>
          <w:szCs w:val="20"/>
        </w:rPr>
        <w:t>such as distribution utilities</w:t>
      </w:r>
      <w:r w:rsidR="00023532">
        <w:rPr>
          <w:rFonts w:ascii="Times New Roman" w:hAnsi="Times New Roman"/>
          <w:sz w:val="20"/>
          <w:szCs w:val="20"/>
        </w:rPr>
        <w:t>,</w:t>
      </w:r>
      <w:r w:rsidR="0089073E">
        <w:rPr>
          <w:rFonts w:ascii="Times New Roman" w:hAnsi="Times New Roman"/>
          <w:sz w:val="20"/>
          <w:szCs w:val="20"/>
        </w:rPr>
        <w:t xml:space="preserve"> </w:t>
      </w:r>
      <w:r w:rsidR="00955CB2">
        <w:rPr>
          <w:rFonts w:ascii="Times New Roman" w:hAnsi="Times New Roman"/>
          <w:sz w:val="20"/>
          <w:szCs w:val="20"/>
        </w:rPr>
        <w:t xml:space="preserve">may </w:t>
      </w:r>
      <w:r w:rsidR="00023532">
        <w:rPr>
          <w:rFonts w:ascii="Times New Roman" w:hAnsi="Times New Roman"/>
          <w:sz w:val="20"/>
          <w:szCs w:val="20"/>
        </w:rPr>
        <w:t xml:space="preserve">have other </w:t>
      </w:r>
      <w:r w:rsidR="00955CB2">
        <w:rPr>
          <w:rFonts w:ascii="Times New Roman" w:hAnsi="Times New Roman"/>
          <w:sz w:val="20"/>
          <w:szCs w:val="20"/>
        </w:rPr>
        <w:t xml:space="preserve">data </w:t>
      </w:r>
      <w:r w:rsidR="00023532">
        <w:rPr>
          <w:rFonts w:ascii="Times New Roman" w:hAnsi="Times New Roman"/>
          <w:sz w:val="20"/>
          <w:szCs w:val="20"/>
        </w:rPr>
        <w:t xml:space="preserve">requirements. </w:t>
      </w:r>
      <w:r w:rsidR="001362B1">
        <w:rPr>
          <w:rFonts w:ascii="Times New Roman" w:hAnsi="Times New Roman"/>
          <w:sz w:val="20"/>
          <w:szCs w:val="20"/>
        </w:rPr>
        <w:t>This</w:t>
      </w:r>
      <w:r w:rsidR="00204602">
        <w:rPr>
          <w:rFonts w:ascii="Times New Roman" w:hAnsi="Times New Roman"/>
          <w:sz w:val="20"/>
          <w:szCs w:val="20"/>
        </w:rPr>
        <w:t xml:space="preserve"> information does not define which party or entity is providing the data</w:t>
      </w:r>
      <w:r w:rsidR="001362B1">
        <w:rPr>
          <w:rFonts w:ascii="Times New Roman" w:hAnsi="Times New Roman"/>
          <w:sz w:val="20"/>
          <w:szCs w:val="20"/>
        </w:rPr>
        <w:t>.</w:t>
      </w:r>
    </w:p>
    <w:p w14:paraId="25E5C53F" w14:textId="2C481E52" w:rsidR="00F504E0" w:rsidRPr="00F504E0" w:rsidRDefault="0074471E" w:rsidP="00F504E0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1.</w:t>
      </w:r>
      <w:r w:rsidR="00F504E0" w:rsidRPr="00F504E0">
        <w:rPr>
          <w:rFonts w:ascii="Times New Roman" w:hAnsi="Times New Roman"/>
          <w:sz w:val="20"/>
          <w:szCs w:val="20"/>
          <w:u w:val="single"/>
        </w:rPr>
        <w:t xml:space="preserve"> Registration for the resource aggregation from the ISO/RTO perspective </w:t>
      </w:r>
    </w:p>
    <w:p w14:paraId="7ACCCCE3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>
        <w:rPr>
          <w:szCs w:val="20"/>
        </w:rPr>
        <w:t>DER Aggregation ID</w:t>
      </w:r>
    </w:p>
    <w:p w14:paraId="1DDD19DA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Locational information</w:t>
      </w:r>
    </w:p>
    <w:p w14:paraId="46357D90" w14:textId="77777777" w:rsidR="00F504E0" w:rsidRDefault="00F504E0" w:rsidP="00E467F8">
      <w:pPr>
        <w:pStyle w:val="ListParagraph"/>
        <w:numPr>
          <w:ilvl w:val="0"/>
          <w:numId w:val="10"/>
        </w:numPr>
        <w:spacing w:before="120" w:after="120"/>
        <w:ind w:left="1440"/>
        <w:rPr>
          <w:szCs w:val="20"/>
        </w:rPr>
      </w:pPr>
      <w:r>
        <w:rPr>
          <w:szCs w:val="20"/>
        </w:rPr>
        <w:t>Geographic location</w:t>
      </w:r>
    </w:p>
    <w:p w14:paraId="0D1ECE17" w14:textId="77777777" w:rsidR="00F504E0" w:rsidRPr="00A14DC7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 xml:space="preserve">Longitude and latitude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offshore wind)</w:t>
      </w:r>
    </w:p>
    <w:p w14:paraId="71D4F47C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 xml:space="preserve">Street name and number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11B438BA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 xml:space="preserve">City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49F0FED4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State (required)</w:t>
      </w:r>
    </w:p>
    <w:p w14:paraId="3D6CDAE4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County</w:t>
      </w:r>
    </w:p>
    <w:p w14:paraId="1416286F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Country (required)</w:t>
      </w:r>
    </w:p>
    <w:p w14:paraId="3119E85E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Province (required)</w:t>
      </w:r>
    </w:p>
    <w:p w14:paraId="49F420E9" w14:textId="77777777" w:rsidR="00F504E0" w:rsidRDefault="00F504E0" w:rsidP="00E467F8">
      <w:pPr>
        <w:pStyle w:val="ListParagraph"/>
        <w:numPr>
          <w:ilvl w:val="1"/>
          <w:numId w:val="11"/>
        </w:numPr>
        <w:spacing w:before="120" w:after="120"/>
        <w:ind w:left="2520"/>
        <w:rPr>
          <w:szCs w:val="20"/>
        </w:rPr>
      </w:pPr>
      <w:r>
        <w:rPr>
          <w:szCs w:val="20"/>
        </w:rPr>
        <w:t>Apartment number</w:t>
      </w:r>
    </w:p>
    <w:p w14:paraId="359F5E6A" w14:textId="77777777" w:rsidR="00F504E0" w:rsidRDefault="00F504E0" w:rsidP="00E467F8">
      <w:pPr>
        <w:pStyle w:val="ListParagraph"/>
        <w:numPr>
          <w:ilvl w:val="0"/>
          <w:numId w:val="12"/>
        </w:numPr>
        <w:spacing w:before="120" w:after="120"/>
        <w:ind w:left="1440"/>
        <w:rPr>
          <w:szCs w:val="20"/>
        </w:rPr>
      </w:pPr>
      <w:r>
        <w:rPr>
          <w:szCs w:val="20"/>
        </w:rPr>
        <w:t>Zonal information (network)</w:t>
      </w:r>
    </w:p>
    <w:p w14:paraId="3DF5E532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Load zone</w:t>
      </w:r>
    </w:p>
    <w:p w14:paraId="1D667D18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Load aggregation point</w:t>
      </w:r>
    </w:p>
    <w:p w14:paraId="7FD9B198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Reserve zone</w:t>
      </w:r>
    </w:p>
    <w:p w14:paraId="5D7F170B" w14:textId="77777777" w:rsidR="00F504E0" w:rsidRDefault="00F504E0" w:rsidP="00E467F8">
      <w:pPr>
        <w:pStyle w:val="ListParagraph"/>
        <w:numPr>
          <w:ilvl w:val="1"/>
          <w:numId w:val="13"/>
        </w:numPr>
        <w:spacing w:before="120" w:after="120"/>
        <w:ind w:left="2520"/>
        <w:rPr>
          <w:szCs w:val="20"/>
        </w:rPr>
      </w:pPr>
      <w:r>
        <w:rPr>
          <w:szCs w:val="20"/>
        </w:rPr>
        <w:t>Capacity zone</w:t>
      </w:r>
    </w:p>
    <w:p w14:paraId="6FA3E087" w14:textId="77777777" w:rsidR="00F504E0" w:rsidRDefault="00F504E0" w:rsidP="00E467F8">
      <w:pPr>
        <w:pStyle w:val="ListParagraph"/>
        <w:numPr>
          <w:ilvl w:val="0"/>
          <w:numId w:val="14"/>
        </w:numPr>
        <w:spacing w:before="120" w:after="120"/>
        <w:ind w:left="1440"/>
        <w:rPr>
          <w:szCs w:val="20"/>
        </w:rPr>
      </w:pPr>
      <w:r>
        <w:rPr>
          <w:szCs w:val="20"/>
        </w:rPr>
        <w:t>Market nodal information (p-node) (may or may not be a single p-node)</w:t>
      </w:r>
    </w:p>
    <w:p w14:paraId="7CE98B95" w14:textId="77777777" w:rsidR="00F504E0" w:rsidRDefault="00F504E0" w:rsidP="00E467F8">
      <w:pPr>
        <w:pStyle w:val="ListParagraph"/>
        <w:numPr>
          <w:ilvl w:val="1"/>
          <w:numId w:val="15"/>
        </w:numPr>
        <w:spacing w:before="120" w:after="120"/>
        <w:ind w:left="2520"/>
        <w:rPr>
          <w:szCs w:val="20"/>
        </w:rPr>
      </w:pPr>
      <w:r>
        <w:rPr>
          <w:szCs w:val="20"/>
        </w:rPr>
        <w:t>Default distribution factors (for multi-nodal DER aggregations)</w:t>
      </w:r>
    </w:p>
    <w:p w14:paraId="269CCCBD" w14:textId="77777777" w:rsidR="00F504E0" w:rsidRDefault="00F504E0" w:rsidP="00E467F8">
      <w:pPr>
        <w:pStyle w:val="ListParagraph"/>
        <w:numPr>
          <w:ilvl w:val="0"/>
          <w:numId w:val="16"/>
        </w:numPr>
        <w:spacing w:before="120" w:after="120"/>
        <w:ind w:left="1440"/>
        <w:rPr>
          <w:szCs w:val="20"/>
        </w:rPr>
      </w:pPr>
      <w:r>
        <w:rPr>
          <w:szCs w:val="20"/>
        </w:rPr>
        <w:t>Electrical nodal information (e-node aka service points (RTO/ISO point of interconnection)</w:t>
      </w:r>
    </w:p>
    <w:p w14:paraId="68674101" w14:textId="77777777" w:rsidR="00F504E0" w:rsidRDefault="00F504E0" w:rsidP="00E467F8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Distribution Utility </w:t>
      </w:r>
    </w:p>
    <w:p w14:paraId="5C35B51A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Energy Authority (relevant electric retail regulatory authority)</w:t>
      </w:r>
    </w:p>
    <w:p w14:paraId="13719C50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Load Serving Entity</w:t>
      </w:r>
    </w:p>
    <w:p w14:paraId="088651D4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Market Participant/Aggregator Name</w:t>
      </w:r>
    </w:p>
    <w:p w14:paraId="23FDDE4D" w14:textId="77777777" w:rsidR="00F504E0" w:rsidRDefault="00F504E0" w:rsidP="00031462">
      <w:pPr>
        <w:pStyle w:val="ListParagraph"/>
        <w:numPr>
          <w:ilvl w:val="0"/>
          <w:numId w:val="5"/>
        </w:numPr>
        <w:spacing w:before="120" w:after="120"/>
        <w:ind w:left="720"/>
        <w:rPr>
          <w:szCs w:val="20"/>
        </w:rPr>
      </w:pPr>
      <w:r>
        <w:rPr>
          <w:szCs w:val="20"/>
        </w:rPr>
        <w:t>Metering agent</w:t>
      </w:r>
    </w:p>
    <w:p w14:paraId="5D45F0DC" w14:textId="77777777" w:rsidR="00F504E0" w:rsidRDefault="00F504E0" w:rsidP="00031462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Balancing Area </w:t>
      </w:r>
    </w:p>
    <w:p w14:paraId="5F360D4C" w14:textId="77777777" w:rsidR="00F504E0" w:rsidRDefault="00F504E0" w:rsidP="00E467F8">
      <w:pPr>
        <w:pStyle w:val="ListParagraph"/>
        <w:numPr>
          <w:ilvl w:val="0"/>
          <w:numId w:val="17"/>
        </w:numPr>
        <w:spacing w:before="120" w:after="120"/>
        <w:ind w:left="1440"/>
        <w:rPr>
          <w:szCs w:val="20"/>
        </w:rPr>
      </w:pPr>
      <w:r>
        <w:rPr>
          <w:szCs w:val="20"/>
        </w:rPr>
        <w:t>Pseudo-ties/dynamic schedules</w:t>
      </w:r>
    </w:p>
    <w:p w14:paraId="37A91399" w14:textId="77777777" w:rsidR="00F504E0" w:rsidRDefault="00F504E0" w:rsidP="00031462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Service location (maybe point of interconnection?)</w:t>
      </w:r>
    </w:p>
    <w:p w14:paraId="6C619924" w14:textId="77777777" w:rsidR="00F504E0" w:rsidRDefault="00F504E0" w:rsidP="00E467F8">
      <w:pPr>
        <w:pStyle w:val="ListParagraph"/>
        <w:numPr>
          <w:ilvl w:val="0"/>
          <w:numId w:val="18"/>
        </w:numPr>
        <w:spacing w:before="120" w:after="120"/>
        <w:ind w:firstLine="0"/>
        <w:rPr>
          <w:szCs w:val="20"/>
        </w:rPr>
      </w:pPr>
      <w:r>
        <w:rPr>
          <w:szCs w:val="20"/>
        </w:rPr>
        <w:t>Customer account</w:t>
      </w:r>
    </w:p>
    <w:p w14:paraId="773CDBA2" w14:textId="77777777" w:rsidR="00F504E0" w:rsidRDefault="00F504E0" w:rsidP="00E467F8">
      <w:pPr>
        <w:pStyle w:val="ListParagraph"/>
        <w:numPr>
          <w:ilvl w:val="0"/>
          <w:numId w:val="18"/>
        </w:numPr>
        <w:spacing w:before="120" w:after="120"/>
        <w:ind w:firstLine="0"/>
        <w:rPr>
          <w:szCs w:val="20"/>
        </w:rPr>
      </w:pPr>
      <w:r>
        <w:rPr>
          <w:szCs w:val="20"/>
        </w:rPr>
        <w:t>Service delivery point</w:t>
      </w:r>
    </w:p>
    <w:p w14:paraId="74C2C2DF" w14:textId="256F81D3" w:rsidR="00F504E0" w:rsidRDefault="00F504E0" w:rsidP="00031462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Attestation/certificates </w:t>
      </w:r>
    </w:p>
    <w:p w14:paraId="6EBAC9F0" w14:textId="1992D018" w:rsidR="00F504E0" w:rsidRDefault="001049E1" w:rsidP="00E467F8">
      <w:pPr>
        <w:pStyle w:val="ListParagraph"/>
        <w:numPr>
          <w:ilvl w:val="0"/>
          <w:numId w:val="19"/>
        </w:numPr>
        <w:spacing w:before="120" w:after="120"/>
        <w:ind w:firstLine="0"/>
        <w:rPr>
          <w:szCs w:val="20"/>
        </w:rPr>
      </w:pPr>
      <w:r>
        <w:rPr>
          <w:szCs w:val="20"/>
        </w:rPr>
        <w:t>DER aggregation would not result in double counting (yes/no)</w:t>
      </w:r>
    </w:p>
    <w:p w14:paraId="0EE1EFCE" w14:textId="2D0E2AD6" w:rsidR="00F504E0" w:rsidRDefault="00F504E0" w:rsidP="00E467F8">
      <w:pPr>
        <w:pStyle w:val="ListParagraph"/>
        <w:numPr>
          <w:ilvl w:val="0"/>
          <w:numId w:val="19"/>
        </w:numPr>
        <w:spacing w:before="120" w:after="120"/>
        <w:ind w:firstLine="0"/>
        <w:rPr>
          <w:szCs w:val="20"/>
        </w:rPr>
      </w:pPr>
      <w:r>
        <w:rPr>
          <w:szCs w:val="20"/>
        </w:rPr>
        <w:t xml:space="preserve">Distribution utility/load serving entity </w:t>
      </w:r>
      <w:r w:rsidR="001049E1">
        <w:rPr>
          <w:szCs w:val="20"/>
        </w:rPr>
        <w:t xml:space="preserve">reliability </w:t>
      </w:r>
      <w:r>
        <w:rPr>
          <w:szCs w:val="20"/>
        </w:rPr>
        <w:t>attestation</w:t>
      </w:r>
      <w:r w:rsidR="001049E1">
        <w:rPr>
          <w:szCs w:val="20"/>
        </w:rPr>
        <w:t xml:space="preserve"> </w:t>
      </w:r>
      <w:r w:rsidR="0060305F">
        <w:rPr>
          <w:szCs w:val="20"/>
        </w:rPr>
        <w:t>(yes/no)</w:t>
      </w:r>
    </w:p>
    <w:p w14:paraId="0CB96FCE" w14:textId="110ACBB6" w:rsidR="00F504E0" w:rsidRDefault="00F504E0" w:rsidP="00E467F8">
      <w:pPr>
        <w:pStyle w:val="ListParagraph"/>
        <w:numPr>
          <w:ilvl w:val="0"/>
          <w:numId w:val="19"/>
        </w:numPr>
        <w:spacing w:before="120" w:after="120"/>
        <w:ind w:firstLine="0"/>
        <w:rPr>
          <w:szCs w:val="20"/>
        </w:rPr>
      </w:pPr>
      <w:r>
        <w:rPr>
          <w:szCs w:val="20"/>
        </w:rPr>
        <w:t>Relevant electric retail regulatory authority</w:t>
      </w:r>
      <w:r w:rsidR="0060305F">
        <w:rPr>
          <w:szCs w:val="20"/>
        </w:rPr>
        <w:t xml:space="preserve"> allows (yes/no)</w:t>
      </w:r>
    </w:p>
    <w:p w14:paraId="2BF91884" w14:textId="44680A39" w:rsidR="00031462" w:rsidRDefault="00901CEE" w:rsidP="00AB1CB5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Operational contact</w:t>
      </w:r>
    </w:p>
    <w:p w14:paraId="665D0532" w14:textId="13B7278A" w:rsidR="00901CEE" w:rsidRDefault="00901CEE" w:rsidP="00AB1CB5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Planning contact</w:t>
      </w:r>
    </w:p>
    <w:p w14:paraId="4102EDA1" w14:textId="49A0D937" w:rsidR="00F504E0" w:rsidRPr="00AB1CB5" w:rsidRDefault="00901CEE" w:rsidP="00AB1CB5">
      <w:pPr>
        <w:pStyle w:val="ListParagraph"/>
        <w:numPr>
          <w:ilvl w:val="0"/>
          <w:numId w:val="3"/>
        </w:numPr>
        <w:spacing w:before="120" w:after="120"/>
        <w:ind w:left="720"/>
        <w:rPr>
          <w:szCs w:val="20"/>
        </w:rPr>
      </w:pPr>
      <w:r>
        <w:rPr>
          <w:szCs w:val="20"/>
        </w:rPr>
        <w:t>Ownership of the resource (jointly owned or not)</w:t>
      </w:r>
    </w:p>
    <w:p w14:paraId="28631162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Operational characteristics of </w:t>
      </w:r>
      <w:r>
        <w:rPr>
          <w:szCs w:val="20"/>
        </w:rPr>
        <w:t>the</w:t>
      </w:r>
      <w:r w:rsidRPr="00BA652B">
        <w:rPr>
          <w:szCs w:val="20"/>
        </w:rPr>
        <w:t xml:space="preserve"> aggregation</w:t>
      </w:r>
    </w:p>
    <w:p w14:paraId="7B9E928C" w14:textId="77777777" w:rsidR="00F504E0" w:rsidRP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Nameplate capacity in megawatts </w:t>
      </w:r>
    </w:p>
    <w:p w14:paraId="0D68FCA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Ramp rate</w:t>
      </w:r>
    </w:p>
    <w:p w14:paraId="0FB2170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Response time </w:t>
      </w:r>
    </w:p>
    <w:p w14:paraId="3E2AE28E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Maximum run time</w:t>
      </w:r>
    </w:p>
    <w:p w14:paraId="0E42281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Minimum run time</w:t>
      </w:r>
    </w:p>
    <w:p w14:paraId="1B08F7A3" w14:textId="48588FC2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lastRenderedPageBreak/>
        <w:t>DER aggregation type (homogeneous or heterogeneous)</w:t>
      </w:r>
    </w:p>
    <w:p w14:paraId="088FDB7F" w14:textId="79D7FD25" w:rsidR="00B94934" w:rsidRDefault="00B94934" w:rsidP="00F710DD">
      <w:pPr>
        <w:pStyle w:val="ListParagraph"/>
        <w:numPr>
          <w:ilvl w:val="2"/>
          <w:numId w:val="1"/>
        </w:numPr>
        <w:spacing w:before="120" w:after="120"/>
        <w:ind w:left="2520"/>
        <w:rPr>
          <w:szCs w:val="20"/>
        </w:rPr>
      </w:pPr>
      <w:r>
        <w:rPr>
          <w:szCs w:val="20"/>
        </w:rPr>
        <w:t>Heterogeneous type, including DER type comprising the aggregation</w:t>
      </w:r>
    </w:p>
    <w:p w14:paraId="6E176C40" w14:textId="0FB29477" w:rsidR="00371990" w:rsidRDefault="00371990" w:rsidP="00F710DD">
      <w:pPr>
        <w:pStyle w:val="ListParagraph"/>
        <w:numPr>
          <w:ilvl w:val="2"/>
          <w:numId w:val="1"/>
        </w:numPr>
        <w:spacing w:before="120" w:after="120"/>
        <w:ind w:left="2520"/>
        <w:rPr>
          <w:szCs w:val="20"/>
        </w:rPr>
      </w:pPr>
      <w:r>
        <w:rPr>
          <w:szCs w:val="20"/>
        </w:rPr>
        <w:t>Number of DERs in the aggregation</w:t>
      </w:r>
    </w:p>
    <w:p w14:paraId="4923C349" w14:textId="6B999379" w:rsidR="00CA014C" w:rsidRDefault="00CA014C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DER aggregation profile </w:t>
      </w:r>
      <w:r w:rsidR="0051084D">
        <w:rPr>
          <w:szCs w:val="20"/>
        </w:rPr>
        <w:t>(historical or expected DER aggregation output with active and reactive power profiles)</w:t>
      </w:r>
    </w:p>
    <w:p w14:paraId="4210F6AA" w14:textId="3BFBE242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Dispatchable energy resource (yes/no)</w:t>
      </w:r>
    </w:p>
    <w:p w14:paraId="1FD3B86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Ability to reverse direction (supply vs. demand switching)</w:t>
      </w:r>
    </w:p>
    <w:p w14:paraId="1856A07D" w14:textId="1B9A890E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Voltage control (yes/no; volt-r) </w:t>
      </w:r>
    </w:p>
    <w:p w14:paraId="4E57970D" w14:textId="3D8E6A8D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Frequency control </w:t>
      </w:r>
    </w:p>
    <w:p w14:paraId="114ABE0B" w14:textId="129647BE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Inertial control </w:t>
      </w:r>
    </w:p>
    <w:p w14:paraId="7B696A2F" w14:textId="31D34F4F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Feeder voltage </w:t>
      </w:r>
    </w:p>
    <w:p w14:paraId="14EDA970" w14:textId="193F2093" w:rsidR="00901CEE" w:rsidRDefault="00901CEE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Feeder </w:t>
      </w:r>
      <w:r w:rsidR="00C67D8F">
        <w:rPr>
          <w:szCs w:val="20"/>
        </w:rPr>
        <w:t xml:space="preserve">impedance – distribution system equivalent feeder impedance  </w:t>
      </w:r>
    </w:p>
    <w:p w14:paraId="161B8423" w14:textId="12888BCC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Reactive support </w:t>
      </w:r>
    </w:p>
    <w:p w14:paraId="38A8FE5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Total energy capacity/maximum state of charge (megawatt hours or kilowatt hours)</w:t>
      </w:r>
    </w:p>
    <w:p w14:paraId="11AFE3DA" w14:textId="12C8A385" w:rsidR="00F504E0" w:rsidRPr="0074471E" w:rsidRDefault="00F504E0" w:rsidP="0074471E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Market product eligibility (capacity, energy, regulation, etc.)</w:t>
      </w:r>
    </w:p>
    <w:p w14:paraId="23C4D8AC" w14:textId="2C8B4CF6" w:rsidR="00F504E0" w:rsidRPr="00C61114" w:rsidRDefault="006D6628" w:rsidP="00F710DD">
      <w:pPr>
        <w:spacing w:before="120" w:after="120"/>
        <w:rPr>
          <w:szCs w:val="20"/>
        </w:rPr>
      </w:pPr>
      <w:r>
        <w:rPr>
          <w:szCs w:val="20"/>
        </w:rPr>
        <w:t>These data elements were identified by the WEQ BPS, and the subcommittee seeks input from the industry on the applicability of these data elements.</w:t>
      </w:r>
    </w:p>
    <w:p w14:paraId="51B8F3FC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Telemetry infrastructure to communicate operational characteristics </w:t>
      </w:r>
    </w:p>
    <w:p w14:paraId="3F74D88C" w14:textId="638CD319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Metering infrastructure </w:t>
      </w:r>
    </w:p>
    <w:p w14:paraId="00A45013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Efficiency rating</w:t>
      </w:r>
    </w:p>
    <w:p w14:paraId="3AA09AE1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Battery technology</w:t>
      </w:r>
    </w:p>
    <w:p w14:paraId="3E628980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Battery performance over time</w:t>
      </w:r>
    </w:p>
    <w:p w14:paraId="6541B7AF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Solar panel performance over time</w:t>
      </w:r>
    </w:p>
    <w:p w14:paraId="253099A8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Manufacturer of DER</w:t>
      </w:r>
    </w:p>
    <w:p w14:paraId="548376C8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Types of communication protocols supported</w:t>
      </w:r>
    </w:p>
    <w:p w14:paraId="5270ABB3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Operating status</w:t>
      </w:r>
    </w:p>
    <w:p w14:paraId="4777D216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Known/planned outages or maintenance </w:t>
      </w:r>
    </w:p>
    <w:p w14:paraId="5AC36A96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Duration of outage or maintenance </w:t>
      </w:r>
    </w:p>
    <w:p w14:paraId="15DCD91B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Start/end time of outage or maintenance </w:t>
      </w:r>
    </w:p>
    <w:p w14:paraId="5481A7C4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Mobility flag</w:t>
      </w:r>
    </w:p>
    <w:p w14:paraId="0D0DE492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Single phase/three-phase fault indicators </w:t>
      </w:r>
    </w:p>
    <w:p w14:paraId="69066AC3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Loss of line faults (transformer configuration)</w:t>
      </w:r>
    </w:p>
    <w:p w14:paraId="363A9DBF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Weatherization applications</w:t>
      </w:r>
    </w:p>
    <w:p w14:paraId="01C2793D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Designated dispatch entity </w:t>
      </w:r>
    </w:p>
    <w:p w14:paraId="6BF5FB89" w14:textId="77777777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>Nominal amperage/voltage</w:t>
      </w:r>
    </w:p>
    <w:p w14:paraId="0ED37A25" w14:textId="1AF55BF3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Heat rate </w:t>
      </w:r>
    </w:p>
    <w:p w14:paraId="62019C3B" w14:textId="51D52ACE" w:rsidR="00F504E0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>
        <w:rPr>
          <w:szCs w:val="20"/>
        </w:rPr>
        <w:t xml:space="preserve">Transient ability limits </w:t>
      </w:r>
    </w:p>
    <w:p w14:paraId="03AAC227" w14:textId="1F9DB0BB" w:rsidR="004C3002" w:rsidRPr="00F710DD" w:rsidRDefault="00F504E0" w:rsidP="00F710DD">
      <w:pPr>
        <w:pStyle w:val="ListParagraph"/>
        <w:numPr>
          <w:ilvl w:val="1"/>
          <w:numId w:val="20"/>
        </w:numPr>
        <w:spacing w:before="120" w:after="120"/>
        <w:ind w:left="720"/>
        <w:rPr>
          <w:szCs w:val="20"/>
        </w:rPr>
      </w:pPr>
      <w:r w:rsidRPr="001456BA">
        <w:rPr>
          <w:szCs w:val="20"/>
        </w:rPr>
        <w:t>Number of resources in the aggregation</w:t>
      </w:r>
    </w:p>
    <w:p w14:paraId="48A93445" w14:textId="41E62468" w:rsidR="00F504E0" w:rsidRPr="00F504E0" w:rsidRDefault="0074471E" w:rsidP="00F504E0">
      <w:pPr>
        <w:pStyle w:val="ListBullet"/>
        <w:numPr>
          <w:ilvl w:val="0"/>
          <w:numId w:val="0"/>
        </w:numPr>
        <w:spacing w:before="120" w:after="1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</w:t>
      </w:r>
      <w:r w:rsidR="00F504E0" w:rsidRPr="00F504E0">
        <w:rPr>
          <w:rFonts w:ascii="Times New Roman" w:hAnsi="Times New Roman"/>
          <w:sz w:val="20"/>
          <w:szCs w:val="20"/>
          <w:u w:val="single"/>
        </w:rPr>
        <w:t xml:space="preserve"> Registration for the individual resource from the ISO/RTO perspective </w:t>
      </w:r>
    </w:p>
    <w:p w14:paraId="1E472970" w14:textId="77777777" w:rsidR="00F504E0" w:rsidRPr="0046450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>
        <w:rPr>
          <w:szCs w:val="20"/>
        </w:rPr>
        <w:t>DER ID</w:t>
      </w:r>
    </w:p>
    <w:p w14:paraId="2B0D7685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Locational information</w:t>
      </w:r>
    </w:p>
    <w:p w14:paraId="3E889512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Geographic location</w:t>
      </w:r>
    </w:p>
    <w:p w14:paraId="18CBBBB1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Longitude and latitude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offshore wind)</w:t>
      </w:r>
    </w:p>
    <w:p w14:paraId="5AEC3B35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Street name and number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33A84C27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City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5A7E3D39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State (required)</w:t>
      </w:r>
    </w:p>
    <w:p w14:paraId="37FF915E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County</w:t>
      </w:r>
    </w:p>
    <w:p w14:paraId="62789EEF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Country (required)</w:t>
      </w:r>
    </w:p>
    <w:p w14:paraId="48762438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Province (required)</w:t>
      </w:r>
    </w:p>
    <w:p w14:paraId="775859AC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Apartment number</w:t>
      </w:r>
    </w:p>
    <w:p w14:paraId="137519D1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Zonal information</w:t>
      </w:r>
    </w:p>
    <w:p w14:paraId="0E6C23FF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Load zone</w:t>
      </w:r>
    </w:p>
    <w:p w14:paraId="65ADA289" w14:textId="77777777" w:rsidR="00F504E0" w:rsidRPr="00F71C7C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 w:rsidRPr="00F71C7C">
        <w:rPr>
          <w:szCs w:val="20"/>
        </w:rPr>
        <w:lastRenderedPageBreak/>
        <w:t>Reserve zone</w:t>
      </w:r>
    </w:p>
    <w:p w14:paraId="514144C0" w14:textId="77777777" w:rsidR="00F504E0" w:rsidRPr="00F71C7C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 w:rsidRPr="00F71C7C">
        <w:rPr>
          <w:szCs w:val="20"/>
        </w:rPr>
        <w:t>Capacity zone</w:t>
      </w:r>
    </w:p>
    <w:p w14:paraId="4FF75191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Market nodal information (p-node)</w:t>
      </w:r>
    </w:p>
    <w:p w14:paraId="5E00FD05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Electrical nodal information (e-node aka service points)</w:t>
      </w:r>
    </w:p>
    <w:p w14:paraId="66F77E62" w14:textId="77777777" w:rsidR="00F504E0" w:rsidRPr="001F04E9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Meter information</w:t>
      </w:r>
    </w:p>
    <w:p w14:paraId="3FB86013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Substation</w:t>
      </w:r>
    </w:p>
    <w:p w14:paraId="1F4A9704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Feeder/circuit</w:t>
      </w:r>
    </w:p>
    <w:p w14:paraId="0B902D54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Phase information</w:t>
      </w:r>
    </w:p>
    <w:p w14:paraId="35279DD3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further details needed from SME</w:t>
      </w:r>
    </w:p>
    <w:p w14:paraId="4BDE64DE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 xml:space="preserve">Distribution Utility </w:t>
      </w:r>
    </w:p>
    <w:p w14:paraId="2DD081D9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>Energy Authority (relevant retail electric regulatory authority)</w:t>
      </w:r>
    </w:p>
    <w:p w14:paraId="33123C92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>Load Serving Entity</w:t>
      </w:r>
    </w:p>
    <w:p w14:paraId="5DAA859A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 xml:space="preserve">Balancing Area </w:t>
      </w:r>
    </w:p>
    <w:p w14:paraId="71D4599B" w14:textId="77777777" w:rsidR="00F504E0" w:rsidRDefault="00F504E0" w:rsidP="0047688F">
      <w:pPr>
        <w:pStyle w:val="ListParagraph"/>
        <w:numPr>
          <w:ilvl w:val="0"/>
          <w:numId w:val="7"/>
        </w:numPr>
        <w:spacing w:before="120" w:after="120"/>
        <w:rPr>
          <w:szCs w:val="20"/>
        </w:rPr>
      </w:pPr>
      <w:r>
        <w:rPr>
          <w:szCs w:val="20"/>
        </w:rPr>
        <w:t>Service location</w:t>
      </w:r>
    </w:p>
    <w:p w14:paraId="7A7E8864" w14:textId="77777777" w:rsidR="00F504E0" w:rsidRDefault="00F504E0" w:rsidP="0047688F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Customer account</w:t>
      </w:r>
    </w:p>
    <w:p w14:paraId="6343528C" w14:textId="77777777" w:rsidR="00F504E0" w:rsidRDefault="00F504E0" w:rsidP="0047688F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Service delivery point</w:t>
      </w:r>
    </w:p>
    <w:p w14:paraId="28C2A631" w14:textId="3AFBD176" w:rsidR="00F504E0" w:rsidRDefault="00F504E0" w:rsidP="0047688F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Retail rate (net metering, dynamic pricing, etc.)</w:t>
      </w:r>
    </w:p>
    <w:p w14:paraId="699F8271" w14:textId="6F6F3B03" w:rsidR="0047688F" w:rsidRDefault="0047688F" w:rsidP="0047688F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Ownership of the resource (jointly owned or not)</w:t>
      </w:r>
    </w:p>
    <w:p w14:paraId="1937E5F7" w14:textId="1DC89AB0" w:rsidR="00A16379" w:rsidRDefault="00A16379" w:rsidP="0047688F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Operational contact</w:t>
      </w:r>
    </w:p>
    <w:p w14:paraId="33E31C1E" w14:textId="200C5D79" w:rsidR="00A16379" w:rsidRDefault="00A16379" w:rsidP="0047688F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Planning contact</w:t>
      </w:r>
    </w:p>
    <w:p w14:paraId="4E6E7DC4" w14:textId="149E5B92" w:rsidR="00F504E0" w:rsidRPr="00F710DD" w:rsidRDefault="008E5C82" w:rsidP="00F710DD">
      <w:pPr>
        <w:pStyle w:val="ListParagraph"/>
        <w:numPr>
          <w:ilvl w:val="0"/>
          <w:numId w:val="4"/>
        </w:numPr>
        <w:spacing w:before="120" w:after="120"/>
        <w:rPr>
          <w:szCs w:val="20"/>
        </w:rPr>
      </w:pPr>
      <w:r>
        <w:rPr>
          <w:szCs w:val="20"/>
        </w:rPr>
        <w:t>Asset owner contact</w:t>
      </w:r>
    </w:p>
    <w:p w14:paraId="65049ED0" w14:textId="6D5E3323" w:rsidR="007E456E" w:rsidRPr="007E456E" w:rsidRDefault="00F504E0" w:rsidP="007E456E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Operational characteristics of resources comprising aggregation</w:t>
      </w:r>
    </w:p>
    <w:p w14:paraId="7D4D7E48" w14:textId="1A94D6F6" w:rsidR="007E456E" w:rsidRDefault="007E456E" w:rsidP="007E456E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DER type</w:t>
      </w:r>
    </w:p>
    <w:p w14:paraId="5B074853" w14:textId="4F76BC86" w:rsidR="00927397" w:rsidRPr="00927397" w:rsidRDefault="00927397" w:rsidP="00927397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Dispatchable energy resource (yes/no)</w:t>
      </w:r>
    </w:p>
    <w:p w14:paraId="294E8160" w14:textId="192B3AD2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Nameplate capacity of a DER (in megawatts or kilowatts)</w:t>
      </w:r>
    </w:p>
    <w:p w14:paraId="698A8FA0" w14:textId="03EDBB8C" w:rsidR="00927397" w:rsidRPr="00927397" w:rsidRDefault="00927397" w:rsidP="00927397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resource</w:t>
      </w:r>
    </w:p>
    <w:p w14:paraId="183FD5CE" w14:textId="77777777" w:rsidR="00927397" w:rsidRDefault="00927397" w:rsidP="00927397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technology</w:t>
      </w:r>
    </w:p>
    <w:p w14:paraId="18588DAD" w14:textId="51A83B58" w:rsidR="00927397" w:rsidRDefault="00927397" w:rsidP="00274495">
      <w:pPr>
        <w:pStyle w:val="ListParagraph"/>
        <w:numPr>
          <w:ilvl w:val="2"/>
          <w:numId w:val="1"/>
        </w:numPr>
        <w:spacing w:before="120"/>
        <w:rPr>
          <w:szCs w:val="20"/>
        </w:rPr>
      </w:pPr>
      <w:r>
        <w:rPr>
          <w:szCs w:val="20"/>
        </w:rPr>
        <w:t>Battery performance over time</w:t>
      </w:r>
    </w:p>
    <w:p w14:paraId="79C1BF51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Available Energy and Available Storage (in MWh)</w:t>
      </w:r>
    </w:p>
    <w:p w14:paraId="18D57CBE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State of Charge</w:t>
      </w:r>
    </w:p>
    <w:p w14:paraId="511F314E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State of Charge</w:t>
      </w:r>
    </w:p>
    <w:p w14:paraId="34B36497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State of Charge</w:t>
      </w:r>
    </w:p>
    <w:p w14:paraId="6126B3DE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Charge Limit</w:t>
      </w:r>
    </w:p>
    <w:p w14:paraId="24CF42A3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Discharge Limit</w:t>
      </w:r>
    </w:p>
    <w:p w14:paraId="3E3C2BC6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Charge Rate</w:t>
      </w:r>
    </w:p>
    <w:p w14:paraId="25682C7D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Discharge Rate</w:t>
      </w:r>
    </w:p>
    <w:p w14:paraId="287F7DEB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Charge Time</w:t>
      </w:r>
    </w:p>
    <w:p w14:paraId="3E0E774A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Charge Time</w:t>
      </w:r>
    </w:p>
    <w:p w14:paraId="4C032055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Run Time</w:t>
      </w:r>
    </w:p>
    <w:p w14:paraId="2EFC3D8A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Maximum Run Time</w:t>
      </w:r>
    </w:p>
    <w:p w14:paraId="1DD196C0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Discharge Ramp Rate</w:t>
      </w:r>
    </w:p>
    <w:p w14:paraId="0C90FF65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Charge Ramp Rate</w:t>
      </w:r>
    </w:p>
    <w:p w14:paraId="31A28FA6" w14:textId="77777777" w:rsidR="00AC237A" w:rsidRPr="00274495" w:rsidRDefault="00AC237A" w:rsidP="00274495">
      <w:pPr>
        <w:pStyle w:val="ListBullet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Discharge Limit</w:t>
      </w:r>
    </w:p>
    <w:p w14:paraId="3DF97510" w14:textId="430AD262" w:rsidR="00AC237A" w:rsidRPr="00274DB3" w:rsidRDefault="00AC237A" w:rsidP="00274DB3">
      <w:pPr>
        <w:pStyle w:val="ListBullet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274495">
        <w:rPr>
          <w:rFonts w:ascii="Times New Roman" w:hAnsi="Times New Roman"/>
          <w:sz w:val="20"/>
          <w:szCs w:val="20"/>
        </w:rPr>
        <w:t>Minimum Charge Limit</w:t>
      </w:r>
    </w:p>
    <w:p w14:paraId="44B70A36" w14:textId="7C9CDC2B" w:rsidR="00927397" w:rsidRDefault="004E5E0F" w:rsidP="00274DB3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Solar resource</w:t>
      </w:r>
    </w:p>
    <w:p w14:paraId="28B76697" w14:textId="5A809CAC" w:rsidR="004E5E0F" w:rsidRDefault="00EA0AF8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Performance</w:t>
      </w:r>
      <w:r w:rsidR="004E5E0F">
        <w:rPr>
          <w:szCs w:val="20"/>
        </w:rPr>
        <w:t xml:space="preserve"> over time</w:t>
      </w:r>
    </w:p>
    <w:p w14:paraId="13076248" w14:textId="2AE6E64B" w:rsidR="00D22D0C" w:rsidRDefault="00D22D0C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Number/capacity of PV cells</w:t>
      </w:r>
    </w:p>
    <w:p w14:paraId="771DA1B6" w14:textId="5A9A8B7A" w:rsidR="00D22D0C" w:rsidRDefault="00D22D0C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proofErr w:type="spellStart"/>
      <w:r>
        <w:rPr>
          <w:szCs w:val="20"/>
        </w:rPr>
        <w:t>Autotracking</w:t>
      </w:r>
      <w:proofErr w:type="spellEnd"/>
      <w:r>
        <w:rPr>
          <w:szCs w:val="20"/>
        </w:rPr>
        <w:t xml:space="preserve"> capability</w:t>
      </w:r>
    </w:p>
    <w:p w14:paraId="75E5AE58" w14:textId="6B342150" w:rsidR="00D22D0C" w:rsidRDefault="00D22D0C" w:rsidP="004E5E0F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Obstructions</w:t>
      </w:r>
    </w:p>
    <w:p w14:paraId="49EEE67C" w14:textId="250494EA" w:rsidR="00D22D0C" w:rsidRDefault="00D22D0C" w:rsidP="00D22D0C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Wind resource</w:t>
      </w:r>
    </w:p>
    <w:p w14:paraId="3BD1ACE6" w14:textId="6B287136" w:rsidR="00D22D0C" w:rsidRPr="004E5E0F" w:rsidRDefault="00D22D0C" w:rsidP="00D22D0C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Number/capacity of turbines</w:t>
      </w:r>
    </w:p>
    <w:p w14:paraId="325B45CD" w14:textId="2F1FA681" w:rsidR="00025F63" w:rsidRDefault="00025F63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Demand reduction resource</w:t>
      </w:r>
    </w:p>
    <w:p w14:paraId="6C435E47" w14:textId="708172AA" w:rsidR="00025F63" w:rsidRDefault="00025F63" w:rsidP="00025F63">
      <w:pPr>
        <w:pStyle w:val="ListParagraph"/>
        <w:numPr>
          <w:ilvl w:val="2"/>
          <w:numId w:val="1"/>
        </w:numPr>
        <w:spacing w:before="120" w:after="120"/>
        <w:rPr>
          <w:szCs w:val="20"/>
        </w:rPr>
      </w:pPr>
      <w:r>
        <w:rPr>
          <w:szCs w:val="20"/>
        </w:rPr>
        <w:t>Demand reduction capability</w:t>
      </w:r>
    </w:p>
    <w:p w14:paraId="582CF99E" w14:textId="29440AB3" w:rsidR="00F504E0" w:rsidRPr="00BE764B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BE764B">
        <w:rPr>
          <w:szCs w:val="20"/>
        </w:rPr>
        <w:t>Known operational constraints (</w:t>
      </w:r>
      <w:proofErr w:type="gramStart"/>
      <w:r w:rsidRPr="00BE764B">
        <w:rPr>
          <w:szCs w:val="20"/>
        </w:rPr>
        <w:t>i.e.</w:t>
      </w:r>
      <w:proofErr w:type="gramEnd"/>
      <w:r w:rsidRPr="00BE764B">
        <w:rPr>
          <w:szCs w:val="20"/>
        </w:rPr>
        <w:t xml:space="preserve"> analogue to permitting restrictions, environmental restrictions, contractual limit on when individual DER in aggregation can be dispatched)</w:t>
      </w:r>
    </w:p>
    <w:p w14:paraId="50710FDE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lastRenderedPageBreak/>
        <w:t>Time delay to initiate response (start time)</w:t>
      </w:r>
    </w:p>
    <w:p w14:paraId="27570120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Ability to reverse direction (supply vs. demand switching)</w:t>
      </w:r>
    </w:p>
    <w:p w14:paraId="4FD2E5EA" w14:textId="0B2AD3EE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Voltage control (yes/no; volt-r) </w:t>
      </w:r>
    </w:p>
    <w:p w14:paraId="68CB322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Ride through capability (yes/no)</w:t>
      </w:r>
    </w:p>
    <w:p w14:paraId="5650BEF7" w14:textId="051102EB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Frequency control </w:t>
      </w:r>
    </w:p>
    <w:p w14:paraId="72BAE2AB" w14:textId="78A9A059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Inertial control </w:t>
      </w:r>
    </w:p>
    <w:p w14:paraId="0696AB44" w14:textId="1123EF54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Feeder voltage </w:t>
      </w:r>
    </w:p>
    <w:p w14:paraId="5D350DF8" w14:textId="2AA114FA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Reactive support </w:t>
      </w:r>
    </w:p>
    <w:p w14:paraId="5765BAC2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>Sensitivity to ambient weather conditions</w:t>
      </w:r>
    </w:p>
    <w:p w14:paraId="74BA923E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Relevant weather station id </w:t>
      </w:r>
    </w:p>
    <w:p w14:paraId="348958B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Total energy capacity/maximum state of charge (megawatt hours or kilowatt hours)</w:t>
      </w:r>
    </w:p>
    <w:p w14:paraId="141C8E6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Telemetry infrastructure to communicate operational characteristics </w:t>
      </w:r>
    </w:p>
    <w:p w14:paraId="268F511F" w14:textId="00AE7BCA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Metering infrastructure </w:t>
      </w:r>
    </w:p>
    <w:p w14:paraId="6327CDF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Efficiency rating</w:t>
      </w:r>
    </w:p>
    <w:p w14:paraId="3B985397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Manufacturer of DER</w:t>
      </w:r>
    </w:p>
    <w:p w14:paraId="5DCB90AF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Types of communication protocols supported</w:t>
      </w:r>
    </w:p>
    <w:p w14:paraId="657A78B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Applicable operating status conditions</w:t>
      </w:r>
    </w:p>
    <w:p w14:paraId="2675067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Mobility flag</w:t>
      </w:r>
    </w:p>
    <w:p w14:paraId="7285560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Single phase/three-phase fault indicators </w:t>
      </w:r>
    </w:p>
    <w:p w14:paraId="0042F64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Loss of line faults (transformer configuration)</w:t>
      </w:r>
    </w:p>
    <w:p w14:paraId="23EE0B0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Weatherization applications</w:t>
      </w:r>
    </w:p>
    <w:p w14:paraId="2EA417D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Nominal amperage/voltage</w:t>
      </w:r>
    </w:p>
    <w:p w14:paraId="59BB4586" w14:textId="1AC4A73E" w:rsidR="006C21A0" w:rsidRPr="006C21A0" w:rsidRDefault="006C21A0" w:rsidP="006C21A0">
      <w:pPr>
        <w:spacing w:before="120" w:after="120"/>
        <w:rPr>
          <w:szCs w:val="20"/>
        </w:rPr>
      </w:pPr>
      <w:r w:rsidRPr="006C21A0">
        <w:rPr>
          <w:szCs w:val="20"/>
        </w:rPr>
        <w:t>These data elements were identified by the WEQ BPS, and the subcommittee seeks input from the industry on the applicability of these data elements</w:t>
      </w:r>
      <w:r w:rsidR="00F710DD">
        <w:rPr>
          <w:szCs w:val="20"/>
        </w:rPr>
        <w:t>:</w:t>
      </w:r>
    </w:p>
    <w:p w14:paraId="4E29AB2E" w14:textId="77777777" w:rsidR="00F504E0" w:rsidRPr="00D35A33" w:rsidRDefault="00F504E0" w:rsidP="00F710DD">
      <w:pPr>
        <w:pStyle w:val="ListParagraph"/>
        <w:numPr>
          <w:ilvl w:val="0"/>
          <w:numId w:val="21"/>
        </w:numPr>
        <w:spacing w:before="120" w:after="120"/>
        <w:rPr>
          <w:szCs w:val="20"/>
        </w:rPr>
      </w:pPr>
      <w:r w:rsidRPr="00D35A33">
        <w:rPr>
          <w:szCs w:val="20"/>
        </w:rPr>
        <w:t>Distribution level data</w:t>
      </w:r>
    </w:p>
    <w:p w14:paraId="2F98E8CA" w14:textId="77777777" w:rsidR="00F504E0" w:rsidRPr="00D35A33" w:rsidRDefault="00F504E0" w:rsidP="00F710DD">
      <w:pPr>
        <w:pStyle w:val="ListParagraph"/>
        <w:numPr>
          <w:ilvl w:val="0"/>
          <w:numId w:val="21"/>
        </w:numPr>
        <w:spacing w:before="120" w:after="120"/>
        <w:rPr>
          <w:szCs w:val="20"/>
        </w:rPr>
      </w:pPr>
      <w:r w:rsidRPr="00D35A33">
        <w:rPr>
          <w:szCs w:val="20"/>
        </w:rPr>
        <w:t>Interconnection data</w:t>
      </w:r>
    </w:p>
    <w:p w14:paraId="0FA31B2A" w14:textId="77777777" w:rsidR="00F504E0" w:rsidRPr="00F26715" w:rsidRDefault="00F504E0" w:rsidP="00F710DD">
      <w:pPr>
        <w:pStyle w:val="ListParagraph"/>
        <w:numPr>
          <w:ilvl w:val="0"/>
          <w:numId w:val="21"/>
        </w:numPr>
        <w:spacing w:before="120" w:after="120"/>
        <w:rPr>
          <w:szCs w:val="20"/>
        </w:rPr>
      </w:pPr>
      <w:r>
        <w:rPr>
          <w:szCs w:val="20"/>
        </w:rPr>
        <w:t xml:space="preserve">Designated dispatch entity </w:t>
      </w:r>
    </w:p>
    <w:p w14:paraId="7F55D081" w14:textId="77777777" w:rsidR="00F504E0" w:rsidRPr="00815007" w:rsidRDefault="00F504E0" w:rsidP="00F504E0">
      <w:pPr>
        <w:pStyle w:val="ListBullet"/>
        <w:numPr>
          <w:ilvl w:val="0"/>
          <w:numId w:val="0"/>
        </w:numPr>
        <w:spacing w:before="120" w:after="120"/>
        <w:ind w:left="360"/>
        <w:rPr>
          <w:rFonts w:ascii="Times New Roman" w:hAnsi="Times New Roman"/>
          <w:sz w:val="20"/>
          <w:szCs w:val="20"/>
        </w:rPr>
      </w:pPr>
    </w:p>
    <w:p w14:paraId="1E483AA7" w14:textId="77777777" w:rsidR="00DC3277" w:rsidRDefault="00DC3277"/>
    <w:sectPr w:rsidR="00DC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14ADD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B041C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C4CA1"/>
    <w:multiLevelType w:val="hybridMultilevel"/>
    <w:tmpl w:val="1196F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5C6"/>
    <w:multiLevelType w:val="hybridMultilevel"/>
    <w:tmpl w:val="5F3C0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94B1C"/>
    <w:multiLevelType w:val="hybridMultilevel"/>
    <w:tmpl w:val="7F5457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B60F7"/>
    <w:multiLevelType w:val="hybridMultilevel"/>
    <w:tmpl w:val="745ED3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B387F"/>
    <w:multiLevelType w:val="hybridMultilevel"/>
    <w:tmpl w:val="50E25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251E4"/>
    <w:multiLevelType w:val="hybridMultilevel"/>
    <w:tmpl w:val="9B3A6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9F044B"/>
    <w:multiLevelType w:val="hybridMultilevel"/>
    <w:tmpl w:val="A2F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0800"/>
    <w:multiLevelType w:val="hybridMultilevel"/>
    <w:tmpl w:val="190A1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3B0243"/>
    <w:multiLevelType w:val="hybridMultilevel"/>
    <w:tmpl w:val="F80EC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9661ED"/>
    <w:multiLevelType w:val="hybridMultilevel"/>
    <w:tmpl w:val="34D892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33807"/>
    <w:multiLevelType w:val="hybridMultilevel"/>
    <w:tmpl w:val="682CFF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CF3D31"/>
    <w:multiLevelType w:val="hybridMultilevel"/>
    <w:tmpl w:val="A0D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400D7"/>
    <w:multiLevelType w:val="hybridMultilevel"/>
    <w:tmpl w:val="E7D8D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52DBA"/>
    <w:multiLevelType w:val="hybridMultilevel"/>
    <w:tmpl w:val="49B04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678B4"/>
    <w:multiLevelType w:val="hybridMultilevel"/>
    <w:tmpl w:val="AD2A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A0E31"/>
    <w:multiLevelType w:val="hybridMultilevel"/>
    <w:tmpl w:val="4D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78D0"/>
    <w:multiLevelType w:val="hybridMultilevel"/>
    <w:tmpl w:val="2B1E8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A91C89"/>
    <w:multiLevelType w:val="hybridMultilevel"/>
    <w:tmpl w:val="CB5AB7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763EEE"/>
    <w:multiLevelType w:val="hybridMultilevel"/>
    <w:tmpl w:val="EE9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3"/>
  </w:num>
  <w:num w:numId="16">
    <w:abstractNumId w:val="18"/>
  </w:num>
  <w:num w:numId="17">
    <w:abstractNumId w:val="19"/>
  </w:num>
  <w:num w:numId="18">
    <w:abstractNumId w:val="11"/>
  </w:num>
  <w:num w:numId="19">
    <w:abstractNumId w:val="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0"/>
    <w:rsid w:val="00010D49"/>
    <w:rsid w:val="00023532"/>
    <w:rsid w:val="00025F63"/>
    <w:rsid w:val="00031462"/>
    <w:rsid w:val="001049E1"/>
    <w:rsid w:val="001362B1"/>
    <w:rsid w:val="00204602"/>
    <w:rsid w:val="00274495"/>
    <w:rsid w:val="00274DB3"/>
    <w:rsid w:val="00371990"/>
    <w:rsid w:val="0047688F"/>
    <w:rsid w:val="00476D57"/>
    <w:rsid w:val="004C3002"/>
    <w:rsid w:val="004E5E0F"/>
    <w:rsid w:val="0051084D"/>
    <w:rsid w:val="00522174"/>
    <w:rsid w:val="005F6059"/>
    <w:rsid w:val="0060305F"/>
    <w:rsid w:val="006C21A0"/>
    <w:rsid w:val="006D6628"/>
    <w:rsid w:val="0074471E"/>
    <w:rsid w:val="00767C20"/>
    <w:rsid w:val="007E456E"/>
    <w:rsid w:val="007F4810"/>
    <w:rsid w:val="0089073E"/>
    <w:rsid w:val="008C76BA"/>
    <w:rsid w:val="008E5C82"/>
    <w:rsid w:val="008F0CAA"/>
    <w:rsid w:val="00901CEE"/>
    <w:rsid w:val="00927397"/>
    <w:rsid w:val="00955CB2"/>
    <w:rsid w:val="00A16379"/>
    <w:rsid w:val="00AB1CB5"/>
    <w:rsid w:val="00AC237A"/>
    <w:rsid w:val="00B71DCA"/>
    <w:rsid w:val="00B94934"/>
    <w:rsid w:val="00C25C4A"/>
    <w:rsid w:val="00C67D8F"/>
    <w:rsid w:val="00C84144"/>
    <w:rsid w:val="00CA014C"/>
    <w:rsid w:val="00CD76C4"/>
    <w:rsid w:val="00D22D0C"/>
    <w:rsid w:val="00D51563"/>
    <w:rsid w:val="00DC07DC"/>
    <w:rsid w:val="00DC3277"/>
    <w:rsid w:val="00E07EFF"/>
    <w:rsid w:val="00E467F8"/>
    <w:rsid w:val="00E75D2F"/>
    <w:rsid w:val="00EA0AF8"/>
    <w:rsid w:val="00EC1829"/>
    <w:rsid w:val="00EE48E1"/>
    <w:rsid w:val="00F504E0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F271"/>
  <w15:chartTrackingRefBased/>
  <w15:docId w15:val="{520035C0-7EC4-42EB-8E52-E95203C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F504E0"/>
    <w:pPr>
      <w:ind w:left="720"/>
      <w:contextualSpacing/>
    </w:pPr>
  </w:style>
  <w:style w:type="paragraph" w:styleId="ListBullet">
    <w:name w:val="List Bullet"/>
    <w:aliases w:val="ListBul 1"/>
    <w:basedOn w:val="Normal"/>
    <w:uiPriority w:val="31"/>
    <w:qFormat/>
    <w:rsid w:val="00F504E0"/>
    <w:pPr>
      <w:numPr>
        <w:numId w:val="2"/>
      </w:numPr>
      <w:spacing w:after="240"/>
    </w:pPr>
    <w:rPr>
      <w:rFonts w:asciiTheme="minorHAnsi" w:hAnsi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0"/>
    <w:rPr>
      <w:szCs w:val="20"/>
    </w:rPr>
  </w:style>
  <w:style w:type="paragraph" w:styleId="ListBullet2">
    <w:name w:val="List Bullet 2"/>
    <w:basedOn w:val="Normal"/>
    <w:uiPriority w:val="99"/>
    <w:semiHidden/>
    <w:unhideWhenUsed/>
    <w:rsid w:val="00AC237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2021-10-19T19:04:00Z</dcterms:created>
  <dcterms:modified xsi:type="dcterms:W3CDTF">2021-10-19T19:04:00Z</dcterms:modified>
</cp:coreProperties>
</file>