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0C572A70" w:rsidR="00C44C62" w:rsidRPr="000E5855" w:rsidRDefault="00C44C62" w:rsidP="00D62DE0">
      <w:pPr>
        <w:ind w:left="1440" w:hanging="1440"/>
      </w:pPr>
      <w:r w:rsidRPr="000E5855">
        <w:rPr>
          <w:b/>
          <w:bCs/>
        </w:rPr>
        <w:t>RE:</w:t>
      </w:r>
      <w:r w:rsidRPr="000E5855">
        <w:rPr>
          <w:b/>
          <w:bCs/>
        </w:rPr>
        <w:tab/>
      </w:r>
      <w:r w:rsidR="001C3FCA">
        <w:t xml:space="preserve">Final </w:t>
      </w:r>
      <w:r w:rsidR="00230ECA">
        <w:t>Minutes from</w:t>
      </w:r>
      <w:r w:rsidR="005965E2">
        <w:t xml:space="preserve"> </w:t>
      </w:r>
      <w:r w:rsidR="001C3FCA">
        <w:t>January 4</w:t>
      </w:r>
      <w:r w:rsidR="008A6136">
        <w:t>,</w:t>
      </w:r>
      <w:r w:rsidR="000B0FB1">
        <w:t xml:space="preserve"> 202</w:t>
      </w:r>
      <w:r w:rsidR="001C3FCA">
        <w:t>3</w:t>
      </w:r>
      <w:r w:rsidR="00230ECA">
        <w:t xml:space="preserve"> WEQ BPS </w:t>
      </w:r>
      <w:r w:rsidR="00A856C9">
        <w:t>Meeti</w:t>
      </w:r>
      <w:r w:rsidR="00230ECA">
        <w:t>ng</w:t>
      </w:r>
    </w:p>
    <w:p w14:paraId="7C63E7B7" w14:textId="63F85575"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0807B7">
        <w:t>January 6, 2023</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33C2E5A1" w:rsidR="00C44C62" w:rsidRDefault="000807B7" w:rsidP="0063021A">
      <w:pPr>
        <w:widowControl w:val="0"/>
        <w:jc w:val="center"/>
        <w:outlineLvl w:val="2"/>
        <w:rPr>
          <w:b/>
          <w:bCs/>
        </w:rPr>
      </w:pPr>
      <w:r>
        <w:rPr>
          <w:b/>
          <w:bCs/>
        </w:rPr>
        <w:t>January 4, 2023</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2AEE2379" w:rsidR="00C44C62" w:rsidRPr="00EE257D" w:rsidRDefault="001C3FCA" w:rsidP="00EA2474">
      <w:pPr>
        <w:widowControl w:val="0"/>
        <w:spacing w:after="120"/>
        <w:jc w:val="center"/>
      </w:pPr>
      <w:r>
        <w:rPr>
          <w:b/>
          <w:bCs/>
          <w:u w:val="single"/>
        </w:rPr>
        <w:t>FINAL</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E84DD77"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 xml:space="preserve">Mr. </w:t>
      </w:r>
      <w:r w:rsidR="00B6364E">
        <w:t>Wood.</w:t>
      </w:r>
    </w:p>
    <w:p w14:paraId="3F30554C" w14:textId="50E71B0D" w:rsidR="00370B79" w:rsidRDefault="00370B79" w:rsidP="008F22D4">
      <w:pPr>
        <w:spacing w:after="120"/>
        <w:jc w:val="both"/>
      </w:pPr>
      <w:r>
        <w:t xml:space="preserve">Mr. Phillips reviewed the draft minutes from the </w:t>
      </w:r>
      <w:r w:rsidR="000807B7">
        <w:t>December 6, 2022</w:t>
      </w:r>
      <w:r>
        <w:t xml:space="preserve"> meeting.  </w:t>
      </w:r>
      <w:r w:rsidR="005965E2">
        <w:t>No modifications were offered</w:t>
      </w:r>
      <w:r>
        <w:t xml:space="preserve">.  Mr. Brooks moved, seconded by Mr. </w:t>
      </w:r>
      <w:r w:rsidR="00B6364E">
        <w:t>Wood</w:t>
      </w:r>
      <w:r>
        <w:t>, to adopt the minutes as final.  The motion passed a simple majority vote without opposition.  The final minutes from the meeting are available at the following link:</w:t>
      </w:r>
      <w:r w:rsidR="00F27BFF">
        <w:t xml:space="preserve"> </w:t>
      </w:r>
      <w:hyperlink r:id="rId8" w:history="1">
        <w:r w:rsidR="000807B7" w:rsidRPr="006558B8">
          <w:rPr>
            <w:rStyle w:val="Hyperlink"/>
          </w:rPr>
          <w:t>https://naesb.org//pdf4/weq_bps120622fm.docx</w:t>
        </w:r>
      </w:hyperlink>
      <w:r w:rsidR="000807B7">
        <w:t xml:space="preserve">. </w:t>
      </w:r>
    </w:p>
    <w:p w14:paraId="1C7AFD42" w14:textId="1215E0ED" w:rsidR="008345D2" w:rsidRPr="00475C8F" w:rsidRDefault="00370B79" w:rsidP="008345D2">
      <w:pPr>
        <w:numPr>
          <w:ilvl w:val="0"/>
          <w:numId w:val="11"/>
        </w:numPr>
        <w:tabs>
          <w:tab w:val="num" w:pos="1620"/>
          <w:tab w:val="num" w:pos="2160"/>
        </w:tabs>
        <w:spacing w:before="120"/>
        <w:jc w:val="both"/>
        <w:rPr>
          <w:b/>
          <w:bCs/>
        </w:rPr>
      </w:pPr>
      <w:r>
        <w:rPr>
          <w:b/>
          <w:bCs/>
        </w:rPr>
        <w:t xml:space="preserve">Continue Discussion on Standards Request R22001 – </w:t>
      </w:r>
      <w:r w:rsidR="000807B7">
        <w:rPr>
          <w:b/>
          <w:bCs/>
        </w:rPr>
        <w:t>Continue to Discuss Informal Comments</w:t>
      </w:r>
    </w:p>
    <w:p w14:paraId="0467A58C" w14:textId="65E5E75C" w:rsidR="00B6364E" w:rsidRDefault="005965E2" w:rsidP="00370B79">
      <w:pPr>
        <w:widowControl w:val="0"/>
        <w:tabs>
          <w:tab w:val="left" w:pos="1440"/>
        </w:tabs>
        <w:spacing w:before="120" w:after="120"/>
        <w:jc w:val="both"/>
      </w:pPr>
      <w:r>
        <w:t xml:space="preserve">Mr. Phillips stated that </w:t>
      </w:r>
      <w:r w:rsidR="00B6364E">
        <w:t xml:space="preserve">during the informal comment period, comments were submitted by </w:t>
      </w:r>
      <w:hyperlink r:id="rId9" w:history="1">
        <w:r w:rsidR="00B6364E" w:rsidRPr="00B6364E">
          <w:rPr>
            <w:rStyle w:val="Hyperlink"/>
          </w:rPr>
          <w:t>WAPA</w:t>
        </w:r>
      </w:hyperlink>
      <w:r w:rsidR="00B6364E">
        <w:t xml:space="preserve">, </w:t>
      </w:r>
      <w:hyperlink r:id="rId10" w:history="1">
        <w:r w:rsidR="00B6364E" w:rsidRPr="00B6364E">
          <w:rPr>
            <w:rStyle w:val="Hyperlink"/>
          </w:rPr>
          <w:t>NRG</w:t>
        </w:r>
      </w:hyperlink>
      <w:r w:rsidR="00B6364E">
        <w:t xml:space="preserve">, </w:t>
      </w:r>
      <w:hyperlink r:id="rId11" w:history="1">
        <w:r w:rsidR="00B6364E" w:rsidRPr="00B6364E">
          <w:rPr>
            <w:rStyle w:val="Hyperlink"/>
          </w:rPr>
          <w:t>Southern Company</w:t>
        </w:r>
      </w:hyperlink>
      <w:r w:rsidR="00B6364E">
        <w:t xml:space="preserve">, </w:t>
      </w:r>
      <w:hyperlink r:id="rId12" w:history="1">
        <w:r w:rsidR="00B6364E" w:rsidRPr="00B6364E">
          <w:rPr>
            <w:rStyle w:val="Hyperlink"/>
          </w:rPr>
          <w:t>MISO</w:t>
        </w:r>
      </w:hyperlink>
      <w:r w:rsidR="00B6364E">
        <w:t xml:space="preserve">, </w:t>
      </w:r>
      <w:hyperlink r:id="rId13" w:history="1">
        <w:r w:rsidR="00B6364E" w:rsidRPr="00B6364E">
          <w:rPr>
            <w:rStyle w:val="Hyperlink"/>
          </w:rPr>
          <w:t>jointly</w:t>
        </w:r>
      </w:hyperlink>
      <w:r w:rsidR="00B6364E">
        <w:t xml:space="preserve"> by IESO, ISO-New England, NYISO, MISO, and SPP and on </w:t>
      </w:r>
      <w:hyperlink r:id="rId14" w:history="1">
        <w:r w:rsidR="00B6364E" w:rsidRPr="00B6364E">
          <w:rPr>
            <w:rStyle w:val="Hyperlink"/>
          </w:rPr>
          <w:t>behalf</w:t>
        </w:r>
      </w:hyperlink>
      <w:r w:rsidR="00B6364E">
        <w:t xml:space="preserve"> of the U.S. Department of Energy Grid Modernization Laboratory Consortium Project on Grid Services and Energy Services Interface</w:t>
      </w:r>
      <w:r w:rsidR="009A78CE">
        <w:t xml:space="preserve"> (GMLC)</w:t>
      </w:r>
      <w:r w:rsidR="00B6364E">
        <w:t xml:space="preserve">.  He indicated that the informal comments had been compiled into a </w:t>
      </w:r>
      <w:hyperlink r:id="rId15" w:history="1">
        <w:r w:rsidR="00B6364E" w:rsidRPr="00B6364E">
          <w:rPr>
            <w:rStyle w:val="Hyperlink"/>
          </w:rPr>
          <w:t>work paper</w:t>
        </w:r>
      </w:hyperlink>
      <w:r w:rsidR="00B6364E">
        <w:t xml:space="preserve"> </w:t>
      </w:r>
      <w:r w:rsidR="000807B7">
        <w:t>and that during the previous meeting, the participants had completed review of the informal comments relating to the defined terms and accompanying definitions.  The participants continued review with the informal comments addressing the drafts standards language.</w:t>
      </w:r>
    </w:p>
    <w:p w14:paraId="00964D90" w14:textId="14031520" w:rsidR="009929E0" w:rsidRDefault="000807B7" w:rsidP="00370B79">
      <w:pPr>
        <w:widowControl w:val="0"/>
        <w:tabs>
          <w:tab w:val="left" w:pos="1440"/>
        </w:tabs>
        <w:spacing w:before="120" w:after="120"/>
        <w:jc w:val="both"/>
      </w:pPr>
      <w:r>
        <w:t xml:space="preserve">Mr. Wood stated that Southern Company proposed that the applicability section of the new suite of standards be consistent with the applicability of WEQ-015 and WEQ-020, which indicates that the business practices are only applicable to ISO/RTO administered markets.  Mr. Widergren responded that the intent of Standards Request R22001 was to develop standards broadly applicable to any system operator and indicated that the draft standards language was crafted in such a way as to be applicable to any wholesale market system operator.  Mr. Wood stating that if the standards are to be applicable to ISO/RTO markets as well as those operated by vertically integrated utilities, then there may need to be further revisions to the standards, noting that </w:t>
      </w:r>
      <w:r w:rsidR="009929E0">
        <w:t xml:space="preserve">non-ISO/RTO entities often do not have governing documents.  Mr. Phillips stated that the draft standards use the defined term “Governing Documents,” the definition for which </w:t>
      </w:r>
      <w:r w:rsidR="005812A1">
        <w:t xml:space="preserve">in WEQ-000 </w:t>
      </w:r>
      <w:r w:rsidR="009929E0">
        <w:t xml:space="preserve">generically reference an entity’s governance documents, not any one specific document.  </w:t>
      </w:r>
    </w:p>
    <w:p w14:paraId="3FE991B5" w14:textId="6D42B560" w:rsidR="000807B7" w:rsidRDefault="009929E0" w:rsidP="00370B79">
      <w:pPr>
        <w:widowControl w:val="0"/>
        <w:tabs>
          <w:tab w:val="left" w:pos="1440"/>
        </w:tabs>
        <w:spacing w:before="120" w:after="120"/>
        <w:jc w:val="both"/>
      </w:pPr>
      <w:r>
        <w:t xml:space="preserve">Mr. Wood expressed concern that the standards could be interpreted to require a system operator to offer specific services or market products.  Mr. Widergren stated that the language of the draft standards makes clear that </w:t>
      </w:r>
      <w:r w:rsidR="00250FB4">
        <w:t>an entity’s Governing Documents is the driver for which grid services are offered within a given market.  Mr. Phillips agreed, noting that WEQ-XXX-1 specifically states that it is the Governing Documents of a system operator that define the grid services offered within a market.</w:t>
      </w:r>
    </w:p>
    <w:p w14:paraId="33ECD7B1" w14:textId="1BBA0C96" w:rsidR="005812A1" w:rsidRDefault="00250FB4" w:rsidP="00370B79">
      <w:pPr>
        <w:widowControl w:val="0"/>
        <w:tabs>
          <w:tab w:val="left" w:pos="1440"/>
        </w:tabs>
        <w:spacing w:before="120" w:after="120"/>
        <w:jc w:val="both"/>
      </w:pPr>
      <w:r>
        <w:t xml:space="preserve">Mr. Wood noted that there could be confusion between the grid services as referenced in the new suite of standards and the demand response related services referenced in WEQ-015 and WEQ-020, which are only applicable to </w:t>
      </w:r>
      <w:r>
        <w:lastRenderedPageBreak/>
        <w:t xml:space="preserve">ISO/RTO administered markets.  Mr. Brooks acknowledged that while WEQ-015 and WEQ-020 do use </w:t>
      </w:r>
      <w:r w:rsidR="005812A1">
        <w:t>similar terminology to that i</w:t>
      </w:r>
      <w:r>
        <w:t xml:space="preserve">ncluded in the new suite of standards, the subcommittee participants purposefully created new defined terms with explicit definitions for inclusion in WEQ-000 in order to help make a clear distinction between demand response services and the broader category of grid services.  He noted that WEQ-000 also identifies which suite of standards in which a defined term is used, which should serve to </w:t>
      </w:r>
      <w:r w:rsidR="005812A1">
        <w:t xml:space="preserve">further </w:t>
      </w:r>
      <w:r>
        <w:t>minimize any confusion.  Mr. Widergren agreed</w:t>
      </w:r>
      <w:r w:rsidR="005812A1">
        <w:t>, stating that the request for standards development submitted by the U.S. DoE, Lawrence Berkley National Laboratory, and Pacific Northwest National Laboratory was not intended to build upon WEQ-015 or WEQ-020 but rather create new standards that can provide commonality regarding the various operational grid services that may be offered within markets.</w:t>
      </w:r>
    </w:p>
    <w:p w14:paraId="50CF6EDF" w14:textId="39E08F23" w:rsidR="005C11B3" w:rsidRDefault="005812A1" w:rsidP="00370B79">
      <w:pPr>
        <w:widowControl w:val="0"/>
        <w:tabs>
          <w:tab w:val="left" w:pos="1440"/>
        </w:tabs>
        <w:spacing w:before="120" w:after="120"/>
        <w:jc w:val="both"/>
      </w:pPr>
      <w:r>
        <w:t>Mr. Wood asked if this effort should be joint with the WEQ OASIS Subcommittee</w:t>
      </w:r>
      <w:r w:rsidR="009965C3">
        <w:t xml:space="preserve"> or if asked if additional standards development activities would be required to ensure the new standards are consistent with the WEQ OASIS Suite of Standards as WEQ-001-2.5.1 specifically contains requirements related to ancillary services</w:t>
      </w:r>
      <w:r>
        <w:t xml:space="preserve">.  Mr. Phillips </w:t>
      </w:r>
      <w:r w:rsidR="005C11B3">
        <w:t>indicated that this effort had been specifically assigned to the WEQ BPS as the standards broadly identify the categories of grid services that may be offered and do not create new services</w:t>
      </w:r>
      <w:r w:rsidR="009965C3">
        <w:t xml:space="preserve"> or define how such services work or are used.  He</w:t>
      </w:r>
      <w:r w:rsidR="005C11B3">
        <w:t xml:space="preserve"> noted that the WEQ OASIS Suite of Standards specifically address the scheduling and </w:t>
      </w:r>
      <w:r w:rsidR="009965C3">
        <w:t>reservation process</w:t>
      </w:r>
      <w:r w:rsidR="005C11B3">
        <w:t xml:space="preserve"> on a transmission system</w:t>
      </w:r>
      <w:r w:rsidR="009965C3">
        <w:t xml:space="preserve"> and that </w:t>
      </w:r>
      <w:r w:rsidR="005C11B3">
        <w:t xml:space="preserve">while this </w:t>
      </w:r>
      <w:r w:rsidR="009965C3">
        <w:t>could</w:t>
      </w:r>
      <w:r w:rsidR="005C11B3">
        <w:t xml:space="preserve"> be an area of future standards development, the execution and utilization of </w:t>
      </w:r>
      <w:r w:rsidR="009965C3">
        <w:t>grid services is beyond the scope of the current effort.</w:t>
      </w:r>
    </w:p>
    <w:p w14:paraId="02F0C5D2" w14:textId="4B5C3535" w:rsidR="005C11B3" w:rsidRDefault="009965C3" w:rsidP="00370B79">
      <w:pPr>
        <w:widowControl w:val="0"/>
        <w:tabs>
          <w:tab w:val="left" w:pos="1440"/>
        </w:tabs>
        <w:spacing w:before="120" w:after="120"/>
        <w:jc w:val="both"/>
      </w:pPr>
      <w:r>
        <w:t>The participants worked to reword the Introduction and Applicability sections to clearly indicate that the standards establish common grid services, not any specific requirements related to compensation, design, operation or use, and that a system operator is not required to offer any of the grid services identified within the standards.</w:t>
      </w:r>
      <w:r w:rsidR="005A426A">
        <w:t xml:space="preserve">  There was general agreement with the proposed language.</w:t>
      </w:r>
    </w:p>
    <w:p w14:paraId="7A194A3A" w14:textId="2B60C93A" w:rsidR="009965C3" w:rsidRDefault="009965C3" w:rsidP="00370B79">
      <w:pPr>
        <w:widowControl w:val="0"/>
        <w:tabs>
          <w:tab w:val="left" w:pos="1440"/>
        </w:tabs>
        <w:spacing w:before="120" w:after="120"/>
        <w:jc w:val="both"/>
      </w:pPr>
      <w:r>
        <w:t>Mr. Phillips noted that the majority of the remaining informal comments propose modifications for consistency and to correct grammatical mistakes.  The participants reviewed and discussed the informal comments submitted regarding the draft standards addressing Energy Grid Service and Reserve Grid Service.  The participants agreed to apply the consistency and grammatical modifications made for these standards to the draft standards addressing Regulation Grid Service, Frequency Response Grid Service, Voltage Management Grid Service, and Emergency Grid Service</w:t>
      </w:r>
      <w:r w:rsidR="005A426A">
        <w:t>, as applicable</w:t>
      </w:r>
      <w:r>
        <w:t>.</w:t>
      </w:r>
      <w:r w:rsidR="005A426A">
        <w:t xml:space="preserve">  Due to time constraints, the participants will finish review of the informal comments during the next meeting.</w:t>
      </w:r>
    </w:p>
    <w:p w14:paraId="3B147097" w14:textId="5D375DA7" w:rsidR="005A426A" w:rsidRDefault="005A426A" w:rsidP="00370B79">
      <w:pPr>
        <w:widowControl w:val="0"/>
        <w:tabs>
          <w:tab w:val="left" w:pos="1440"/>
        </w:tabs>
        <w:spacing w:before="120" w:after="120"/>
        <w:jc w:val="both"/>
      </w:pPr>
      <w:r>
        <w:t xml:space="preserve">The response of the WEQ BPS to the informal comments discussed during the meeting can be viewed at the following link: </w:t>
      </w:r>
      <w:hyperlink r:id="rId16" w:history="1">
        <w:r w:rsidRPr="006558B8">
          <w:rPr>
            <w:rStyle w:val="Hyperlink"/>
          </w:rPr>
          <w:t>https://naesb.org//member_login_check.asp?doc=weq_bps010423a1.docx</w:t>
        </w:r>
      </w:hyperlink>
      <w:r>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6FB2610" w14:textId="6DC31D16" w:rsidR="005A426A" w:rsidRDefault="006C3A3B" w:rsidP="00F979E4">
      <w:pPr>
        <w:widowControl w:val="0"/>
        <w:tabs>
          <w:tab w:val="left" w:pos="1440"/>
          <w:tab w:val="num" w:pos="1620"/>
          <w:tab w:val="num" w:pos="2160"/>
        </w:tabs>
        <w:spacing w:before="120" w:after="120"/>
        <w:jc w:val="both"/>
        <w:rPr>
          <w:bCs/>
        </w:rPr>
      </w:pPr>
      <w:r>
        <w:rPr>
          <w:bCs/>
        </w:rPr>
        <w:t xml:space="preserve">Mr. Phillips stated that </w:t>
      </w:r>
      <w:r w:rsidR="009A78CE">
        <w:rPr>
          <w:bCs/>
        </w:rPr>
        <w:t xml:space="preserve">the next meeting of the subcommittee </w:t>
      </w:r>
      <w:r w:rsidR="005A426A">
        <w:rPr>
          <w:bCs/>
        </w:rPr>
        <w:t>will be held on January 25, 2022, during which the participants will finish review of the informal comments and potentially consider voting on a recommendation for standards development.  He stated that he and Ms. Sieg would work to prepare a draft recommendation that can be discussed.</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7A63E4" w:rsidR="00F27BFF" w:rsidRDefault="009A78CE" w:rsidP="00184FD1">
      <w:pPr>
        <w:widowControl w:val="0"/>
        <w:tabs>
          <w:tab w:val="left" w:pos="1440"/>
        </w:tabs>
        <w:spacing w:after="120"/>
        <w:jc w:val="both"/>
      </w:pPr>
      <w:r>
        <w:t>There was no other business discussed.</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479AA28E"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6C3A3B">
        <w:rPr>
          <w:bCs/>
        </w:rPr>
        <w:t>4:0</w:t>
      </w:r>
      <w:r w:rsidR="005A426A">
        <w:rPr>
          <w:bCs/>
        </w:rPr>
        <w:t>1</w:t>
      </w:r>
      <w:r w:rsidR="00F27BFF">
        <w:rPr>
          <w:bCs/>
        </w:rPr>
        <w:t xml:space="preserve"> </w:t>
      </w:r>
      <w:r w:rsidR="009D1F6F">
        <w:rPr>
          <w:bCs/>
        </w:rPr>
        <w:t>PM</w:t>
      </w:r>
      <w:r w:rsidR="00FF2568">
        <w:rPr>
          <w:bCs/>
        </w:rPr>
        <w:t xml:space="preserve"> Central </w:t>
      </w:r>
      <w:r w:rsidR="009A78CE">
        <w:rPr>
          <w:bCs/>
        </w:rPr>
        <w:t xml:space="preserve">on a motion by </w:t>
      </w:r>
      <w:r w:rsidR="005A426A">
        <w:rPr>
          <w:bCs/>
        </w:rPr>
        <w:t xml:space="preserve">Ms. </w:t>
      </w:r>
      <w:proofErr w:type="spellStart"/>
      <w:r w:rsidR="005A426A">
        <w:rPr>
          <w:bCs/>
        </w:rPr>
        <w:t>Berdahl</w:t>
      </w:r>
      <w:proofErr w:type="spellEnd"/>
      <w:r w:rsidR="005A426A">
        <w:rPr>
          <w:bCs/>
        </w:rPr>
        <w:t>.</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FE1840" w:rsidRPr="00286562" w14:paraId="6307C303" w14:textId="77777777" w:rsidTr="001262CB">
        <w:tc>
          <w:tcPr>
            <w:tcW w:w="1998" w:type="dxa"/>
            <w:tcMar>
              <w:top w:w="0" w:type="dxa"/>
              <w:left w:w="108" w:type="dxa"/>
              <w:bottom w:w="0" w:type="dxa"/>
              <w:right w:w="108" w:type="dxa"/>
            </w:tcMar>
          </w:tcPr>
          <w:p w14:paraId="78437699" w14:textId="3395960B" w:rsidR="00FE1840" w:rsidRPr="005A426A" w:rsidRDefault="00FE1840" w:rsidP="00A55C8D">
            <w:pPr>
              <w:keepNext/>
              <w:keepLines/>
              <w:widowControl w:val="0"/>
              <w:spacing w:before="120"/>
              <w:rPr>
                <w:bCs/>
              </w:rPr>
            </w:pPr>
            <w:r w:rsidRPr="005A426A">
              <w:rPr>
                <w:bCs/>
              </w:rPr>
              <w:t>Rebecca</w:t>
            </w:r>
          </w:p>
        </w:tc>
        <w:tc>
          <w:tcPr>
            <w:tcW w:w="3240" w:type="dxa"/>
            <w:tcMar>
              <w:top w:w="0" w:type="dxa"/>
              <w:left w:w="108" w:type="dxa"/>
              <w:bottom w:w="0" w:type="dxa"/>
              <w:right w:w="108" w:type="dxa"/>
            </w:tcMar>
          </w:tcPr>
          <w:p w14:paraId="4F29C1F8" w14:textId="3694701F" w:rsidR="00FE1840" w:rsidRPr="005A426A" w:rsidRDefault="00FE1840" w:rsidP="00A55C8D">
            <w:pPr>
              <w:keepNext/>
              <w:keepLines/>
              <w:widowControl w:val="0"/>
              <w:spacing w:before="120"/>
              <w:rPr>
                <w:bCs/>
              </w:rPr>
            </w:pPr>
            <w:proofErr w:type="spellStart"/>
            <w:r w:rsidRPr="005A426A">
              <w:rPr>
                <w:bCs/>
              </w:rPr>
              <w:t>Berdahl</w:t>
            </w:r>
            <w:proofErr w:type="spellEnd"/>
          </w:p>
        </w:tc>
        <w:tc>
          <w:tcPr>
            <w:tcW w:w="3870" w:type="dxa"/>
            <w:tcMar>
              <w:top w:w="0" w:type="dxa"/>
              <w:left w:w="108" w:type="dxa"/>
              <w:bottom w:w="0" w:type="dxa"/>
              <w:right w:w="108" w:type="dxa"/>
            </w:tcMar>
          </w:tcPr>
          <w:p w14:paraId="100320A3" w14:textId="2E4CD660" w:rsidR="00FE1840" w:rsidRPr="005A426A" w:rsidRDefault="00FE1840" w:rsidP="00A55C8D">
            <w:pPr>
              <w:keepNext/>
              <w:keepLines/>
              <w:widowControl w:val="0"/>
              <w:spacing w:before="120"/>
              <w:rPr>
                <w:bCs/>
              </w:rPr>
            </w:pPr>
            <w:r w:rsidRPr="005A426A">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5A426A" w:rsidRDefault="0074610C" w:rsidP="00A55C8D">
            <w:pPr>
              <w:keepNext/>
              <w:keepLines/>
              <w:widowControl w:val="0"/>
              <w:spacing w:before="120"/>
              <w:rPr>
                <w:bCs/>
              </w:rPr>
            </w:pPr>
            <w:r w:rsidRPr="005A426A">
              <w:rPr>
                <w:bCs/>
              </w:rPr>
              <w:t>Dick</w:t>
            </w:r>
          </w:p>
        </w:tc>
        <w:tc>
          <w:tcPr>
            <w:tcW w:w="3240" w:type="dxa"/>
            <w:tcMar>
              <w:top w:w="0" w:type="dxa"/>
              <w:left w:w="108" w:type="dxa"/>
              <w:bottom w:w="0" w:type="dxa"/>
              <w:right w:w="108" w:type="dxa"/>
            </w:tcMar>
          </w:tcPr>
          <w:p w14:paraId="2B35B985" w14:textId="45E58EBE" w:rsidR="0074610C" w:rsidRPr="005A426A" w:rsidRDefault="0074610C" w:rsidP="00A55C8D">
            <w:pPr>
              <w:keepNext/>
              <w:keepLines/>
              <w:widowControl w:val="0"/>
              <w:spacing w:before="120"/>
              <w:rPr>
                <w:bCs/>
              </w:rPr>
            </w:pPr>
            <w:r w:rsidRPr="005A426A">
              <w:rPr>
                <w:bCs/>
              </w:rPr>
              <w:t>Brooks</w:t>
            </w:r>
          </w:p>
        </w:tc>
        <w:tc>
          <w:tcPr>
            <w:tcW w:w="3870" w:type="dxa"/>
            <w:tcMar>
              <w:top w:w="0" w:type="dxa"/>
              <w:left w:w="108" w:type="dxa"/>
              <w:bottom w:w="0" w:type="dxa"/>
              <w:right w:w="108" w:type="dxa"/>
            </w:tcMar>
          </w:tcPr>
          <w:p w14:paraId="471AF643" w14:textId="61B50145" w:rsidR="0074610C" w:rsidRPr="005A426A" w:rsidRDefault="0074610C" w:rsidP="00A55C8D">
            <w:pPr>
              <w:keepNext/>
              <w:keepLines/>
              <w:widowControl w:val="0"/>
              <w:spacing w:before="120"/>
              <w:rPr>
                <w:bCs/>
              </w:rPr>
            </w:pPr>
            <w:r w:rsidRPr="005A426A">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5A426A" w:rsidRDefault="00F27BFF" w:rsidP="00A55C8D">
            <w:pPr>
              <w:keepNext/>
              <w:keepLines/>
              <w:widowControl w:val="0"/>
              <w:spacing w:before="120"/>
              <w:rPr>
                <w:bCs/>
              </w:rPr>
            </w:pPr>
            <w:r w:rsidRPr="005A426A">
              <w:rPr>
                <w:bCs/>
              </w:rPr>
              <w:t>Rich</w:t>
            </w:r>
          </w:p>
        </w:tc>
        <w:tc>
          <w:tcPr>
            <w:tcW w:w="3240" w:type="dxa"/>
            <w:tcMar>
              <w:top w:w="0" w:type="dxa"/>
              <w:left w:w="108" w:type="dxa"/>
              <w:bottom w:w="0" w:type="dxa"/>
              <w:right w:w="108" w:type="dxa"/>
            </w:tcMar>
          </w:tcPr>
          <w:p w14:paraId="6CF81AFA" w14:textId="5AC1DCD9" w:rsidR="00F27BFF" w:rsidRPr="005A426A" w:rsidRDefault="00F27BFF" w:rsidP="00A55C8D">
            <w:pPr>
              <w:keepNext/>
              <w:keepLines/>
              <w:widowControl w:val="0"/>
              <w:spacing w:before="120"/>
              <w:rPr>
                <w:bCs/>
              </w:rPr>
            </w:pPr>
            <w:r w:rsidRPr="005A426A">
              <w:rPr>
                <w:bCs/>
              </w:rPr>
              <w:t>Brown</w:t>
            </w:r>
          </w:p>
        </w:tc>
        <w:tc>
          <w:tcPr>
            <w:tcW w:w="3870" w:type="dxa"/>
            <w:tcMar>
              <w:top w:w="0" w:type="dxa"/>
              <w:left w:w="108" w:type="dxa"/>
              <w:bottom w:w="0" w:type="dxa"/>
              <w:right w:w="108" w:type="dxa"/>
            </w:tcMar>
          </w:tcPr>
          <w:p w14:paraId="052FDE9D" w14:textId="7FF0A6B5" w:rsidR="00F27BFF" w:rsidRPr="005A426A" w:rsidRDefault="00F27BFF" w:rsidP="00A55C8D">
            <w:pPr>
              <w:keepNext/>
              <w:keepLines/>
              <w:widowControl w:val="0"/>
              <w:spacing w:before="120"/>
              <w:rPr>
                <w:bCs/>
              </w:rPr>
            </w:pPr>
            <w:r w:rsidRPr="005A426A">
              <w:rPr>
                <w:bCs/>
              </w:rPr>
              <w:t>Lawrence Berkeley National Laboratory</w:t>
            </w:r>
          </w:p>
        </w:tc>
      </w:tr>
      <w:tr w:rsidR="00C24193" w:rsidRPr="00286562" w14:paraId="02466072" w14:textId="77777777" w:rsidTr="001262CB">
        <w:tc>
          <w:tcPr>
            <w:tcW w:w="1998" w:type="dxa"/>
            <w:tcMar>
              <w:top w:w="0" w:type="dxa"/>
              <w:left w:w="108" w:type="dxa"/>
              <w:bottom w:w="0" w:type="dxa"/>
              <w:right w:w="108" w:type="dxa"/>
            </w:tcMar>
          </w:tcPr>
          <w:p w14:paraId="3A093230" w14:textId="48400B4D" w:rsidR="00C24193" w:rsidRPr="005A426A" w:rsidRDefault="00C24193" w:rsidP="00A55C8D">
            <w:pPr>
              <w:keepNext/>
              <w:keepLines/>
              <w:widowControl w:val="0"/>
              <w:spacing w:before="120"/>
              <w:rPr>
                <w:bCs/>
              </w:rPr>
            </w:pPr>
            <w:r w:rsidRPr="005A426A">
              <w:rPr>
                <w:bCs/>
              </w:rPr>
              <w:t>Tina</w:t>
            </w:r>
          </w:p>
        </w:tc>
        <w:tc>
          <w:tcPr>
            <w:tcW w:w="3240" w:type="dxa"/>
            <w:tcMar>
              <w:top w:w="0" w:type="dxa"/>
              <w:left w:w="108" w:type="dxa"/>
              <w:bottom w:w="0" w:type="dxa"/>
              <w:right w:w="108" w:type="dxa"/>
            </w:tcMar>
          </w:tcPr>
          <w:p w14:paraId="0DD72911" w14:textId="11931A3D" w:rsidR="00C24193" w:rsidRPr="005A426A" w:rsidRDefault="00C24193" w:rsidP="00A55C8D">
            <w:pPr>
              <w:keepNext/>
              <w:keepLines/>
              <w:widowControl w:val="0"/>
              <w:spacing w:before="120"/>
              <w:rPr>
                <w:bCs/>
              </w:rPr>
            </w:pPr>
            <w:r w:rsidRPr="005A426A">
              <w:rPr>
                <w:bCs/>
              </w:rPr>
              <w:t>Gary</w:t>
            </w:r>
          </w:p>
        </w:tc>
        <w:tc>
          <w:tcPr>
            <w:tcW w:w="3870" w:type="dxa"/>
            <w:tcMar>
              <w:top w:w="0" w:type="dxa"/>
              <w:left w:w="108" w:type="dxa"/>
              <w:bottom w:w="0" w:type="dxa"/>
              <w:right w:w="108" w:type="dxa"/>
            </w:tcMar>
          </w:tcPr>
          <w:p w14:paraId="124F2B8C" w14:textId="4831FF72" w:rsidR="00C24193" w:rsidRPr="005A426A" w:rsidRDefault="00C24193" w:rsidP="005A426A">
            <w:pPr>
              <w:keepNext/>
              <w:keepLines/>
              <w:widowControl w:val="0"/>
              <w:tabs>
                <w:tab w:val="left" w:pos="2532"/>
              </w:tabs>
              <w:spacing w:before="120"/>
              <w:rPr>
                <w:bCs/>
              </w:rPr>
            </w:pPr>
            <w:r w:rsidRPr="005A426A">
              <w:rPr>
                <w:bCs/>
              </w:rPr>
              <w:t>Portland General Electric</w:t>
            </w:r>
            <w:r w:rsidR="005A426A">
              <w:rPr>
                <w:bCs/>
              </w:rPr>
              <w:tab/>
            </w:r>
          </w:p>
        </w:tc>
      </w:tr>
      <w:tr w:rsidR="005A426A" w:rsidRPr="00286562" w14:paraId="110844A4" w14:textId="77777777" w:rsidTr="001262CB">
        <w:tc>
          <w:tcPr>
            <w:tcW w:w="1998" w:type="dxa"/>
            <w:tcMar>
              <w:top w:w="0" w:type="dxa"/>
              <w:left w:w="108" w:type="dxa"/>
              <w:bottom w:w="0" w:type="dxa"/>
              <w:right w:w="108" w:type="dxa"/>
            </w:tcMar>
          </w:tcPr>
          <w:p w14:paraId="18B62A2C" w14:textId="60D762F4" w:rsidR="005A426A" w:rsidRPr="005A426A" w:rsidRDefault="005A426A" w:rsidP="00A55C8D">
            <w:pPr>
              <w:keepNext/>
              <w:keepLines/>
              <w:widowControl w:val="0"/>
              <w:spacing w:before="120"/>
              <w:rPr>
                <w:bCs/>
              </w:rPr>
            </w:pPr>
            <w:r>
              <w:rPr>
                <w:bCs/>
              </w:rPr>
              <w:t>Cheryl</w:t>
            </w:r>
          </w:p>
        </w:tc>
        <w:tc>
          <w:tcPr>
            <w:tcW w:w="3240" w:type="dxa"/>
            <w:tcMar>
              <w:top w:w="0" w:type="dxa"/>
              <w:left w:w="108" w:type="dxa"/>
              <w:bottom w:w="0" w:type="dxa"/>
              <w:right w:w="108" w:type="dxa"/>
            </w:tcMar>
          </w:tcPr>
          <w:p w14:paraId="1F7C96FA" w14:textId="7C9EC4F9" w:rsidR="005A426A" w:rsidRPr="005A426A" w:rsidRDefault="005A426A" w:rsidP="00A55C8D">
            <w:pPr>
              <w:keepNext/>
              <w:keepLines/>
              <w:widowControl w:val="0"/>
              <w:spacing w:before="120"/>
              <w:rPr>
                <w:bCs/>
              </w:rPr>
            </w:pPr>
            <w:proofErr w:type="spellStart"/>
            <w:r>
              <w:rPr>
                <w:bCs/>
              </w:rPr>
              <w:t>Mendrala</w:t>
            </w:r>
            <w:proofErr w:type="spellEnd"/>
          </w:p>
        </w:tc>
        <w:tc>
          <w:tcPr>
            <w:tcW w:w="3870" w:type="dxa"/>
            <w:tcMar>
              <w:top w:w="0" w:type="dxa"/>
              <w:left w:w="108" w:type="dxa"/>
              <w:bottom w:w="0" w:type="dxa"/>
              <w:right w:w="108" w:type="dxa"/>
            </w:tcMar>
          </w:tcPr>
          <w:p w14:paraId="09B8C91E" w14:textId="4C3FE987" w:rsidR="005A426A" w:rsidRPr="005A426A" w:rsidRDefault="005A426A" w:rsidP="005A426A">
            <w:pPr>
              <w:keepNext/>
              <w:keepLines/>
              <w:widowControl w:val="0"/>
              <w:tabs>
                <w:tab w:val="left" w:pos="2532"/>
              </w:tabs>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5A426A" w:rsidRDefault="00EA28F0" w:rsidP="00A55C8D">
            <w:pPr>
              <w:keepNext/>
              <w:keepLines/>
              <w:widowControl w:val="0"/>
              <w:spacing w:before="120"/>
              <w:rPr>
                <w:bCs/>
              </w:rPr>
            </w:pPr>
            <w:r w:rsidRPr="005A426A">
              <w:rPr>
                <w:bCs/>
              </w:rPr>
              <w:t>Joshua</w:t>
            </w:r>
          </w:p>
        </w:tc>
        <w:tc>
          <w:tcPr>
            <w:tcW w:w="3240" w:type="dxa"/>
            <w:tcMar>
              <w:top w:w="0" w:type="dxa"/>
              <w:left w:w="108" w:type="dxa"/>
              <w:bottom w:w="0" w:type="dxa"/>
              <w:right w:w="108" w:type="dxa"/>
            </w:tcMar>
          </w:tcPr>
          <w:p w14:paraId="117D0E94" w14:textId="5D650685" w:rsidR="00EA28F0" w:rsidRPr="005A426A" w:rsidRDefault="00EA28F0" w:rsidP="00A55C8D">
            <w:pPr>
              <w:keepNext/>
              <w:keepLines/>
              <w:widowControl w:val="0"/>
              <w:spacing w:before="120"/>
              <w:rPr>
                <w:bCs/>
              </w:rPr>
            </w:pPr>
            <w:r w:rsidRPr="005A426A">
              <w:rPr>
                <w:bCs/>
              </w:rPr>
              <w:t>Phillips</w:t>
            </w:r>
          </w:p>
        </w:tc>
        <w:tc>
          <w:tcPr>
            <w:tcW w:w="3870" w:type="dxa"/>
            <w:tcMar>
              <w:top w:w="0" w:type="dxa"/>
              <w:left w:w="108" w:type="dxa"/>
              <w:bottom w:w="0" w:type="dxa"/>
              <w:right w:w="108" w:type="dxa"/>
            </w:tcMar>
          </w:tcPr>
          <w:p w14:paraId="05A4F1ED" w14:textId="77DDEBE2" w:rsidR="00EA28F0" w:rsidRPr="005A426A" w:rsidRDefault="00EA28F0" w:rsidP="00A55C8D">
            <w:pPr>
              <w:keepNext/>
              <w:keepLines/>
              <w:widowControl w:val="0"/>
              <w:spacing w:before="120"/>
              <w:rPr>
                <w:bCs/>
              </w:rPr>
            </w:pPr>
            <w:r w:rsidRPr="005A426A">
              <w:rPr>
                <w:bCs/>
              </w:rPr>
              <w:t>S</w:t>
            </w:r>
            <w:r w:rsidR="00184FD1" w:rsidRPr="005A426A">
              <w:rPr>
                <w:bCs/>
              </w:rPr>
              <w:t xml:space="preserve">outhwest </w:t>
            </w:r>
            <w:r w:rsidRPr="005A426A">
              <w:rPr>
                <w:bCs/>
              </w:rPr>
              <w:t>P</w:t>
            </w:r>
            <w:r w:rsidR="00184FD1" w:rsidRPr="005A426A">
              <w:rPr>
                <w:bCs/>
              </w:rPr>
              <w:t xml:space="preserve">ower </w:t>
            </w:r>
            <w:r w:rsidRPr="005A426A">
              <w:rPr>
                <w:bCs/>
              </w:rPr>
              <w:t>P</w:t>
            </w:r>
            <w:r w:rsidR="00184FD1" w:rsidRPr="005A426A">
              <w:rPr>
                <w:bCs/>
              </w:rPr>
              <w:t>ool</w:t>
            </w:r>
          </w:p>
        </w:tc>
      </w:tr>
      <w:tr w:rsidR="005A426A" w:rsidRPr="00286562" w14:paraId="0150F044" w14:textId="77777777" w:rsidTr="001262CB">
        <w:tc>
          <w:tcPr>
            <w:tcW w:w="1998" w:type="dxa"/>
            <w:tcMar>
              <w:top w:w="0" w:type="dxa"/>
              <w:left w:w="108" w:type="dxa"/>
              <w:bottom w:w="0" w:type="dxa"/>
              <w:right w:w="108" w:type="dxa"/>
            </w:tcMar>
          </w:tcPr>
          <w:p w14:paraId="65B96FE4" w14:textId="2E08D511" w:rsidR="005A426A" w:rsidRPr="005A426A" w:rsidRDefault="005A426A" w:rsidP="00A55C8D">
            <w:pPr>
              <w:keepNext/>
              <w:keepLines/>
              <w:widowControl w:val="0"/>
              <w:spacing w:before="120"/>
              <w:rPr>
                <w:bCs/>
              </w:rPr>
            </w:pPr>
            <w:r>
              <w:rPr>
                <w:bCs/>
              </w:rPr>
              <w:t>Ken</w:t>
            </w:r>
          </w:p>
        </w:tc>
        <w:tc>
          <w:tcPr>
            <w:tcW w:w="3240" w:type="dxa"/>
            <w:tcMar>
              <w:top w:w="0" w:type="dxa"/>
              <w:left w:w="108" w:type="dxa"/>
              <w:bottom w:w="0" w:type="dxa"/>
              <w:right w:w="108" w:type="dxa"/>
            </w:tcMar>
          </w:tcPr>
          <w:p w14:paraId="16065845" w14:textId="43537742" w:rsidR="005A426A" w:rsidRPr="005A426A" w:rsidRDefault="005A426A" w:rsidP="00A55C8D">
            <w:pPr>
              <w:keepNext/>
              <w:keepLines/>
              <w:widowControl w:val="0"/>
              <w:spacing w:before="120"/>
              <w:rPr>
                <w:bCs/>
              </w:rPr>
            </w:pPr>
            <w:r>
              <w:rPr>
                <w:bCs/>
              </w:rPr>
              <w:t>Quimby</w:t>
            </w:r>
          </w:p>
        </w:tc>
        <w:tc>
          <w:tcPr>
            <w:tcW w:w="3870" w:type="dxa"/>
            <w:tcMar>
              <w:top w:w="0" w:type="dxa"/>
              <w:left w:w="108" w:type="dxa"/>
              <w:bottom w:w="0" w:type="dxa"/>
              <w:right w:w="108" w:type="dxa"/>
            </w:tcMar>
          </w:tcPr>
          <w:p w14:paraId="0C750BC3" w14:textId="30730921" w:rsidR="005A426A" w:rsidRPr="005A426A" w:rsidRDefault="005A426A" w:rsidP="00A55C8D">
            <w:pPr>
              <w:keepNext/>
              <w:keepLines/>
              <w:widowControl w:val="0"/>
              <w:spacing w:before="120"/>
              <w:rPr>
                <w:bCs/>
              </w:rPr>
            </w:pPr>
            <w:r>
              <w:rPr>
                <w:bCs/>
              </w:rPr>
              <w:t>Southwest Power Pool</w:t>
            </w:r>
          </w:p>
        </w:tc>
      </w:tr>
      <w:tr w:rsidR="00FA5423" w:rsidRPr="00286562" w14:paraId="446C18EF" w14:textId="77777777" w:rsidTr="001262CB">
        <w:tc>
          <w:tcPr>
            <w:tcW w:w="1998" w:type="dxa"/>
            <w:tcMar>
              <w:top w:w="0" w:type="dxa"/>
              <w:left w:w="108" w:type="dxa"/>
              <w:bottom w:w="0" w:type="dxa"/>
              <w:right w:w="108" w:type="dxa"/>
            </w:tcMar>
          </w:tcPr>
          <w:p w14:paraId="6BB8D868" w14:textId="3672FAAC" w:rsidR="00FA5423" w:rsidRPr="005A426A" w:rsidRDefault="00FA5423" w:rsidP="00A55C8D">
            <w:pPr>
              <w:keepNext/>
              <w:keepLines/>
              <w:widowControl w:val="0"/>
              <w:spacing w:before="120"/>
              <w:rPr>
                <w:bCs/>
              </w:rPr>
            </w:pPr>
            <w:r w:rsidRPr="005A426A">
              <w:rPr>
                <w:bCs/>
              </w:rPr>
              <w:t>Robin</w:t>
            </w:r>
          </w:p>
        </w:tc>
        <w:tc>
          <w:tcPr>
            <w:tcW w:w="3240" w:type="dxa"/>
            <w:tcMar>
              <w:top w:w="0" w:type="dxa"/>
              <w:left w:w="108" w:type="dxa"/>
              <w:bottom w:w="0" w:type="dxa"/>
              <w:right w:w="108" w:type="dxa"/>
            </w:tcMar>
          </w:tcPr>
          <w:p w14:paraId="2D52F1AA" w14:textId="303A2016" w:rsidR="00FA5423" w:rsidRPr="005A426A" w:rsidRDefault="00FA5423" w:rsidP="00A55C8D">
            <w:pPr>
              <w:keepNext/>
              <w:keepLines/>
              <w:widowControl w:val="0"/>
              <w:spacing w:before="120"/>
              <w:rPr>
                <w:bCs/>
              </w:rPr>
            </w:pPr>
            <w:proofErr w:type="spellStart"/>
            <w:r w:rsidRPr="005A426A">
              <w:rPr>
                <w:bCs/>
              </w:rPr>
              <w:t>Rebillard</w:t>
            </w:r>
            <w:proofErr w:type="spellEnd"/>
          </w:p>
        </w:tc>
        <w:tc>
          <w:tcPr>
            <w:tcW w:w="3870" w:type="dxa"/>
            <w:tcMar>
              <w:top w:w="0" w:type="dxa"/>
              <w:left w:w="108" w:type="dxa"/>
              <w:bottom w:w="0" w:type="dxa"/>
              <w:right w:w="108" w:type="dxa"/>
            </w:tcMar>
          </w:tcPr>
          <w:p w14:paraId="620DBF2D" w14:textId="506FE55F" w:rsidR="00FA5423" w:rsidRPr="005A426A" w:rsidRDefault="00FA5423" w:rsidP="00A55C8D">
            <w:pPr>
              <w:keepNext/>
              <w:keepLines/>
              <w:widowControl w:val="0"/>
              <w:spacing w:before="120"/>
              <w:rPr>
                <w:bCs/>
              </w:rPr>
            </w:pPr>
            <w:r w:rsidRPr="005A426A">
              <w:rPr>
                <w:bCs/>
              </w:rPr>
              <w:t>Manitoba Hydro</w:t>
            </w:r>
          </w:p>
        </w:tc>
      </w:tr>
      <w:tr w:rsidR="00C24193" w:rsidRPr="00286562" w14:paraId="2F81B734" w14:textId="77777777" w:rsidTr="001262CB">
        <w:tc>
          <w:tcPr>
            <w:tcW w:w="1998" w:type="dxa"/>
            <w:tcMar>
              <w:top w:w="0" w:type="dxa"/>
              <w:left w:w="108" w:type="dxa"/>
              <w:bottom w:w="0" w:type="dxa"/>
              <w:right w:w="108" w:type="dxa"/>
            </w:tcMar>
          </w:tcPr>
          <w:p w14:paraId="5B841BE6" w14:textId="696461AC" w:rsidR="00C24193" w:rsidRPr="005A426A" w:rsidRDefault="00C24193" w:rsidP="00A55C8D">
            <w:pPr>
              <w:keepNext/>
              <w:keepLines/>
              <w:widowControl w:val="0"/>
              <w:spacing w:before="120"/>
              <w:rPr>
                <w:bCs/>
              </w:rPr>
            </w:pPr>
            <w:r w:rsidRPr="005A426A">
              <w:rPr>
                <w:bCs/>
              </w:rPr>
              <w:t>Ron</w:t>
            </w:r>
          </w:p>
        </w:tc>
        <w:tc>
          <w:tcPr>
            <w:tcW w:w="3240" w:type="dxa"/>
            <w:tcMar>
              <w:top w:w="0" w:type="dxa"/>
              <w:left w:w="108" w:type="dxa"/>
              <w:bottom w:w="0" w:type="dxa"/>
              <w:right w:w="108" w:type="dxa"/>
            </w:tcMar>
          </w:tcPr>
          <w:p w14:paraId="762F2496" w14:textId="6CB4C4D1" w:rsidR="00C24193" w:rsidRPr="005A426A" w:rsidRDefault="00C24193" w:rsidP="00A55C8D">
            <w:pPr>
              <w:keepNext/>
              <w:keepLines/>
              <w:widowControl w:val="0"/>
              <w:spacing w:before="120"/>
              <w:rPr>
                <w:bCs/>
              </w:rPr>
            </w:pPr>
            <w:r w:rsidRPr="005A426A">
              <w:rPr>
                <w:bCs/>
              </w:rPr>
              <w:t>Robinson</w:t>
            </w:r>
          </w:p>
        </w:tc>
        <w:tc>
          <w:tcPr>
            <w:tcW w:w="3870" w:type="dxa"/>
            <w:tcMar>
              <w:top w:w="0" w:type="dxa"/>
              <w:left w:w="108" w:type="dxa"/>
              <w:bottom w:w="0" w:type="dxa"/>
              <w:right w:w="108" w:type="dxa"/>
            </w:tcMar>
          </w:tcPr>
          <w:p w14:paraId="099B8D20" w14:textId="6FAFA255" w:rsidR="00C24193" w:rsidRPr="005A426A" w:rsidRDefault="00C24193" w:rsidP="00A55C8D">
            <w:pPr>
              <w:keepNext/>
              <w:keepLines/>
              <w:widowControl w:val="0"/>
              <w:spacing w:before="120"/>
              <w:rPr>
                <w:bCs/>
              </w:rPr>
            </w:pPr>
            <w:r w:rsidRPr="005A426A">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5A426A" w:rsidRDefault="00121237" w:rsidP="00A55C8D">
            <w:pPr>
              <w:keepNext/>
              <w:keepLines/>
              <w:widowControl w:val="0"/>
              <w:spacing w:before="120"/>
              <w:rPr>
                <w:bCs/>
              </w:rPr>
            </w:pPr>
            <w:r w:rsidRPr="005A426A">
              <w:rPr>
                <w:bCs/>
              </w:rPr>
              <w:t>Lisa</w:t>
            </w:r>
          </w:p>
        </w:tc>
        <w:tc>
          <w:tcPr>
            <w:tcW w:w="3240" w:type="dxa"/>
            <w:tcMar>
              <w:top w:w="0" w:type="dxa"/>
              <w:left w:w="108" w:type="dxa"/>
              <w:bottom w:w="0" w:type="dxa"/>
              <w:right w:w="108" w:type="dxa"/>
            </w:tcMar>
          </w:tcPr>
          <w:p w14:paraId="6C2E6439" w14:textId="603856A5" w:rsidR="00AD3870" w:rsidRPr="005A426A" w:rsidRDefault="00121237" w:rsidP="00A55C8D">
            <w:pPr>
              <w:keepNext/>
              <w:keepLines/>
              <w:widowControl w:val="0"/>
              <w:spacing w:before="120"/>
              <w:rPr>
                <w:bCs/>
              </w:rPr>
            </w:pPr>
            <w:r w:rsidRPr="005A426A">
              <w:rPr>
                <w:bCs/>
              </w:rPr>
              <w:t>Sieg</w:t>
            </w:r>
          </w:p>
        </w:tc>
        <w:tc>
          <w:tcPr>
            <w:tcW w:w="3870" w:type="dxa"/>
            <w:tcMar>
              <w:top w:w="0" w:type="dxa"/>
              <w:left w:w="108" w:type="dxa"/>
              <w:bottom w:w="0" w:type="dxa"/>
              <w:right w:w="108" w:type="dxa"/>
            </w:tcMar>
          </w:tcPr>
          <w:p w14:paraId="4AC7CD13" w14:textId="7E0C90AC" w:rsidR="00AD3870" w:rsidRPr="005A426A" w:rsidRDefault="00121237" w:rsidP="00A55C8D">
            <w:pPr>
              <w:keepNext/>
              <w:keepLines/>
              <w:widowControl w:val="0"/>
              <w:spacing w:before="120"/>
              <w:rPr>
                <w:bCs/>
              </w:rPr>
            </w:pPr>
            <w:r w:rsidRPr="005A426A">
              <w:rPr>
                <w:bCs/>
              </w:rPr>
              <w:t>LG&amp;E and KU Services</w:t>
            </w:r>
          </w:p>
        </w:tc>
      </w:tr>
      <w:tr w:rsidR="00FE1840" w:rsidRPr="00286562" w14:paraId="6A14DD5F" w14:textId="77777777" w:rsidTr="001262CB">
        <w:tc>
          <w:tcPr>
            <w:tcW w:w="1998" w:type="dxa"/>
            <w:tcMar>
              <w:top w:w="0" w:type="dxa"/>
              <w:left w:w="108" w:type="dxa"/>
              <w:bottom w:w="0" w:type="dxa"/>
              <w:right w:w="108" w:type="dxa"/>
            </w:tcMar>
          </w:tcPr>
          <w:p w14:paraId="178F2046" w14:textId="1CCFB490" w:rsidR="00FE1840" w:rsidRPr="005A426A" w:rsidRDefault="00FE1840" w:rsidP="00A55C8D">
            <w:pPr>
              <w:keepNext/>
              <w:keepLines/>
              <w:widowControl w:val="0"/>
              <w:spacing w:before="120"/>
              <w:rPr>
                <w:bCs/>
              </w:rPr>
            </w:pPr>
            <w:r w:rsidRPr="005A426A">
              <w:rPr>
                <w:bCs/>
              </w:rPr>
              <w:t>Danielle</w:t>
            </w:r>
          </w:p>
        </w:tc>
        <w:tc>
          <w:tcPr>
            <w:tcW w:w="3240" w:type="dxa"/>
            <w:tcMar>
              <w:top w:w="0" w:type="dxa"/>
              <w:left w:w="108" w:type="dxa"/>
              <w:bottom w:w="0" w:type="dxa"/>
              <w:right w:w="108" w:type="dxa"/>
            </w:tcMar>
          </w:tcPr>
          <w:p w14:paraId="68D5CC8F" w14:textId="0CE29C46" w:rsidR="00FE1840" w:rsidRPr="005A426A" w:rsidRDefault="00FE1840" w:rsidP="00A55C8D">
            <w:pPr>
              <w:keepNext/>
              <w:keepLines/>
              <w:widowControl w:val="0"/>
              <w:spacing w:before="120"/>
              <w:rPr>
                <w:bCs/>
              </w:rPr>
            </w:pPr>
            <w:r w:rsidRPr="005A426A">
              <w:rPr>
                <w:bCs/>
              </w:rPr>
              <w:t>Smith</w:t>
            </w:r>
          </w:p>
        </w:tc>
        <w:tc>
          <w:tcPr>
            <w:tcW w:w="3870" w:type="dxa"/>
            <w:tcMar>
              <w:top w:w="0" w:type="dxa"/>
              <w:left w:w="108" w:type="dxa"/>
              <w:bottom w:w="0" w:type="dxa"/>
              <w:right w:w="108" w:type="dxa"/>
            </w:tcMar>
          </w:tcPr>
          <w:p w14:paraId="6D156D74" w14:textId="4981CA08" w:rsidR="00FE1840" w:rsidRPr="005A426A" w:rsidRDefault="00FE1840" w:rsidP="00A55C8D">
            <w:pPr>
              <w:keepNext/>
              <w:keepLines/>
              <w:widowControl w:val="0"/>
              <w:spacing w:before="120"/>
              <w:rPr>
                <w:bCs/>
              </w:rPr>
            </w:pPr>
            <w:r w:rsidRPr="005A426A">
              <w:rPr>
                <w:bCs/>
              </w:rPr>
              <w:t>SMUD</w:t>
            </w:r>
          </w:p>
        </w:tc>
      </w:tr>
      <w:tr w:rsidR="006C3A3B" w:rsidRPr="00286562" w14:paraId="2D2E232B" w14:textId="77777777" w:rsidTr="001262CB">
        <w:tc>
          <w:tcPr>
            <w:tcW w:w="1998" w:type="dxa"/>
            <w:tcMar>
              <w:top w:w="0" w:type="dxa"/>
              <w:left w:w="108" w:type="dxa"/>
              <w:bottom w:w="0" w:type="dxa"/>
              <w:right w:w="108" w:type="dxa"/>
            </w:tcMar>
          </w:tcPr>
          <w:p w14:paraId="6400649A" w14:textId="417B1394" w:rsidR="006C3A3B" w:rsidRPr="005A426A" w:rsidRDefault="006C3A3B" w:rsidP="00A55C8D">
            <w:pPr>
              <w:keepNext/>
              <w:keepLines/>
              <w:widowControl w:val="0"/>
              <w:spacing w:before="120"/>
              <w:rPr>
                <w:bCs/>
              </w:rPr>
            </w:pPr>
            <w:r w:rsidRPr="005A426A">
              <w:rPr>
                <w:bCs/>
              </w:rPr>
              <w:t>Scott</w:t>
            </w:r>
          </w:p>
        </w:tc>
        <w:tc>
          <w:tcPr>
            <w:tcW w:w="3240" w:type="dxa"/>
            <w:tcMar>
              <w:top w:w="0" w:type="dxa"/>
              <w:left w:w="108" w:type="dxa"/>
              <w:bottom w:w="0" w:type="dxa"/>
              <w:right w:w="108" w:type="dxa"/>
            </w:tcMar>
          </w:tcPr>
          <w:p w14:paraId="7E20576F" w14:textId="684AB6DC" w:rsidR="006C3A3B" w:rsidRPr="005A426A" w:rsidRDefault="006C3A3B" w:rsidP="00A55C8D">
            <w:pPr>
              <w:keepNext/>
              <w:keepLines/>
              <w:widowControl w:val="0"/>
              <w:spacing w:before="120"/>
              <w:rPr>
                <w:bCs/>
              </w:rPr>
            </w:pPr>
            <w:r w:rsidRPr="005A426A">
              <w:rPr>
                <w:bCs/>
              </w:rPr>
              <w:t>Stewart</w:t>
            </w:r>
          </w:p>
        </w:tc>
        <w:tc>
          <w:tcPr>
            <w:tcW w:w="3870" w:type="dxa"/>
            <w:tcMar>
              <w:top w:w="0" w:type="dxa"/>
              <w:left w:w="108" w:type="dxa"/>
              <w:bottom w:w="0" w:type="dxa"/>
              <w:right w:w="108" w:type="dxa"/>
            </w:tcMar>
          </w:tcPr>
          <w:p w14:paraId="39C74851" w14:textId="1174C9AD" w:rsidR="006C3A3B" w:rsidRPr="005A426A" w:rsidRDefault="006C3A3B" w:rsidP="00A55C8D">
            <w:pPr>
              <w:keepNext/>
              <w:keepLines/>
              <w:widowControl w:val="0"/>
              <w:spacing w:before="120"/>
              <w:rPr>
                <w:bCs/>
              </w:rPr>
            </w:pPr>
            <w:r w:rsidRPr="005A426A">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5A426A" w:rsidRDefault="00BE24C3" w:rsidP="00A55C8D">
            <w:pPr>
              <w:keepNext/>
              <w:keepLines/>
              <w:widowControl w:val="0"/>
              <w:spacing w:before="120"/>
              <w:rPr>
                <w:bCs/>
              </w:rPr>
            </w:pPr>
            <w:r w:rsidRPr="005A426A">
              <w:rPr>
                <w:bCs/>
              </w:rPr>
              <w:t>Caroline</w:t>
            </w:r>
          </w:p>
        </w:tc>
        <w:tc>
          <w:tcPr>
            <w:tcW w:w="3240" w:type="dxa"/>
            <w:tcMar>
              <w:top w:w="0" w:type="dxa"/>
              <w:left w:w="108" w:type="dxa"/>
              <w:bottom w:w="0" w:type="dxa"/>
              <w:right w:w="108" w:type="dxa"/>
            </w:tcMar>
            <w:hideMark/>
          </w:tcPr>
          <w:p w14:paraId="3166FE36" w14:textId="77777777" w:rsidR="00BE24C3" w:rsidRPr="005A426A" w:rsidRDefault="00BE24C3" w:rsidP="00A55C8D">
            <w:pPr>
              <w:keepNext/>
              <w:keepLines/>
              <w:widowControl w:val="0"/>
              <w:spacing w:before="120"/>
              <w:rPr>
                <w:bCs/>
              </w:rPr>
            </w:pPr>
            <w:r w:rsidRPr="005A426A">
              <w:rPr>
                <w:bCs/>
              </w:rPr>
              <w:t>Trum</w:t>
            </w:r>
          </w:p>
        </w:tc>
        <w:tc>
          <w:tcPr>
            <w:tcW w:w="3870" w:type="dxa"/>
            <w:tcMar>
              <w:top w:w="0" w:type="dxa"/>
              <w:left w:w="108" w:type="dxa"/>
              <w:bottom w:w="0" w:type="dxa"/>
              <w:right w:w="108" w:type="dxa"/>
            </w:tcMar>
            <w:hideMark/>
          </w:tcPr>
          <w:p w14:paraId="57332193" w14:textId="77777777" w:rsidR="00BE24C3" w:rsidRPr="005A426A" w:rsidRDefault="00BE24C3" w:rsidP="00A55C8D">
            <w:pPr>
              <w:keepNext/>
              <w:keepLines/>
              <w:widowControl w:val="0"/>
              <w:spacing w:before="120"/>
              <w:rPr>
                <w:bCs/>
              </w:rPr>
            </w:pPr>
            <w:r w:rsidRPr="005A426A">
              <w:rPr>
                <w:bCs/>
              </w:rPr>
              <w:t>NAESB</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5A426A" w:rsidRDefault="00FA5423" w:rsidP="00A55C8D">
            <w:pPr>
              <w:keepNext/>
              <w:keepLines/>
              <w:widowControl w:val="0"/>
              <w:spacing w:before="120"/>
              <w:rPr>
                <w:bCs/>
              </w:rPr>
            </w:pPr>
            <w:r w:rsidRPr="005A426A">
              <w:rPr>
                <w:bCs/>
              </w:rPr>
              <w:t>Steve</w:t>
            </w:r>
          </w:p>
        </w:tc>
        <w:tc>
          <w:tcPr>
            <w:tcW w:w="3240" w:type="dxa"/>
            <w:tcMar>
              <w:top w:w="0" w:type="dxa"/>
              <w:left w:w="108" w:type="dxa"/>
              <w:bottom w:w="0" w:type="dxa"/>
              <w:right w:w="108" w:type="dxa"/>
            </w:tcMar>
          </w:tcPr>
          <w:p w14:paraId="11BB4B5E" w14:textId="6C49FD61" w:rsidR="00FA5423" w:rsidRPr="005A426A" w:rsidRDefault="00FA5423" w:rsidP="00A55C8D">
            <w:pPr>
              <w:keepNext/>
              <w:keepLines/>
              <w:widowControl w:val="0"/>
              <w:spacing w:before="120"/>
              <w:rPr>
                <w:bCs/>
              </w:rPr>
            </w:pPr>
            <w:r w:rsidRPr="005A426A">
              <w:rPr>
                <w:bCs/>
              </w:rPr>
              <w:t>Widergr</w:t>
            </w:r>
            <w:r w:rsidR="00402A50" w:rsidRPr="005A426A">
              <w:rPr>
                <w:bCs/>
              </w:rPr>
              <w:t>e</w:t>
            </w:r>
            <w:r w:rsidRPr="005A426A">
              <w:rPr>
                <w:bCs/>
              </w:rPr>
              <w:t>n</w:t>
            </w:r>
          </w:p>
        </w:tc>
        <w:tc>
          <w:tcPr>
            <w:tcW w:w="3870" w:type="dxa"/>
            <w:tcMar>
              <w:top w:w="0" w:type="dxa"/>
              <w:left w:w="108" w:type="dxa"/>
              <w:bottom w:w="0" w:type="dxa"/>
              <w:right w:w="108" w:type="dxa"/>
            </w:tcMar>
          </w:tcPr>
          <w:p w14:paraId="59470660" w14:textId="44E4659B" w:rsidR="00FA5423" w:rsidRPr="005A426A" w:rsidRDefault="00FA5423" w:rsidP="00A55C8D">
            <w:pPr>
              <w:keepNext/>
              <w:keepLines/>
              <w:widowControl w:val="0"/>
              <w:spacing w:before="120"/>
              <w:rPr>
                <w:bCs/>
              </w:rPr>
            </w:pPr>
            <w:r w:rsidRPr="005A426A">
              <w:rPr>
                <w:bCs/>
              </w:rPr>
              <w:t>Pacific Northwest National Laboratory</w:t>
            </w:r>
          </w:p>
        </w:tc>
      </w:tr>
      <w:tr w:rsidR="00FE1840" w:rsidRPr="00286562" w14:paraId="427DC759" w14:textId="77777777" w:rsidTr="001262CB">
        <w:tc>
          <w:tcPr>
            <w:tcW w:w="1998" w:type="dxa"/>
            <w:tcMar>
              <w:top w:w="0" w:type="dxa"/>
              <w:left w:w="108" w:type="dxa"/>
              <w:bottom w:w="0" w:type="dxa"/>
              <w:right w:w="108" w:type="dxa"/>
            </w:tcMar>
          </w:tcPr>
          <w:p w14:paraId="63CD52FB" w14:textId="35031F6A" w:rsidR="00FE1840" w:rsidRPr="005A426A" w:rsidRDefault="00FE1840" w:rsidP="00A55C8D">
            <w:pPr>
              <w:keepNext/>
              <w:keepLines/>
              <w:widowControl w:val="0"/>
              <w:spacing w:before="120"/>
              <w:rPr>
                <w:bCs/>
              </w:rPr>
            </w:pPr>
            <w:r w:rsidRPr="005A426A">
              <w:rPr>
                <w:bCs/>
              </w:rPr>
              <w:t xml:space="preserve">JT </w:t>
            </w:r>
          </w:p>
        </w:tc>
        <w:tc>
          <w:tcPr>
            <w:tcW w:w="3240" w:type="dxa"/>
            <w:tcMar>
              <w:top w:w="0" w:type="dxa"/>
              <w:left w:w="108" w:type="dxa"/>
              <w:bottom w:w="0" w:type="dxa"/>
              <w:right w:w="108" w:type="dxa"/>
            </w:tcMar>
          </w:tcPr>
          <w:p w14:paraId="56F557CD" w14:textId="4D0D9BD2" w:rsidR="00FE1840" w:rsidRPr="005A426A" w:rsidRDefault="00FE1840" w:rsidP="00A55C8D">
            <w:pPr>
              <w:keepNext/>
              <w:keepLines/>
              <w:widowControl w:val="0"/>
              <w:spacing w:before="120"/>
              <w:rPr>
                <w:bCs/>
              </w:rPr>
            </w:pPr>
            <w:r w:rsidRPr="005A426A">
              <w:rPr>
                <w:bCs/>
              </w:rPr>
              <w:t>Wood</w:t>
            </w:r>
          </w:p>
        </w:tc>
        <w:tc>
          <w:tcPr>
            <w:tcW w:w="3870" w:type="dxa"/>
            <w:tcMar>
              <w:top w:w="0" w:type="dxa"/>
              <w:left w:w="108" w:type="dxa"/>
              <w:bottom w:w="0" w:type="dxa"/>
              <w:right w:w="108" w:type="dxa"/>
            </w:tcMar>
          </w:tcPr>
          <w:p w14:paraId="1D362D8A" w14:textId="66238F22" w:rsidR="00FE1840" w:rsidRPr="005A426A" w:rsidRDefault="00FE1840" w:rsidP="00A55C8D">
            <w:pPr>
              <w:keepNext/>
              <w:keepLines/>
              <w:widowControl w:val="0"/>
              <w:spacing w:before="120"/>
              <w:rPr>
                <w:bCs/>
              </w:rPr>
            </w:pPr>
            <w:r w:rsidRPr="005A426A">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7"/>
      <w:footerReference w:type="default" r:id="rId1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93B" w14:textId="77777777" w:rsidR="005056CF" w:rsidRDefault="005056CF">
      <w:r>
        <w:separator/>
      </w:r>
    </w:p>
  </w:endnote>
  <w:endnote w:type="continuationSeparator" w:id="0">
    <w:p w14:paraId="330C9E49" w14:textId="77777777" w:rsidR="005056CF" w:rsidRDefault="0050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3A5A0FFE"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1C3FCA">
      <w:rPr>
        <w:sz w:val="18"/>
        <w:szCs w:val="18"/>
      </w:rPr>
      <w:t>Final</w:t>
    </w:r>
    <w:r>
      <w:rPr>
        <w:sz w:val="18"/>
        <w:szCs w:val="18"/>
      </w:rPr>
      <w:t xml:space="preserve"> Meeting Minutes </w:t>
    </w:r>
    <w:r w:rsidRPr="00176FB9">
      <w:rPr>
        <w:sz w:val="18"/>
        <w:szCs w:val="18"/>
      </w:rPr>
      <w:t>–</w:t>
    </w:r>
    <w:r w:rsidR="0038023A">
      <w:rPr>
        <w:sz w:val="18"/>
        <w:szCs w:val="18"/>
      </w:rPr>
      <w:t xml:space="preserve"> </w:t>
    </w:r>
    <w:r w:rsidR="005A426A">
      <w:rPr>
        <w:sz w:val="18"/>
        <w:szCs w:val="18"/>
      </w:rPr>
      <w:t>January 4, 2023</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2746" w14:textId="77777777" w:rsidR="005056CF" w:rsidRDefault="005056CF">
      <w:r>
        <w:separator/>
      </w:r>
    </w:p>
  </w:footnote>
  <w:footnote w:type="continuationSeparator" w:id="0">
    <w:p w14:paraId="5E2FBACB" w14:textId="77777777" w:rsidR="005056CF" w:rsidRDefault="0050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7B7"/>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3FCA"/>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0FB4"/>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6CF"/>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2A1"/>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26A"/>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1B3"/>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811"/>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29E0"/>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5C3"/>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3F4"/>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120622fm.docx" TargetMode="External"/><Relationship Id="rId13" Type="http://schemas.openxmlformats.org/officeDocument/2006/relationships/hyperlink" Target="https://naesb.org/member_login_check.asp?doc=weq_bps103122reqcom_ieso_isone_nyiso_miso_spp.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bps103122reqcom_miso_lat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member_login_check.asp?doc=weq_bps010423a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103122reqcom_soco.docx" TargetMode="External"/><Relationship Id="rId5" Type="http://schemas.openxmlformats.org/officeDocument/2006/relationships/webSettings" Target="webSettings.xml"/><Relationship Id="rId15" Type="http://schemas.openxmlformats.org/officeDocument/2006/relationships/hyperlink" Target="https://naesb.org/member_login_check.asp?doc=weq_bps120622reqcom_w1.docx" TargetMode="External"/><Relationship Id="rId10" Type="http://schemas.openxmlformats.org/officeDocument/2006/relationships/hyperlink" Target="https://naesb.org/member_login_check.asp?doc=weq_bps103122reqcom_nr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esb.org/member_login_check.asp?doc=weq_bps103122reqcom_wapa.docx" TargetMode="External"/><Relationship Id="rId14" Type="http://schemas.openxmlformats.org/officeDocument/2006/relationships/hyperlink" Target="https://naesb.org/member_login_check.asp?doc=weq_bps103122reqcom_gmlc.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8359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2023-01-25T22:29:00Z</dcterms:created>
  <dcterms:modified xsi:type="dcterms:W3CDTF">2023-01-25T22:29:00Z</dcterms:modified>
</cp:coreProperties>
</file>