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540"/>
        <w:gridCol w:w="540"/>
        <w:gridCol w:w="5040"/>
        <w:gridCol w:w="1170"/>
        <w:gridCol w:w="1620"/>
      </w:tblGrid>
      <w:tr w:rsidR="002C55F4">
        <w:trPr>
          <w:cantSplit/>
          <w:tblHeader/>
        </w:trPr>
        <w:tc>
          <w:tcPr>
            <w:tcW w:w="9630" w:type="dxa"/>
            <w:gridSpan w:val="7"/>
            <w:tcBorders>
              <w:bottom w:val="single" w:sz="4" w:space="0" w:color="auto"/>
            </w:tcBorders>
          </w:tcPr>
          <w:p w:rsidR="00733E70" w:rsidRDefault="002C55F4" w:rsidP="00471CCC">
            <w:pPr>
              <w:pStyle w:val="TableText"/>
              <w:jc w:val="center"/>
              <w:rPr>
                <w:rFonts w:ascii="Times New Roman" w:hAnsi="Times New Roman"/>
                <w:b/>
                <w:sz w:val="18"/>
                <w:szCs w:val="18"/>
              </w:rPr>
            </w:pPr>
            <w:bookmarkStart w:id="0" w:name="OLE_LINK3"/>
            <w:bookmarkStart w:id="1" w:name="OLE_LINK4"/>
            <w:r>
              <w:rPr>
                <w:rFonts w:ascii="Times New Roman" w:hAnsi="Times New Roman"/>
                <w:b/>
                <w:sz w:val="18"/>
                <w:szCs w:val="18"/>
              </w:rPr>
              <w:t>NORTH AMERICAN ENERGY STANDARDS BOARD</w:t>
            </w:r>
            <w:bookmarkStart w:id="2" w:name="OLE_LINK1"/>
            <w:bookmarkStart w:id="3" w:name="OLE_LINK2"/>
            <w:r>
              <w:rPr>
                <w:rFonts w:ascii="Times New Roman" w:hAnsi="Times New Roman"/>
                <w:b/>
                <w:sz w:val="18"/>
                <w:szCs w:val="18"/>
              </w:rPr>
              <w:br/>
            </w:r>
            <w:r w:rsidR="001E11CB">
              <w:rPr>
                <w:rFonts w:ascii="Times New Roman" w:hAnsi="Times New Roman"/>
                <w:b/>
                <w:sz w:val="18"/>
                <w:szCs w:val="18"/>
              </w:rPr>
              <w:t>201</w:t>
            </w:r>
            <w:r w:rsidR="00471CCC">
              <w:rPr>
                <w:rFonts w:ascii="Times New Roman" w:hAnsi="Times New Roman"/>
                <w:b/>
                <w:sz w:val="18"/>
                <w:szCs w:val="18"/>
              </w:rPr>
              <w:t>6</w:t>
            </w:r>
            <w:r w:rsidR="001E11CB">
              <w:rPr>
                <w:rFonts w:ascii="Times New Roman" w:hAnsi="Times New Roman"/>
                <w:b/>
                <w:sz w:val="18"/>
                <w:szCs w:val="18"/>
              </w:rPr>
              <w:t xml:space="preserve"> </w:t>
            </w:r>
            <w:r>
              <w:rPr>
                <w:rFonts w:ascii="Times New Roman" w:hAnsi="Times New Roman"/>
                <w:b/>
                <w:sz w:val="18"/>
                <w:szCs w:val="18"/>
              </w:rPr>
              <w:t xml:space="preserve">ANNUAL PLAN for the WHOLESALE ELECTRIC QUADRANT </w:t>
            </w:r>
            <w:r>
              <w:rPr>
                <w:rFonts w:ascii="Times New Roman" w:hAnsi="Times New Roman"/>
                <w:b/>
                <w:sz w:val="18"/>
                <w:szCs w:val="18"/>
              </w:rPr>
              <w:br/>
            </w:r>
            <w:bookmarkEnd w:id="0"/>
            <w:bookmarkEnd w:id="1"/>
            <w:bookmarkEnd w:id="2"/>
            <w:bookmarkEnd w:id="3"/>
            <w:r w:rsidR="00100670">
              <w:rPr>
                <w:rFonts w:ascii="Times New Roman" w:hAnsi="Times New Roman"/>
                <w:b/>
                <w:sz w:val="18"/>
                <w:szCs w:val="18"/>
              </w:rPr>
              <w:t xml:space="preserve">Adopted  by the </w:t>
            </w:r>
            <w:r w:rsidR="00471CCC">
              <w:rPr>
                <w:rFonts w:ascii="Times New Roman" w:hAnsi="Times New Roman"/>
                <w:b/>
                <w:sz w:val="18"/>
                <w:szCs w:val="18"/>
              </w:rPr>
              <w:t>Annual Plan Subcommittee</w:t>
            </w:r>
            <w:r w:rsidR="00F9193F">
              <w:rPr>
                <w:rFonts w:ascii="Times New Roman" w:hAnsi="Times New Roman"/>
                <w:b/>
                <w:sz w:val="18"/>
                <w:szCs w:val="18"/>
              </w:rPr>
              <w:t xml:space="preserve"> on </w:t>
            </w:r>
            <w:r w:rsidR="00471CCC">
              <w:rPr>
                <w:rFonts w:ascii="Times New Roman" w:hAnsi="Times New Roman"/>
                <w:b/>
                <w:sz w:val="18"/>
                <w:szCs w:val="18"/>
              </w:rPr>
              <w:t>October 16</w:t>
            </w:r>
            <w:r w:rsidR="00235A38">
              <w:rPr>
                <w:rFonts w:ascii="Times New Roman" w:hAnsi="Times New Roman"/>
                <w:b/>
                <w:sz w:val="18"/>
                <w:szCs w:val="18"/>
              </w:rPr>
              <w:t>, 2015</w:t>
            </w:r>
          </w:p>
        </w:tc>
      </w:tr>
      <w:tr w:rsidR="002C55F4">
        <w:trPr>
          <w:cantSplit/>
          <w:tblHeader/>
        </w:trPr>
        <w:tc>
          <w:tcPr>
            <w:tcW w:w="360" w:type="dxa"/>
            <w:tcBorders>
              <w:top w:val="single" w:sz="4" w:space="0" w:color="auto"/>
              <w:bottom w:val="single" w:sz="4" w:space="0" w:color="auto"/>
            </w:tcBorders>
          </w:tcPr>
          <w:p w:rsidR="002C55F4" w:rsidRDefault="002C55F4">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trPr>
          <w:cantSplit/>
        </w:trPr>
        <w:tc>
          <w:tcPr>
            <w:tcW w:w="360" w:type="dxa"/>
            <w:tcBorders>
              <w:top w:val="single" w:sz="4" w:space="0" w:color="auto"/>
            </w:tcBorders>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r w:rsidR="001E11CB">
              <w:rPr>
                <w:rFonts w:ascii="Times New Roman" w:hAnsi="Times New Roman"/>
                <w:b/>
                <w:color w:val="auto"/>
                <w:sz w:val="18"/>
                <w:szCs w:val="18"/>
              </w:rPr>
              <w:t>.</w:t>
            </w:r>
          </w:p>
        </w:tc>
        <w:tc>
          <w:tcPr>
            <w:tcW w:w="9270" w:type="dxa"/>
            <w:gridSpan w:val="6"/>
            <w:tcBorders>
              <w:top w:val="single" w:sz="4" w:space="0" w:color="auto"/>
            </w:tcBorders>
          </w:tcPr>
          <w:p w:rsidR="002C55F4" w:rsidRDefault="002C55F4">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Develop business practices standards as needed to complement reliability standards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20" w:type="dxa"/>
            <w:gridSpan w:val="3"/>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r>
              <w:rPr>
                <w:rStyle w:val="FootnoteReference"/>
                <w:rFonts w:ascii="Times New Roman" w:hAnsi="Times New Roman"/>
                <w:sz w:val="18"/>
                <w:szCs w:val="18"/>
              </w:rPr>
              <w:footnoteReference w:id="1"/>
            </w:r>
          </w:p>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 xml:space="preserve">Note: Consideration should be given to provisional item </w:t>
            </w:r>
            <w:r w:rsidR="00356D3A">
              <w:rPr>
                <w:rFonts w:ascii="Times New Roman" w:hAnsi="Times New Roman"/>
                <w:sz w:val="18"/>
                <w:szCs w:val="18"/>
              </w:rPr>
              <w:t>2.a</w:t>
            </w:r>
            <w:r>
              <w:rPr>
                <w:rFonts w:ascii="Times New Roman" w:hAnsi="Times New Roman"/>
                <w:sz w:val="18"/>
                <w:szCs w:val="18"/>
              </w:rPr>
              <w:t xml:space="preserve">.  Work is being coordinated with the IDC </w:t>
            </w:r>
            <w:r w:rsidR="007B0527">
              <w:rPr>
                <w:rFonts w:ascii="Times New Roman" w:hAnsi="Times New Roman"/>
                <w:sz w:val="18"/>
                <w:szCs w:val="18"/>
              </w:rPr>
              <w:t>Association</w:t>
            </w:r>
            <w:r>
              <w:rPr>
                <w:rFonts w:ascii="Times New Roman" w:hAnsi="Times New Roman"/>
                <w:sz w:val="18"/>
                <w:szCs w:val="18"/>
              </w:rPr>
              <w:t>.</w:t>
            </w:r>
          </w:p>
          <w:p w:rsidR="002C55F4" w:rsidRDefault="002C55F4" w:rsidP="0067680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rsidP="005052EE">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2"/>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Disturbance Control Standard (DCS) (BAL-002) Coordination with NERC </w:t>
            </w:r>
            <w:hyperlink r:id="rId9" w:history="1">
              <w:r>
                <w:rPr>
                  <w:rStyle w:val="Hyperlink"/>
                  <w:rFonts w:ascii="Times New Roman" w:hAnsi="Times New Roman"/>
                  <w:sz w:val="18"/>
                  <w:szCs w:val="18"/>
                </w:rPr>
                <w:t>Project 2010-14.1 Phase 1 of Balancing Authority Reliability-based Controls: Reserves</w:t>
              </w:r>
            </w:hyperlink>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Monitor</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BPS/TIMTF</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10" w:history="1">
              <w:r w:rsidRPr="00702205">
                <w:rPr>
                  <w:rStyle w:val="Hyperlink"/>
                  <w:rFonts w:ascii="Times New Roman" w:hAnsi="Times New Roman"/>
                  <w:sz w:val="18"/>
                  <w:szCs w:val="18"/>
                </w:rPr>
                <w:t>R11020</w:t>
              </w:r>
            </w:hyperlink>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9F0AF5">
        <w:tc>
          <w:tcPr>
            <w:tcW w:w="360" w:type="dxa"/>
          </w:tcPr>
          <w:p w:rsidR="002C55F4" w:rsidRDefault="002C55F4" w:rsidP="00235A38">
            <w:pPr>
              <w:pStyle w:val="TableText"/>
              <w:spacing w:before="40" w:after="40"/>
              <w:ind w:left="144"/>
              <w:rPr>
                <w:rFonts w:ascii="Times New Roman" w:hAnsi="Times New Roman"/>
                <w:color w:val="auto"/>
                <w:sz w:val="18"/>
                <w:szCs w:val="18"/>
                <w:highlight w:val="yellow"/>
              </w:rPr>
            </w:pPr>
          </w:p>
        </w:tc>
        <w:tc>
          <w:tcPr>
            <w:tcW w:w="360" w:type="dxa"/>
          </w:tcPr>
          <w:p w:rsidR="002C55F4" w:rsidRDefault="00831144" w:rsidP="00235A38">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r w:rsidR="002C55F4">
              <w:rPr>
                <w:rFonts w:ascii="Times New Roman" w:hAnsi="Times New Roman"/>
                <w:sz w:val="18"/>
                <w:szCs w:val="18"/>
              </w:rPr>
              <w:t>)</w:t>
            </w:r>
          </w:p>
        </w:tc>
        <w:tc>
          <w:tcPr>
            <w:tcW w:w="6120" w:type="dxa"/>
            <w:gridSpan w:val="3"/>
          </w:tcPr>
          <w:p w:rsidR="002C55F4" w:rsidRDefault="002C55F4" w:rsidP="00235A38">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Develop, modify or delete business practices </w:t>
            </w:r>
            <w:r w:rsidRPr="001E20B6">
              <w:rPr>
                <w:rFonts w:ascii="Times New Roman" w:hAnsi="Times New Roman"/>
                <w:sz w:val="18"/>
                <w:szCs w:val="18"/>
              </w:rPr>
              <w:t xml:space="preserve">standards </w:t>
            </w:r>
            <w:r w:rsidRPr="00354F0B">
              <w:rPr>
                <w:rFonts w:ascii="Times New Roman" w:hAnsi="Times New Roman"/>
                <w:sz w:val="18"/>
                <w:szCs w:val="18"/>
              </w:rPr>
              <w:t xml:space="preserve">to support </w:t>
            </w:r>
            <w:r>
              <w:rPr>
                <w:rFonts w:ascii="Times New Roman" w:hAnsi="Times New Roman"/>
                <w:sz w:val="18"/>
                <w:szCs w:val="18"/>
              </w:rPr>
              <w:t>NERC activities related to</w:t>
            </w:r>
            <w:r w:rsidRPr="00354F0B">
              <w:rPr>
                <w:rFonts w:ascii="Times New Roman" w:hAnsi="Times New Roman"/>
                <w:sz w:val="18"/>
                <w:szCs w:val="18"/>
              </w:rPr>
              <w:t xml:space="preserve"> NERC</w:t>
            </w:r>
            <w:r>
              <w:rPr>
                <w:rFonts w:ascii="Times New Roman" w:hAnsi="Times New Roman"/>
                <w:sz w:val="18"/>
                <w:szCs w:val="18"/>
              </w:rPr>
              <w:t xml:space="preserve"> Time Error Correction</w:t>
            </w:r>
            <w:r w:rsidRPr="00354F0B">
              <w:rPr>
                <w:rFonts w:ascii="Times New Roman" w:hAnsi="Times New Roman"/>
                <w:sz w:val="18"/>
                <w:szCs w:val="18"/>
              </w:rPr>
              <w:t xml:space="preserve"> </w:t>
            </w:r>
            <w:r>
              <w:rPr>
                <w:rFonts w:ascii="Times New Roman" w:hAnsi="Times New Roman"/>
                <w:sz w:val="18"/>
                <w:szCs w:val="18"/>
              </w:rPr>
              <w:t>(BAL-00</w:t>
            </w:r>
            <w:r w:rsidRPr="001E20B6">
              <w:rPr>
                <w:rFonts w:ascii="Times New Roman" w:hAnsi="Times New Roman"/>
                <w:sz w:val="18"/>
                <w:szCs w:val="18"/>
              </w:rPr>
              <w:t>4-</w:t>
            </w:r>
            <w:r w:rsidR="007F11D3">
              <w:rPr>
                <w:rFonts w:ascii="Times New Roman" w:hAnsi="Times New Roman"/>
                <w:sz w:val="18"/>
                <w:szCs w:val="18"/>
              </w:rPr>
              <w:t>0</w:t>
            </w:r>
            <w:r>
              <w:rPr>
                <w:rFonts w:ascii="Times New Roman" w:hAnsi="Times New Roman"/>
                <w:sz w:val="18"/>
                <w:szCs w:val="18"/>
              </w:rPr>
              <w:t>)</w:t>
            </w:r>
          </w:p>
          <w:p w:rsidR="002C55F4" w:rsidRPr="00C10599" w:rsidRDefault="002C55F4" w:rsidP="00235A38">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33E70">
              <w:rPr>
                <w:rFonts w:ascii="Times New Roman" w:hAnsi="Times New Roman"/>
                <w:sz w:val="18"/>
                <w:szCs w:val="18"/>
              </w:rPr>
              <w:t>Monitor</w:t>
            </w:r>
          </w:p>
        </w:tc>
        <w:tc>
          <w:tcPr>
            <w:tcW w:w="1170" w:type="dxa"/>
          </w:tcPr>
          <w:p w:rsidR="002C55F4" w:rsidRDefault="007F11D3" w:rsidP="00235A3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rsidP="00235A38">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r w:rsidR="009F0AF5">
              <w:rPr>
                <w:rFonts w:ascii="Times New Roman" w:hAnsi="Times New Roman"/>
                <w:color w:val="auto"/>
                <w:sz w:val="18"/>
                <w:szCs w:val="18"/>
              </w:rPr>
              <w:t>/TIMTF</w:t>
            </w:r>
          </w:p>
        </w:tc>
      </w:tr>
      <w:tr w:rsidR="002C55F4" w:rsidTr="009F0AF5">
        <w:tc>
          <w:tcPr>
            <w:tcW w:w="360" w:type="dxa"/>
          </w:tcPr>
          <w:p w:rsidR="002C55F4" w:rsidRDefault="002C55F4" w:rsidP="00235A38">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Pr>
                <w:rFonts w:ascii="Times New Roman" w:hAnsi="Times New Roman"/>
                <w:b/>
                <w:color w:val="auto"/>
                <w:sz w:val="18"/>
                <w:szCs w:val="18"/>
              </w:rPr>
              <w:t>.</w:t>
            </w:r>
          </w:p>
        </w:tc>
        <w:tc>
          <w:tcPr>
            <w:tcW w:w="9270" w:type="dxa"/>
            <w:gridSpan w:val="6"/>
          </w:tcPr>
          <w:p w:rsidR="002C55F4" w:rsidRDefault="002C55F4" w:rsidP="00235A3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3"/>
            </w:r>
          </w:p>
        </w:tc>
      </w:tr>
      <w:tr w:rsidR="002C55F4" w:rsidTr="009F0AF5">
        <w:tc>
          <w:tcPr>
            <w:tcW w:w="360" w:type="dxa"/>
          </w:tcPr>
          <w:p w:rsidR="002C55F4" w:rsidRDefault="002C55F4" w:rsidP="00235A38">
            <w:pPr>
              <w:pStyle w:val="TableText"/>
              <w:spacing w:before="40" w:after="40"/>
              <w:ind w:left="144"/>
              <w:rPr>
                <w:rFonts w:ascii="Times New Roman" w:hAnsi="Times New Roman"/>
                <w:color w:val="auto"/>
                <w:sz w:val="18"/>
                <w:szCs w:val="18"/>
              </w:rPr>
            </w:pPr>
          </w:p>
        </w:tc>
        <w:tc>
          <w:tcPr>
            <w:tcW w:w="360" w:type="dxa"/>
          </w:tcPr>
          <w:p w:rsidR="002C55F4" w:rsidRDefault="002C55F4" w:rsidP="00235A38">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10" w:type="dxa"/>
            <w:gridSpan w:val="5"/>
          </w:tcPr>
          <w:p w:rsidR="002C55F4" w:rsidRDefault="002C55F4" w:rsidP="00235A38">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w:t>
            </w:r>
            <w:r w:rsidR="007F11D3">
              <w:rPr>
                <w:rFonts w:ascii="Times New Roman" w:hAnsi="Times New Roman"/>
                <w:sz w:val="18"/>
                <w:szCs w:val="18"/>
              </w:rPr>
              <w:t>3</w:t>
            </w:r>
            <w:r>
              <w:rPr>
                <w:rFonts w:ascii="Times New Roman" w:hAnsi="Times New Roman"/>
                <w:sz w:val="18"/>
                <w:szCs w:val="18"/>
              </w:rPr>
              <w:t xml:space="preserve"> business practice standards to better coordinate the use of the transmission system among neighboring transmission providers.</w:t>
            </w:r>
          </w:p>
          <w:p w:rsidR="002C55F4" w:rsidRDefault="002C55F4" w:rsidP="00235A38">
            <w:pPr>
              <w:pStyle w:val="TableText"/>
              <w:widowControl w:val="0"/>
              <w:spacing w:before="40" w:after="40"/>
              <w:ind w:left="144"/>
              <w:rPr>
                <w:rFonts w:ascii="Times New Roman" w:hAnsi="Times New Roman"/>
                <w:sz w:val="18"/>
                <w:szCs w:val="18"/>
              </w:rPr>
            </w:pPr>
            <w:r>
              <w:rPr>
                <w:rFonts w:ascii="Times New Roman" w:hAnsi="Times New Roman"/>
                <w:sz w:val="18"/>
                <w:szCs w:val="18"/>
              </w:rPr>
              <w:t>Status: Underway</w:t>
            </w:r>
          </w:p>
          <w:p w:rsidR="002C55F4" w:rsidRDefault="002C55F4" w:rsidP="00235A38">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R05004 was expanded to include the </w:t>
            </w:r>
            <w:hyperlink r:id="rId11"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12"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13"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tc>
          <w:tcPr>
            <w:tcW w:w="360" w:type="dxa"/>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tcPr>
          <w:p w:rsidR="002C55F4" w:rsidRDefault="002C55F4">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70" w:type="dxa"/>
            <w:gridSpan w:val="4"/>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Group 4:  Pre</w:t>
            </w:r>
            <w:r w:rsidR="00C87CA5">
              <w:rPr>
                <w:rFonts w:ascii="Times New Roman" w:hAnsi="Times New Roman"/>
                <w:sz w:val="18"/>
                <w:szCs w:val="18"/>
              </w:rPr>
              <w:t>e</w:t>
            </w:r>
            <w:r>
              <w:rPr>
                <w:rFonts w:ascii="Times New Roman" w:hAnsi="Times New Roman"/>
                <w:sz w:val="18"/>
                <w:szCs w:val="18"/>
              </w:rPr>
              <w:t xml:space="preserve">mption; Request No. </w:t>
            </w:r>
            <w:hyperlink r:id="rId14" w:history="1">
              <w:r>
                <w:rPr>
                  <w:rStyle w:val="Hyperlink"/>
                  <w:rFonts w:ascii="Times New Roman" w:hAnsi="Times New Roman"/>
                  <w:sz w:val="18"/>
                  <w:szCs w:val="18"/>
                </w:rPr>
                <w:t>R05019</w:t>
              </w:r>
            </w:hyperlink>
            <w:r w:rsidR="00C87CA5">
              <w:rPr>
                <w:rStyle w:val="Hyperlink"/>
                <w:rFonts w:ascii="Times New Roman" w:hAnsi="Times New Roman"/>
                <w:sz w:val="18"/>
                <w:szCs w:val="18"/>
              </w:rPr>
              <w:t xml:space="preserve"> (Part of Preemption and Competition)</w:t>
            </w:r>
          </w:p>
        </w:tc>
      </w:tr>
      <w:tr w:rsidR="007621C4">
        <w:tc>
          <w:tcPr>
            <w:tcW w:w="360" w:type="dxa"/>
          </w:tcPr>
          <w:p w:rsidR="007621C4" w:rsidRDefault="007621C4">
            <w:pPr>
              <w:pStyle w:val="TableText"/>
              <w:keepNext/>
              <w:keepLines/>
              <w:spacing w:before="40" w:after="40"/>
              <w:ind w:left="144"/>
              <w:rPr>
                <w:rFonts w:ascii="Times New Roman" w:hAnsi="Times New Roman"/>
                <w:color w:val="auto"/>
                <w:sz w:val="18"/>
                <w:szCs w:val="18"/>
              </w:rPr>
            </w:pPr>
          </w:p>
        </w:tc>
        <w:tc>
          <w:tcPr>
            <w:tcW w:w="360" w:type="dxa"/>
          </w:tcPr>
          <w:p w:rsidR="007621C4" w:rsidRDefault="007621C4">
            <w:pPr>
              <w:pStyle w:val="TableText"/>
              <w:keepNext/>
              <w:keepLines/>
              <w:widowControl w:val="0"/>
              <w:spacing w:before="40" w:after="40"/>
              <w:ind w:left="144"/>
              <w:rPr>
                <w:rFonts w:ascii="Times New Roman" w:hAnsi="Times New Roman"/>
                <w:sz w:val="18"/>
                <w:szCs w:val="18"/>
              </w:rPr>
            </w:pPr>
          </w:p>
        </w:tc>
        <w:tc>
          <w:tcPr>
            <w:tcW w:w="540" w:type="dxa"/>
          </w:tcPr>
          <w:p w:rsidR="007621C4" w:rsidRDefault="007621C4">
            <w:pPr>
              <w:pStyle w:val="TableText"/>
              <w:keepNext/>
              <w:keepLines/>
              <w:tabs>
                <w:tab w:val="num" w:pos="73"/>
              </w:tabs>
              <w:spacing w:before="40" w:after="40"/>
              <w:ind w:left="144"/>
              <w:rPr>
                <w:rFonts w:ascii="Times New Roman" w:hAnsi="Times New Roman"/>
                <w:sz w:val="18"/>
                <w:szCs w:val="18"/>
              </w:rPr>
            </w:pPr>
          </w:p>
        </w:tc>
        <w:tc>
          <w:tcPr>
            <w:tcW w:w="8370" w:type="dxa"/>
            <w:gridSpan w:val="4"/>
          </w:tcPr>
          <w:p w:rsidR="007621C4" w:rsidRDefault="007621C4" w:rsidP="00235A38">
            <w:pPr>
              <w:pStyle w:val="TableText"/>
              <w:keepNext/>
              <w:keepLines/>
              <w:widowControl w:val="0"/>
              <w:numPr>
                <w:ilvl w:val="0"/>
                <w:numId w:val="34"/>
              </w:numPr>
              <w:spacing w:before="40" w:after="40"/>
              <w:rPr>
                <w:rFonts w:ascii="Times New Roman" w:hAnsi="Times New Roman"/>
                <w:sz w:val="18"/>
                <w:szCs w:val="18"/>
              </w:rPr>
            </w:pPr>
            <w:r>
              <w:rPr>
                <w:rFonts w:ascii="Times New Roman" w:hAnsi="Times New Roman"/>
                <w:sz w:val="18"/>
                <w:szCs w:val="18"/>
              </w:rPr>
              <w:t>Short-Term Firm Preemption and Competition</w:t>
            </w:r>
          </w:p>
        </w:tc>
      </w:tr>
      <w:tr w:rsidR="002C55F4">
        <w:trPr>
          <w:cantSplit/>
        </w:trPr>
        <w:tc>
          <w:tcPr>
            <w:tcW w:w="360" w:type="dxa"/>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tcPr>
          <w:p w:rsidR="002C55F4" w:rsidRDefault="002C55F4">
            <w:pPr>
              <w:pStyle w:val="TableText"/>
              <w:keepNext/>
              <w:keepLines/>
              <w:tabs>
                <w:tab w:val="num" w:pos="73"/>
              </w:tabs>
              <w:spacing w:before="40" w:after="40"/>
              <w:rPr>
                <w:rFonts w:ascii="Times New Roman" w:hAnsi="Times New Roman"/>
                <w:sz w:val="18"/>
                <w:szCs w:val="18"/>
              </w:rPr>
            </w:pPr>
          </w:p>
        </w:tc>
        <w:tc>
          <w:tcPr>
            <w:tcW w:w="5580" w:type="dxa"/>
            <w:gridSpan w:val="2"/>
          </w:tcPr>
          <w:p w:rsidR="002C55F4" w:rsidRDefault="002C55F4">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C87CA5">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201</w:t>
            </w:r>
            <w:r w:rsidR="000E110B">
              <w:rPr>
                <w:rFonts w:ascii="Times New Roman" w:hAnsi="Times New Roman"/>
                <w:sz w:val="18"/>
                <w:szCs w:val="18"/>
              </w:rPr>
              <w:t>6</w:t>
            </w:r>
          </w:p>
        </w:tc>
        <w:tc>
          <w:tcPr>
            <w:tcW w:w="1620" w:type="dxa"/>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70" w:type="dxa"/>
            <w:gridSpan w:val="4"/>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Group 6:  Miscellaneous (Paragraph 1627</w:t>
            </w:r>
            <w:r>
              <w:rPr>
                <w:rStyle w:val="FootnoteReference"/>
                <w:rFonts w:ascii="Times New Roman" w:hAnsi="Times New Roman"/>
                <w:sz w:val="18"/>
                <w:szCs w:val="18"/>
              </w:rPr>
              <w:footnoteReference w:id="4"/>
            </w:r>
            <w:r>
              <w:rPr>
                <w:rFonts w:ascii="Times New Roman" w:hAnsi="Times New Roman"/>
                <w:sz w:val="18"/>
                <w:szCs w:val="18"/>
              </w:rPr>
              <w:t xml:space="preserve"> of FERC Order No. 890)</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rsidP="00BE47F0">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Redispatch Cost Posting to allow for posting of third party offers of planning redispatch services.</w:t>
            </w:r>
          </w:p>
          <w:p w:rsidR="002C55F4" w:rsidRDefault="002C55F4" w:rsidP="00BE47F0">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trPr>
          <w:cantSplit/>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C87CA5">
              <w:rPr>
                <w:rFonts w:ascii="Times New Roman" w:hAnsi="Times New Roman"/>
                <w:b/>
                <w:color w:val="auto"/>
                <w:sz w:val="18"/>
                <w:szCs w:val="18"/>
              </w:rPr>
              <w:t>.</w:t>
            </w:r>
          </w:p>
        </w:tc>
        <w:tc>
          <w:tcPr>
            <w:tcW w:w="9270" w:type="dxa"/>
            <w:gridSpan w:val="6"/>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8910" w:type="dxa"/>
            <w:gridSpan w:val="5"/>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maintain business practice standards as needed for OASIS and electronic scheduling. Specific items to address include:</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8370" w:type="dxa"/>
            <w:gridSpan w:val="4"/>
          </w:tcPr>
          <w:p w:rsidR="002C55F4" w:rsidRDefault="002C55F4">
            <w:pPr>
              <w:spacing w:before="40" w:after="40"/>
              <w:ind w:left="144"/>
              <w:rPr>
                <w:sz w:val="18"/>
                <w:szCs w:val="18"/>
              </w:rPr>
            </w:pPr>
            <w:r>
              <w:rPr>
                <w:sz w:val="18"/>
                <w:szCs w:val="18"/>
              </w:rPr>
              <w:t>Make remaining incremental enhancements to OASIS as an outgrowth of the NAESB March 29, 2005 conference on the future of OASIS (</w:t>
            </w:r>
            <w:hyperlink r:id="rId15" w:history="1">
              <w:r>
                <w:rPr>
                  <w:rStyle w:val="Hyperlink"/>
                  <w:sz w:val="18"/>
                  <w:szCs w:val="18"/>
                </w:rPr>
                <w:t>R05026</w:t>
              </w:r>
            </w:hyperlink>
            <w:r>
              <w:rPr>
                <w:sz w:val="18"/>
                <w:szCs w:val="18"/>
              </w:rPr>
              <w:t>).</w:t>
            </w:r>
          </w:p>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Scoping </w:t>
            </w:r>
            <w:hyperlink r:id="rId16" w:history="1">
              <w:r>
                <w:rPr>
                  <w:rStyle w:val="Hyperlink"/>
                  <w:rFonts w:ascii="Times New Roman" w:hAnsi="Times New Roman"/>
                  <w:sz w:val="18"/>
                  <w:szCs w:val="18"/>
                </w:rPr>
                <w:t>statement</w:t>
              </w:r>
            </w:hyperlink>
            <w:r>
              <w:rPr>
                <w:rFonts w:ascii="Times New Roman" w:hAnsi="Times New Roman"/>
                <w:sz w:val="18"/>
                <w:szCs w:val="18"/>
              </w:rPr>
              <w:t xml:space="preserve"> completed by SRS. </w:t>
            </w:r>
            <w:r w:rsidR="0058462D">
              <w:rPr>
                <w:rFonts w:ascii="Times New Roman" w:hAnsi="Times New Roman"/>
                <w:sz w:val="18"/>
                <w:szCs w:val="18"/>
              </w:rPr>
              <w:t xml:space="preserve"> </w:t>
            </w:r>
            <w:r>
              <w:rPr>
                <w:rFonts w:ascii="Times New Roman" w:hAnsi="Times New Roman"/>
                <w:sz w:val="18"/>
                <w:szCs w:val="18"/>
              </w:rPr>
              <w:t>There were a number of assignments from the Standards Request.  The outstanding items are included below:</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831144">
            <w:pPr>
              <w:spacing w:before="40" w:after="40"/>
              <w:ind w:left="144"/>
              <w:rPr>
                <w:sz w:val="18"/>
                <w:szCs w:val="18"/>
              </w:rPr>
            </w:pPr>
            <w:r>
              <w:rPr>
                <w:sz w:val="18"/>
                <w:szCs w:val="18"/>
              </w:rPr>
              <w:t>1</w:t>
            </w:r>
            <w:r w:rsidR="002C55F4">
              <w:rPr>
                <w:sz w:val="18"/>
                <w:szCs w:val="18"/>
              </w:rPr>
              <w:t>)</w:t>
            </w:r>
          </w:p>
        </w:tc>
        <w:tc>
          <w:tcPr>
            <w:tcW w:w="5040" w:type="dxa"/>
          </w:tcPr>
          <w:p w:rsidR="002C55F4" w:rsidRDefault="002C55F4">
            <w:pPr>
              <w:spacing w:before="40" w:after="40"/>
              <w:ind w:left="144"/>
              <w:rPr>
                <w:sz w:val="18"/>
                <w:szCs w:val="18"/>
              </w:rPr>
            </w:pPr>
            <w:r>
              <w:rPr>
                <w:sz w:val="18"/>
                <w:szCs w:val="18"/>
              </w:rPr>
              <w:t>Enhance the TSR result postings to allow showing of (i) limiting transmission elements and (ii) available generation dispatch options that would allow acceptance of reservation request.</w:t>
            </w:r>
          </w:p>
          <w:p w:rsidR="002C55F4" w:rsidRDefault="002C55F4" w:rsidP="00BE47F0">
            <w:pPr>
              <w:spacing w:before="40" w:after="40"/>
              <w:ind w:left="144"/>
              <w:rPr>
                <w:sz w:val="18"/>
                <w:szCs w:val="18"/>
              </w:rPr>
            </w:pPr>
            <w:r>
              <w:rPr>
                <w:sz w:val="18"/>
                <w:szCs w:val="18"/>
              </w:rPr>
              <w:t>Status: Started</w:t>
            </w:r>
          </w:p>
        </w:tc>
        <w:tc>
          <w:tcPr>
            <w:tcW w:w="1170" w:type="dxa"/>
          </w:tcPr>
          <w:p w:rsidR="002C55F4" w:rsidRDefault="007F3637">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C87CA5">
            <w:pPr>
              <w:spacing w:before="40" w:after="40"/>
              <w:ind w:left="144"/>
              <w:rPr>
                <w:sz w:val="18"/>
                <w:szCs w:val="18"/>
              </w:rPr>
            </w:pPr>
            <w:r>
              <w:rPr>
                <w:sz w:val="18"/>
                <w:szCs w:val="18"/>
              </w:rPr>
              <w:t>b</w:t>
            </w:r>
            <w:r w:rsidR="002C55F4">
              <w:rPr>
                <w:sz w:val="18"/>
                <w:szCs w:val="18"/>
              </w:rPr>
              <w:t>)</w:t>
            </w:r>
          </w:p>
        </w:tc>
        <w:tc>
          <w:tcPr>
            <w:tcW w:w="6120" w:type="dxa"/>
            <w:gridSpan w:val="3"/>
          </w:tcPr>
          <w:p w:rsidR="002C55F4" w:rsidRDefault="002C55F4">
            <w:pPr>
              <w:spacing w:before="40" w:after="40"/>
              <w:ind w:left="144"/>
              <w:rPr>
                <w:sz w:val="18"/>
                <w:szCs w:val="18"/>
              </w:rPr>
            </w:pPr>
            <w:r>
              <w:rPr>
                <w:sz w:val="18"/>
                <w:szCs w:val="18"/>
              </w:rPr>
              <w:t>Requirements for OASIS to use data in the Electric Industry Registry (</w:t>
            </w:r>
            <w:hyperlink r:id="rId17" w:history="1">
              <w:r>
                <w:rPr>
                  <w:rStyle w:val="Hyperlink"/>
                  <w:sz w:val="18"/>
                  <w:szCs w:val="18"/>
                </w:rPr>
                <w:t>R12001</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243"/>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70" w:type="dxa"/>
            <w:gridSpan w:val="6"/>
          </w:tcPr>
          <w:p w:rsidR="002C55F4" w:rsidRDefault="002C55F4" w:rsidP="00524812">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spacing w:before="40" w:after="40"/>
              <w:ind w:left="144"/>
              <w:rPr>
                <w:sz w:val="18"/>
                <w:szCs w:val="18"/>
              </w:rPr>
            </w:pPr>
            <w:r>
              <w:rPr>
                <w:sz w:val="18"/>
                <w:szCs w:val="18"/>
              </w:rPr>
              <w:t>Develop modifications for WEQ-012 as needed to reflect current market conditions</w:t>
            </w:r>
          </w:p>
        </w:tc>
        <w:tc>
          <w:tcPr>
            <w:tcW w:w="1170" w:type="dxa"/>
          </w:tcPr>
          <w:p w:rsidR="002C55F4" w:rsidRDefault="002C55F4">
            <w:pPr>
              <w:pStyle w:val="TableText"/>
              <w:widowControl w:val="0"/>
              <w:spacing w:before="40" w:after="40"/>
              <w:ind w:left="144"/>
              <w:rPr>
                <w:rFonts w:ascii="Times New Roman" w:hAnsi="Times New Roman"/>
                <w:color w:val="auto"/>
                <w:sz w:val="18"/>
                <w:szCs w:val="18"/>
              </w:rPr>
            </w:pP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5580" w:type="dxa"/>
            <w:gridSpan w:val="2"/>
          </w:tcPr>
          <w:p w:rsidR="002C55F4" w:rsidRDefault="002C55F4">
            <w:pPr>
              <w:spacing w:before="40" w:after="40"/>
              <w:ind w:left="144"/>
              <w:rPr>
                <w:sz w:val="18"/>
                <w:szCs w:val="18"/>
              </w:rPr>
            </w:pPr>
            <w:r>
              <w:rPr>
                <w:sz w:val="18"/>
                <w:szCs w:val="18"/>
              </w:rPr>
              <w:t>Review annually at a minimum, the accreditation requirements for Authorized Certification Authorities to determine if any changes are needed to meet market conditions.</w:t>
            </w:r>
            <w:r>
              <w:rPr>
                <w:rStyle w:val="FootnoteReference"/>
                <w:sz w:val="18"/>
                <w:szCs w:val="18"/>
              </w:rPr>
              <w:footnoteReference w:id="5"/>
            </w:r>
          </w:p>
          <w:p w:rsidR="002C55F4" w:rsidRDefault="002C55F4" w:rsidP="00C87CA5">
            <w:pPr>
              <w:spacing w:before="40" w:after="40"/>
              <w:ind w:left="144"/>
              <w:rPr>
                <w:sz w:val="18"/>
                <w:szCs w:val="18"/>
              </w:rPr>
            </w:pPr>
            <w:r>
              <w:rPr>
                <w:sz w:val="18"/>
                <w:szCs w:val="18"/>
              </w:rPr>
              <w:t xml:space="preserve">Status: </w:t>
            </w:r>
            <w:r w:rsidR="00831144">
              <w:rPr>
                <w:sz w:val="18"/>
                <w:szCs w:val="18"/>
              </w:rPr>
              <w:t xml:space="preserve">Not </w:t>
            </w:r>
            <w:r w:rsidR="00C87CA5">
              <w:rPr>
                <w:sz w:val="18"/>
                <w:szCs w:val="18"/>
              </w:rPr>
              <w:t>Started</w:t>
            </w:r>
          </w:p>
        </w:tc>
        <w:tc>
          <w:tcPr>
            <w:tcW w:w="1170" w:type="dxa"/>
          </w:tcPr>
          <w:p w:rsidR="002C55F4" w:rsidRDefault="00C87CA5">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w:t>
            </w:r>
            <w:r w:rsidR="00831144">
              <w:rPr>
                <w:rFonts w:ascii="Times New Roman" w:hAnsi="Times New Roman"/>
                <w:color w:val="auto"/>
                <w:sz w:val="18"/>
                <w:szCs w:val="18"/>
              </w:rPr>
              <w:t>6</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spacing w:before="40" w:after="40"/>
              <w:ind w:left="144"/>
              <w:rPr>
                <w:sz w:val="18"/>
                <w:szCs w:val="18"/>
              </w:rPr>
            </w:pPr>
            <w:r>
              <w:rPr>
                <w:sz w:val="18"/>
                <w:szCs w:val="18"/>
              </w:rPr>
              <w:t>Review WEQ standards for impact of XML vulnerability exploits and make modifications as needed to standards and functional specifications</w:t>
            </w:r>
          </w:p>
          <w:p w:rsidR="002C55F4" w:rsidRDefault="002C55F4" w:rsidP="00BE47F0">
            <w:pPr>
              <w:spacing w:before="40" w:after="40"/>
              <w:ind w:left="144"/>
              <w:rPr>
                <w:sz w:val="18"/>
                <w:szCs w:val="18"/>
              </w:rPr>
            </w:pPr>
            <w:r>
              <w:rPr>
                <w:sz w:val="18"/>
                <w:szCs w:val="18"/>
              </w:rPr>
              <w:t xml:space="preserve">Status: </w:t>
            </w:r>
            <w:r w:rsidR="00831144">
              <w:rPr>
                <w:sz w:val="18"/>
                <w:szCs w:val="18"/>
              </w:rPr>
              <w:t xml:space="preserve">Not </w:t>
            </w:r>
            <w:r w:rsidR="00223BE2">
              <w:rPr>
                <w:sz w:val="18"/>
                <w:szCs w:val="18"/>
              </w:rPr>
              <w:t>Started</w:t>
            </w:r>
          </w:p>
        </w:tc>
        <w:tc>
          <w:tcPr>
            <w:tcW w:w="1170" w:type="dxa"/>
          </w:tcPr>
          <w:p w:rsidR="002C55F4" w:rsidRDefault="00831144" w:rsidP="00354F0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2016</w:t>
            </w:r>
          </w:p>
        </w:tc>
        <w:tc>
          <w:tcPr>
            <w:tcW w:w="1620" w:type="dxa"/>
          </w:tcPr>
          <w:p w:rsidR="002C55F4" w:rsidRDefault="00AC702E" w:rsidP="00371BE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r w:rsidR="002C55F4">
              <w:rPr>
                <w:rFonts w:ascii="Times New Roman" w:hAnsi="Times New Roman"/>
                <w:color w:val="auto"/>
                <w:sz w:val="18"/>
                <w:szCs w:val="18"/>
              </w:rPr>
              <w:t>/</w:t>
            </w:r>
            <w:r w:rsidR="00705D7D">
              <w:rPr>
                <w:rFonts w:ascii="Times New Roman" w:hAnsi="Times New Roman"/>
                <w:color w:val="auto"/>
                <w:sz w:val="18"/>
                <w:szCs w:val="18"/>
              </w:rPr>
              <w:t xml:space="preserve"> </w:t>
            </w:r>
            <w:r w:rsidR="00371BE9">
              <w:rPr>
                <w:rFonts w:ascii="Times New Roman" w:hAnsi="Times New Roman"/>
                <w:color w:val="auto"/>
                <w:sz w:val="18"/>
                <w:szCs w:val="18"/>
              </w:rPr>
              <w:t>CISS</w:t>
            </w:r>
          </w:p>
        </w:tc>
      </w:tr>
      <w:tr w:rsidR="007F0ACD">
        <w:trPr>
          <w:cantSplit/>
          <w:trHeight w:val="503"/>
        </w:trPr>
        <w:tc>
          <w:tcPr>
            <w:tcW w:w="360" w:type="dxa"/>
          </w:tcPr>
          <w:p w:rsidR="007F0ACD" w:rsidRDefault="007F0ACD">
            <w:pPr>
              <w:pStyle w:val="TableText"/>
              <w:spacing w:before="40" w:after="40"/>
              <w:ind w:left="144"/>
              <w:rPr>
                <w:rFonts w:ascii="Times New Roman" w:hAnsi="Times New Roman"/>
                <w:color w:val="auto"/>
                <w:sz w:val="18"/>
                <w:szCs w:val="18"/>
              </w:rPr>
            </w:pPr>
          </w:p>
        </w:tc>
        <w:tc>
          <w:tcPr>
            <w:tcW w:w="360" w:type="dxa"/>
          </w:tcPr>
          <w:p w:rsidR="007F0ACD" w:rsidRDefault="007F0ACD">
            <w:pPr>
              <w:spacing w:before="40" w:after="40"/>
              <w:ind w:left="144"/>
              <w:rPr>
                <w:sz w:val="18"/>
                <w:szCs w:val="18"/>
              </w:rPr>
            </w:pPr>
            <w:r>
              <w:rPr>
                <w:sz w:val="18"/>
                <w:szCs w:val="18"/>
              </w:rPr>
              <w:t>c)</w:t>
            </w:r>
          </w:p>
        </w:tc>
        <w:tc>
          <w:tcPr>
            <w:tcW w:w="6120" w:type="dxa"/>
            <w:gridSpan w:val="3"/>
          </w:tcPr>
          <w:p w:rsidR="007F0ACD" w:rsidRDefault="007F0ACD">
            <w:pPr>
              <w:spacing w:before="40" w:after="40"/>
              <w:ind w:left="144"/>
              <w:rPr>
                <w:sz w:val="18"/>
                <w:szCs w:val="18"/>
              </w:rPr>
            </w:pPr>
            <w:r w:rsidRPr="00583AD3">
              <w:rPr>
                <w:sz w:val="18"/>
                <w:szCs w:val="18"/>
              </w:rPr>
              <w:t>Evaluate and modify standards as needed to support and/or complement the current version of the NERC Critical Infrastructure Protection Standards</w:t>
            </w:r>
            <w:r w:rsidRPr="00583AD3">
              <w:rPr>
                <w:rStyle w:val="FootnoteReference"/>
                <w:sz w:val="18"/>
                <w:szCs w:val="18"/>
              </w:rPr>
              <w:footnoteReference w:id="6"/>
            </w:r>
            <w:r w:rsidRPr="00583AD3">
              <w:rPr>
                <w:sz w:val="18"/>
                <w:szCs w:val="18"/>
              </w:rPr>
              <w:t xml:space="preserve"> and any other activities of the FERC related to cybersecurity.</w:t>
            </w:r>
          </w:p>
          <w:p w:rsidR="000E110B" w:rsidRDefault="000E110B">
            <w:pPr>
              <w:spacing w:before="40" w:after="40"/>
              <w:ind w:left="144"/>
              <w:rPr>
                <w:sz w:val="18"/>
                <w:szCs w:val="18"/>
              </w:rPr>
            </w:pPr>
            <w:r>
              <w:rPr>
                <w:sz w:val="18"/>
                <w:szCs w:val="18"/>
              </w:rPr>
              <w:t xml:space="preserve">Status: </w:t>
            </w:r>
            <w:r w:rsidR="00831144">
              <w:rPr>
                <w:sz w:val="18"/>
                <w:szCs w:val="18"/>
              </w:rPr>
              <w:t xml:space="preserve">Not </w:t>
            </w:r>
            <w:r>
              <w:rPr>
                <w:sz w:val="18"/>
                <w:szCs w:val="18"/>
              </w:rPr>
              <w:t>Started</w:t>
            </w:r>
          </w:p>
        </w:tc>
        <w:tc>
          <w:tcPr>
            <w:tcW w:w="1170" w:type="dxa"/>
          </w:tcPr>
          <w:p w:rsidR="007F0ACD" w:rsidRDefault="00831144" w:rsidP="00354F0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2016</w:t>
            </w:r>
          </w:p>
        </w:tc>
        <w:tc>
          <w:tcPr>
            <w:tcW w:w="1620" w:type="dxa"/>
          </w:tcPr>
          <w:p w:rsidR="007F0ACD" w:rsidRDefault="007F0ACD"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2C55F4">
        <w:trPr>
          <w:cantSplit/>
          <w:trHeight w:val="300"/>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6"/>
          </w:tcPr>
          <w:p w:rsidR="002C55F4" w:rsidRDefault="002C55F4">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831144">
            <w:pPr>
              <w:spacing w:before="40" w:after="40"/>
              <w:ind w:left="144"/>
              <w:rPr>
                <w:sz w:val="18"/>
                <w:szCs w:val="18"/>
              </w:rPr>
            </w:pPr>
            <w:r>
              <w:rPr>
                <w:sz w:val="18"/>
                <w:szCs w:val="18"/>
              </w:rPr>
              <w:t>a</w:t>
            </w:r>
            <w:r w:rsidR="002C55F4">
              <w:rPr>
                <w:sz w:val="18"/>
                <w:szCs w:val="18"/>
              </w:rPr>
              <w:t>)</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18"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rsidR="002C55F4" w:rsidRDefault="007F0ACD" w:rsidP="007F0ACD">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201</w:t>
            </w:r>
            <w:r w:rsidR="000E110B">
              <w:rPr>
                <w:rFonts w:ascii="Times New Roman" w:hAnsi="Times New Roman"/>
                <w:sz w:val="18"/>
                <w:szCs w:val="18"/>
              </w:rPr>
              <w:t>6</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831144">
            <w:pPr>
              <w:spacing w:before="40" w:after="40"/>
              <w:ind w:left="144"/>
              <w:rPr>
                <w:sz w:val="18"/>
                <w:szCs w:val="18"/>
              </w:rPr>
            </w:pPr>
            <w:r>
              <w:rPr>
                <w:sz w:val="18"/>
                <w:szCs w:val="18"/>
              </w:rPr>
              <w:t>b</w:t>
            </w:r>
            <w:r w:rsidR="002C55F4">
              <w:rPr>
                <w:sz w:val="18"/>
                <w:szCs w:val="18"/>
              </w:rPr>
              <w:t>)</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Create a new OASIS mechanism that allows for the merger of like reservations without the use of the resale mechanism (</w:t>
            </w:r>
            <w:hyperlink r:id="rId19" w:history="1">
              <w:r>
                <w:rPr>
                  <w:rStyle w:val="Hyperlink"/>
                  <w:sz w:val="18"/>
                  <w:szCs w:val="18"/>
                </w:rPr>
                <w:t>R09015</w:t>
              </w:r>
            </w:hyperlink>
            <w:r>
              <w:rPr>
                <w:color w:val="000000"/>
                <w:sz w:val="18"/>
                <w:szCs w:val="18"/>
              </w:rPr>
              <w:t>)</w:t>
            </w:r>
            <w:r>
              <w:rPr>
                <w:color w:val="000000"/>
                <w:sz w:val="18"/>
                <w:szCs w:val="18"/>
              </w:rPr>
              <w:br/>
            </w:r>
            <w:r>
              <w:rPr>
                <w:sz w:val="18"/>
                <w:szCs w:val="18"/>
              </w:rPr>
              <w:t>Status: Started</w:t>
            </w:r>
          </w:p>
        </w:tc>
        <w:tc>
          <w:tcPr>
            <w:tcW w:w="1170" w:type="dxa"/>
          </w:tcPr>
          <w:p w:rsidR="002C55F4" w:rsidRDefault="003341C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2016</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702205">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831144">
            <w:pPr>
              <w:spacing w:before="40" w:after="40"/>
              <w:ind w:left="144"/>
              <w:rPr>
                <w:sz w:val="18"/>
                <w:szCs w:val="18"/>
              </w:rPr>
            </w:pPr>
            <w:r>
              <w:rPr>
                <w:sz w:val="18"/>
                <w:szCs w:val="18"/>
              </w:rPr>
              <w:t>c</w:t>
            </w:r>
            <w:r w:rsidR="002C55F4">
              <w:rPr>
                <w:sz w:val="18"/>
                <w:szCs w:val="18"/>
              </w:rPr>
              <w:t>)</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Improve transparency to allow customers to determine whether they have been treated in a non-discriminatory manner by posting of additional information on OASIS when service is denied (i.e. refused or declined) by customer(s) using new SAMTS process across multiple transmission systems to serve their NITS load on multiple systems. (</w:t>
            </w:r>
            <w:hyperlink r:id="rId20" w:history="1">
              <w:r>
                <w:rPr>
                  <w:rStyle w:val="Hyperlink"/>
                  <w:sz w:val="18"/>
                  <w:szCs w:val="18"/>
                </w:rPr>
                <w:t>R12006</w:t>
              </w:r>
            </w:hyperlink>
            <w:r>
              <w:rPr>
                <w:color w:val="000000"/>
                <w:sz w:val="18"/>
                <w:szCs w:val="18"/>
              </w:rPr>
              <w:t>)</w:t>
            </w:r>
          </w:p>
          <w:p w:rsidR="002C55F4" w:rsidRDefault="002C55F4" w:rsidP="00BE47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 xml:space="preserve">Status: </w:t>
            </w:r>
            <w:bookmarkStart w:id="4" w:name="_GoBack"/>
            <w:bookmarkEnd w:id="4"/>
            <w:r>
              <w:rPr>
                <w:color w:val="000000"/>
                <w:sz w:val="18"/>
                <w:szCs w:val="18"/>
              </w:rPr>
              <w:t>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CD5004" w:rsidTr="00702205">
        <w:trPr>
          <w:cantSplit/>
          <w:trHeight w:val="503"/>
        </w:trPr>
        <w:tc>
          <w:tcPr>
            <w:tcW w:w="360" w:type="dxa"/>
          </w:tcPr>
          <w:p w:rsidR="00CD5004" w:rsidRDefault="00CD5004">
            <w:pPr>
              <w:pStyle w:val="TableText"/>
              <w:spacing w:before="40" w:after="40"/>
              <w:ind w:left="144"/>
              <w:rPr>
                <w:rFonts w:ascii="Times New Roman" w:hAnsi="Times New Roman"/>
                <w:color w:val="auto"/>
                <w:sz w:val="18"/>
                <w:szCs w:val="18"/>
              </w:rPr>
            </w:pPr>
          </w:p>
        </w:tc>
        <w:tc>
          <w:tcPr>
            <w:tcW w:w="360" w:type="dxa"/>
          </w:tcPr>
          <w:p w:rsidR="00CD5004" w:rsidRDefault="00831144">
            <w:pPr>
              <w:spacing w:before="40" w:after="40"/>
              <w:ind w:left="144"/>
              <w:rPr>
                <w:sz w:val="18"/>
                <w:szCs w:val="18"/>
              </w:rPr>
            </w:pPr>
            <w:r>
              <w:rPr>
                <w:sz w:val="18"/>
                <w:szCs w:val="18"/>
              </w:rPr>
              <w:t>d</w:t>
            </w:r>
            <w:r w:rsidR="00CD5004">
              <w:rPr>
                <w:sz w:val="18"/>
                <w:szCs w:val="18"/>
              </w:rPr>
              <w:t>)</w:t>
            </w:r>
          </w:p>
        </w:tc>
        <w:tc>
          <w:tcPr>
            <w:tcW w:w="6120" w:type="dxa"/>
            <w:gridSpan w:val="3"/>
          </w:tcPr>
          <w:p w:rsidR="00CD5004" w:rsidRDefault="00CD5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 xml:space="preserve">Review </w:t>
            </w:r>
            <w:r w:rsidR="003341C0">
              <w:rPr>
                <w:color w:val="000000"/>
                <w:sz w:val="18"/>
                <w:szCs w:val="18"/>
              </w:rPr>
              <w:t xml:space="preserve">and modify as necessary </w:t>
            </w:r>
            <w:r>
              <w:rPr>
                <w:color w:val="000000"/>
                <w:sz w:val="18"/>
                <w:szCs w:val="18"/>
              </w:rPr>
              <w:t>WEQ-004, EIR Business Practice Standards, e-Tag Specification, and e-Tag Schema to make the necessary modifications to recognize the Market Operator Role within the Electric Industry Registry</w:t>
            </w:r>
          </w:p>
          <w:p w:rsidR="00733E70" w:rsidRDefault="00733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Started</w:t>
            </w:r>
          </w:p>
        </w:tc>
        <w:tc>
          <w:tcPr>
            <w:tcW w:w="1170" w:type="dxa"/>
          </w:tcPr>
          <w:p w:rsidR="00CD5004" w:rsidRDefault="00CD500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w:t>
            </w:r>
            <w:r w:rsidR="00831144">
              <w:rPr>
                <w:rFonts w:ascii="Times New Roman" w:hAnsi="Times New Roman"/>
                <w:color w:val="auto"/>
                <w:sz w:val="18"/>
                <w:szCs w:val="18"/>
              </w:rPr>
              <w:t>6</w:t>
            </w:r>
          </w:p>
        </w:tc>
        <w:tc>
          <w:tcPr>
            <w:tcW w:w="1620" w:type="dxa"/>
          </w:tcPr>
          <w:p w:rsidR="00CD5004" w:rsidRDefault="002F3A78">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7A00AE" w:rsidTr="00BA4B71">
        <w:trPr>
          <w:cantSplit/>
          <w:trHeight w:val="503"/>
        </w:trPr>
        <w:tc>
          <w:tcPr>
            <w:tcW w:w="360" w:type="dxa"/>
          </w:tcPr>
          <w:p w:rsidR="007A00AE" w:rsidRPr="00A617C9" w:rsidRDefault="0083114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6</w:t>
            </w:r>
            <w:r w:rsidR="007A00AE" w:rsidRPr="00A617C9">
              <w:rPr>
                <w:rFonts w:ascii="Times New Roman" w:hAnsi="Times New Roman"/>
                <w:b/>
                <w:color w:val="auto"/>
                <w:sz w:val="18"/>
                <w:szCs w:val="18"/>
              </w:rPr>
              <w:t>.</w:t>
            </w:r>
          </w:p>
        </w:tc>
        <w:tc>
          <w:tcPr>
            <w:tcW w:w="9270" w:type="dxa"/>
            <w:gridSpan w:val="6"/>
          </w:tcPr>
          <w:p w:rsidR="007A00AE" w:rsidRPr="00A617C9" w:rsidRDefault="007A00AE">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A617C9">
              <w:rPr>
                <w:rStyle w:val="FootnoteReference"/>
                <w:rFonts w:ascii="Times New Roman" w:hAnsi="Times New Roman"/>
                <w:b/>
                <w:color w:val="auto"/>
                <w:sz w:val="18"/>
                <w:szCs w:val="18"/>
              </w:rPr>
              <w:footnoteReference w:id="7"/>
            </w:r>
          </w:p>
        </w:tc>
      </w:tr>
      <w:tr w:rsidR="007A00AE" w:rsidTr="00702205">
        <w:trPr>
          <w:cantSplit/>
          <w:trHeight w:val="503"/>
        </w:trPr>
        <w:tc>
          <w:tcPr>
            <w:tcW w:w="360" w:type="dxa"/>
          </w:tcPr>
          <w:p w:rsidR="007A00AE" w:rsidRPr="00A617C9" w:rsidRDefault="007A00AE">
            <w:pPr>
              <w:pStyle w:val="TableText"/>
              <w:spacing w:before="40" w:after="40"/>
              <w:ind w:left="144"/>
              <w:rPr>
                <w:rFonts w:ascii="Times New Roman" w:hAnsi="Times New Roman"/>
                <w:b/>
                <w:color w:val="auto"/>
                <w:sz w:val="18"/>
                <w:szCs w:val="18"/>
              </w:rPr>
            </w:pPr>
          </w:p>
        </w:tc>
        <w:tc>
          <w:tcPr>
            <w:tcW w:w="360" w:type="dxa"/>
          </w:tcPr>
          <w:p w:rsidR="007A00AE" w:rsidRPr="00A617C9" w:rsidRDefault="007A00AE">
            <w:pPr>
              <w:spacing w:before="40" w:after="40"/>
              <w:ind w:left="144"/>
              <w:rPr>
                <w:sz w:val="18"/>
                <w:szCs w:val="18"/>
              </w:rPr>
            </w:pPr>
            <w:r w:rsidRPr="00A617C9">
              <w:rPr>
                <w:sz w:val="18"/>
                <w:szCs w:val="18"/>
              </w:rPr>
              <w:t>a)</w:t>
            </w:r>
          </w:p>
        </w:tc>
        <w:tc>
          <w:tcPr>
            <w:tcW w:w="6120" w:type="dxa"/>
            <w:gridSpan w:val="3"/>
          </w:tcPr>
          <w:p w:rsidR="007A00AE" w:rsidRPr="00A617C9" w:rsidRDefault="007A00AE" w:rsidP="00292F49">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Develop business practices as needed to support </w:t>
            </w:r>
            <w:r w:rsidR="001E219D" w:rsidRPr="00A617C9">
              <w:rPr>
                <w:rFonts w:ascii="Times New Roman" w:hAnsi="Times New Roman"/>
                <w:sz w:val="18"/>
                <w:szCs w:val="18"/>
              </w:rPr>
              <w:t>electronic filing protocols for submittal of FERC Forms</w:t>
            </w:r>
          </w:p>
          <w:p w:rsidR="001E219D" w:rsidRPr="00A617C9" w:rsidRDefault="001E219D" w:rsidP="00ED0450">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Started</w:t>
            </w:r>
          </w:p>
        </w:tc>
        <w:tc>
          <w:tcPr>
            <w:tcW w:w="1170" w:type="dxa"/>
          </w:tcPr>
          <w:p w:rsidR="007A00AE" w:rsidRPr="00A617C9" w:rsidDel="000E110B" w:rsidRDefault="00EB2E8F">
            <w:pPr>
              <w:pStyle w:val="TableText"/>
              <w:widowControl w:val="0"/>
              <w:spacing w:before="40" w:after="40"/>
              <w:ind w:left="144"/>
              <w:jc w:val="center"/>
              <w:rPr>
                <w:rFonts w:ascii="Times New Roman" w:hAnsi="Times New Roman"/>
                <w:sz w:val="18"/>
                <w:szCs w:val="18"/>
              </w:rPr>
            </w:pPr>
            <w:r w:rsidRPr="00A617C9">
              <w:rPr>
                <w:rFonts w:ascii="Times New Roman" w:hAnsi="Times New Roman"/>
                <w:sz w:val="18"/>
                <w:szCs w:val="18"/>
              </w:rPr>
              <w:t>TBD</w:t>
            </w:r>
          </w:p>
        </w:tc>
        <w:tc>
          <w:tcPr>
            <w:tcW w:w="1620" w:type="dxa"/>
          </w:tcPr>
          <w:p w:rsidR="007A00AE" w:rsidRPr="00A617C9" w:rsidRDefault="001E219D">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Joint WEQ/WGQ FERC Forms Subcommittee</w:t>
            </w:r>
          </w:p>
        </w:tc>
      </w:tr>
      <w:tr w:rsidR="001E219D" w:rsidTr="00BA4B71">
        <w:trPr>
          <w:cantSplit/>
          <w:trHeight w:val="503"/>
        </w:trPr>
        <w:tc>
          <w:tcPr>
            <w:tcW w:w="360" w:type="dxa"/>
          </w:tcPr>
          <w:p w:rsidR="001E219D" w:rsidRPr="00A617C9" w:rsidRDefault="0083114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7</w:t>
            </w:r>
            <w:r w:rsidR="001E219D" w:rsidRPr="00A617C9">
              <w:rPr>
                <w:rFonts w:ascii="Times New Roman" w:hAnsi="Times New Roman"/>
                <w:b/>
                <w:color w:val="auto"/>
                <w:sz w:val="18"/>
                <w:szCs w:val="18"/>
              </w:rPr>
              <w:t>.</w:t>
            </w:r>
          </w:p>
        </w:tc>
        <w:tc>
          <w:tcPr>
            <w:tcW w:w="9270" w:type="dxa"/>
            <w:gridSpan w:val="6"/>
          </w:tcPr>
          <w:p w:rsidR="001E219D" w:rsidRPr="00A617C9" w:rsidRDefault="008204FA">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Gas-</w:t>
            </w:r>
            <w:r w:rsidR="00056236" w:rsidRPr="00A617C9">
              <w:rPr>
                <w:rFonts w:ascii="Times New Roman" w:hAnsi="Times New Roman"/>
                <w:b/>
                <w:color w:val="auto"/>
                <w:sz w:val="18"/>
                <w:szCs w:val="18"/>
              </w:rPr>
              <w:t>Electric Coordination</w:t>
            </w:r>
          </w:p>
        </w:tc>
      </w:tr>
      <w:tr w:rsidR="001E219D" w:rsidTr="00702205">
        <w:trPr>
          <w:cantSplit/>
          <w:trHeight w:val="503"/>
        </w:trPr>
        <w:tc>
          <w:tcPr>
            <w:tcW w:w="360" w:type="dxa"/>
          </w:tcPr>
          <w:p w:rsidR="001E219D" w:rsidRPr="00A617C9" w:rsidRDefault="001E219D">
            <w:pPr>
              <w:pStyle w:val="TableText"/>
              <w:spacing w:before="40" w:after="40"/>
              <w:ind w:left="144"/>
              <w:rPr>
                <w:rFonts w:ascii="Times New Roman" w:hAnsi="Times New Roman"/>
                <w:b/>
                <w:color w:val="auto"/>
                <w:sz w:val="18"/>
                <w:szCs w:val="18"/>
              </w:rPr>
            </w:pPr>
          </w:p>
        </w:tc>
        <w:tc>
          <w:tcPr>
            <w:tcW w:w="360" w:type="dxa"/>
          </w:tcPr>
          <w:p w:rsidR="001E219D" w:rsidRPr="00A617C9" w:rsidRDefault="00056236">
            <w:pPr>
              <w:spacing w:before="40" w:after="40"/>
              <w:ind w:left="144"/>
              <w:rPr>
                <w:sz w:val="18"/>
                <w:szCs w:val="18"/>
              </w:rPr>
            </w:pPr>
            <w:r w:rsidRPr="00A617C9">
              <w:rPr>
                <w:sz w:val="18"/>
                <w:szCs w:val="18"/>
              </w:rPr>
              <w:t>a)</w:t>
            </w:r>
          </w:p>
        </w:tc>
        <w:tc>
          <w:tcPr>
            <w:tcW w:w="6120" w:type="dxa"/>
            <w:gridSpan w:val="3"/>
          </w:tcPr>
          <w:p w:rsidR="001E219D" w:rsidRPr="00A617C9" w:rsidRDefault="00056236">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Review FERC Order No. 809 ¶ 107 </w:t>
            </w:r>
            <w:r w:rsidR="00E01D96" w:rsidRPr="00A617C9">
              <w:rPr>
                <w:rFonts w:ascii="Times New Roman" w:hAnsi="Times New Roman"/>
                <w:sz w:val="18"/>
                <w:szCs w:val="18"/>
              </w:rPr>
              <w:t>issued in Docket No. RM14-2-000</w:t>
            </w:r>
            <w:r w:rsidR="00E01D96" w:rsidRPr="00A617C9">
              <w:rPr>
                <w:rStyle w:val="FootnoteReference"/>
                <w:rFonts w:ascii="Times New Roman" w:hAnsi="Times New Roman"/>
                <w:sz w:val="18"/>
                <w:szCs w:val="18"/>
              </w:rPr>
              <w:footnoteReference w:id="8"/>
            </w:r>
            <w:r w:rsidR="00E01D96" w:rsidRPr="00A617C9">
              <w:rPr>
                <w:rFonts w:ascii="Times New Roman" w:hAnsi="Times New Roman"/>
                <w:sz w:val="18"/>
                <w:szCs w:val="18"/>
              </w:rPr>
              <w:t xml:space="preserve"> </w:t>
            </w:r>
            <w:r w:rsidRPr="00A617C9">
              <w:rPr>
                <w:rFonts w:ascii="Times New Roman" w:hAnsi="Times New Roman"/>
                <w:sz w:val="18"/>
                <w:szCs w:val="18"/>
              </w:rPr>
              <w:t>regarding computerized scheduling and provide</w:t>
            </w:r>
            <w:r w:rsidR="005B3AFC" w:rsidRPr="00A617C9">
              <w:rPr>
                <w:rFonts w:ascii="Times New Roman" w:hAnsi="Times New Roman"/>
                <w:sz w:val="18"/>
                <w:szCs w:val="18"/>
              </w:rPr>
              <w:t xml:space="preserve"> recommended</w:t>
            </w:r>
            <w:r w:rsidRPr="00A617C9">
              <w:rPr>
                <w:rFonts w:ascii="Times New Roman" w:hAnsi="Times New Roman"/>
                <w:sz w:val="18"/>
                <w:szCs w:val="18"/>
              </w:rPr>
              <w:t xml:space="preserve"> direction concerning </w:t>
            </w:r>
            <w:r w:rsidR="009F4E6A" w:rsidRPr="00A617C9">
              <w:rPr>
                <w:rFonts w:ascii="Times New Roman" w:hAnsi="Times New Roman"/>
                <w:sz w:val="18"/>
                <w:szCs w:val="18"/>
              </w:rPr>
              <w:t>the development of standards or modifications to existing standards as needed to support the request of the Commission</w:t>
            </w:r>
            <w:r w:rsidR="008204FA" w:rsidRPr="00A617C9">
              <w:rPr>
                <w:rStyle w:val="FootnoteReference"/>
                <w:rFonts w:ascii="Times New Roman" w:hAnsi="Times New Roman"/>
                <w:sz w:val="18"/>
                <w:szCs w:val="18"/>
              </w:rPr>
              <w:footnoteReference w:id="9"/>
            </w:r>
            <w:r w:rsidR="009F4E6A" w:rsidRPr="00A617C9">
              <w:rPr>
                <w:rFonts w:ascii="Times New Roman" w:hAnsi="Times New Roman"/>
                <w:sz w:val="18"/>
                <w:szCs w:val="18"/>
              </w:rPr>
              <w:t xml:space="preserve"> </w:t>
            </w:r>
            <w:r w:rsidR="005B3AFC" w:rsidRPr="00A617C9">
              <w:rPr>
                <w:rFonts w:ascii="Times New Roman" w:hAnsi="Times New Roman"/>
                <w:sz w:val="18"/>
                <w:szCs w:val="18"/>
              </w:rPr>
              <w:t>The recommended direction will require board approval,</w:t>
            </w:r>
            <w:r w:rsidR="00163544" w:rsidRPr="00A617C9">
              <w:rPr>
                <w:sz w:val="18"/>
                <w:szCs w:val="18"/>
              </w:rPr>
              <w:t xml:space="preserve"> </w:t>
            </w:r>
            <w:r w:rsidR="00163544" w:rsidRPr="00A617C9">
              <w:rPr>
                <w:rFonts w:ascii="Times New Roman" w:hAnsi="Times New Roman"/>
                <w:sz w:val="18"/>
                <w:szCs w:val="18"/>
              </w:rPr>
              <w:t>for both the timeline to be pursued and the framework for standards development</w:t>
            </w:r>
          </w:p>
          <w:p w:rsidR="009F4E6A" w:rsidRPr="00A617C9" w:rsidRDefault="009F4E6A">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Not Started</w:t>
            </w:r>
            <w:r w:rsidR="00A617C9">
              <w:rPr>
                <w:rFonts w:ascii="Times New Roman" w:hAnsi="Times New Roman"/>
                <w:sz w:val="18"/>
                <w:szCs w:val="18"/>
              </w:rPr>
              <w:t xml:space="preserve">, and </w:t>
            </w:r>
            <w:r w:rsidR="00A617C9" w:rsidRPr="00A617C9">
              <w:rPr>
                <w:rFonts w:ascii="Times New Roman" w:hAnsi="Times New Roman"/>
                <w:b/>
                <w:i/>
                <w:sz w:val="18"/>
                <w:szCs w:val="18"/>
              </w:rPr>
              <w:t>planning not to be started before 2016</w:t>
            </w:r>
          </w:p>
        </w:tc>
        <w:tc>
          <w:tcPr>
            <w:tcW w:w="1170" w:type="dxa"/>
          </w:tcPr>
          <w:p w:rsidR="001E219D" w:rsidRPr="00A617C9" w:rsidRDefault="009D6EAF">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2016</w:t>
            </w:r>
          </w:p>
        </w:tc>
        <w:tc>
          <w:tcPr>
            <w:tcW w:w="1620" w:type="dxa"/>
          </w:tcPr>
          <w:p w:rsidR="001E219D" w:rsidRPr="00A617C9" w:rsidRDefault="009F4E6A">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 xml:space="preserve">Gas-Electric Harmonization Forum, </w:t>
            </w:r>
            <w:r w:rsidR="005B3AFC" w:rsidRPr="00A617C9">
              <w:rPr>
                <w:rFonts w:ascii="Times New Roman" w:hAnsi="Times New Roman"/>
                <w:color w:val="auto"/>
                <w:sz w:val="18"/>
                <w:szCs w:val="18"/>
              </w:rPr>
              <w:t xml:space="preserve">NAESB Board of Directors, </w:t>
            </w:r>
            <w:r w:rsidRPr="00A617C9">
              <w:rPr>
                <w:rFonts w:ascii="Times New Roman" w:hAnsi="Times New Roman"/>
                <w:color w:val="auto"/>
                <w:sz w:val="18"/>
                <w:szCs w:val="18"/>
              </w:rPr>
              <w:t>WEQ EC &amp; WGQ EC</w:t>
            </w:r>
          </w:p>
        </w:tc>
      </w:tr>
      <w:tr w:rsidR="005B3AFC" w:rsidTr="00702205">
        <w:trPr>
          <w:cantSplit/>
          <w:trHeight w:val="503"/>
        </w:trPr>
        <w:tc>
          <w:tcPr>
            <w:tcW w:w="360" w:type="dxa"/>
          </w:tcPr>
          <w:p w:rsidR="005B3AFC" w:rsidRPr="00A617C9" w:rsidRDefault="005B3AFC">
            <w:pPr>
              <w:pStyle w:val="TableText"/>
              <w:spacing w:before="40" w:after="40"/>
              <w:ind w:left="144"/>
              <w:rPr>
                <w:rFonts w:ascii="Times New Roman" w:hAnsi="Times New Roman"/>
                <w:b/>
                <w:color w:val="auto"/>
                <w:sz w:val="18"/>
                <w:szCs w:val="18"/>
              </w:rPr>
            </w:pPr>
          </w:p>
        </w:tc>
        <w:tc>
          <w:tcPr>
            <w:tcW w:w="360" w:type="dxa"/>
          </w:tcPr>
          <w:p w:rsidR="005B3AFC" w:rsidRPr="00A617C9" w:rsidRDefault="005B3AFC">
            <w:pPr>
              <w:spacing w:before="40" w:after="40"/>
              <w:ind w:left="144"/>
              <w:rPr>
                <w:sz w:val="18"/>
                <w:szCs w:val="18"/>
              </w:rPr>
            </w:pPr>
            <w:r w:rsidRPr="00A617C9">
              <w:rPr>
                <w:sz w:val="18"/>
                <w:szCs w:val="18"/>
              </w:rPr>
              <w:t>b)</w:t>
            </w:r>
          </w:p>
        </w:tc>
        <w:tc>
          <w:tcPr>
            <w:tcW w:w="6120" w:type="dxa"/>
            <w:gridSpan w:val="3"/>
          </w:tcPr>
          <w:p w:rsidR="005B3AFC" w:rsidRPr="00A617C9" w:rsidRDefault="005B3AFC">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Resulting from the efforts of annual plan item 9(a), develop standards as needed and directed by the Board of Directors, which are specifically assigned to the WEQ </w:t>
            </w:r>
          </w:p>
          <w:p w:rsidR="005B3AFC" w:rsidRPr="00A617C9" w:rsidRDefault="005B3AFC">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Not Started</w:t>
            </w:r>
            <w:r w:rsidR="00A617C9">
              <w:rPr>
                <w:rFonts w:ascii="Times New Roman" w:hAnsi="Times New Roman"/>
                <w:sz w:val="18"/>
                <w:szCs w:val="18"/>
              </w:rPr>
              <w:t>, dependent on completion of item 9(a).</w:t>
            </w:r>
          </w:p>
        </w:tc>
        <w:tc>
          <w:tcPr>
            <w:tcW w:w="1170" w:type="dxa"/>
          </w:tcPr>
          <w:p w:rsidR="005B3AFC" w:rsidRPr="00A617C9" w:rsidRDefault="009D6EAF">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2016</w:t>
            </w:r>
          </w:p>
        </w:tc>
        <w:tc>
          <w:tcPr>
            <w:tcW w:w="1620" w:type="dxa"/>
          </w:tcPr>
          <w:p w:rsidR="005B3AFC" w:rsidRPr="00A617C9" w:rsidRDefault="005B3AFC">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WEQ EC and relevant subcommittees</w:t>
            </w:r>
          </w:p>
        </w:tc>
      </w:tr>
    </w:tbl>
    <w:p w:rsidR="002C55F4" w:rsidRDefault="002C55F4" w:rsidP="00705D7D">
      <w:pPr>
        <w:pageBreakBefore/>
      </w:pPr>
    </w:p>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58"/>
        <w:gridCol w:w="446"/>
        <w:gridCol w:w="8826"/>
      </w:tblGrid>
      <w:tr w:rsidR="002C55F4" w:rsidTr="007D2ECE">
        <w:trPr>
          <w:cantSplit/>
          <w:tblHeader/>
        </w:trPr>
        <w:tc>
          <w:tcPr>
            <w:tcW w:w="9630" w:type="dxa"/>
            <w:gridSpan w:val="3"/>
            <w:tcBorders>
              <w:top w:val="nil"/>
              <w:bottom w:val="single" w:sz="4" w:space="0" w:color="auto"/>
            </w:tcBorders>
          </w:tcPr>
          <w:p w:rsidR="002C55F4" w:rsidRPr="00696526" w:rsidRDefault="002C55F4" w:rsidP="0072552C">
            <w:pPr>
              <w:pStyle w:val="BodyTextIndent3"/>
              <w:tabs>
                <w:tab w:val="left" w:pos="6336"/>
              </w:tabs>
              <w:spacing w:before="40" w:after="40"/>
              <w:ind w:left="144"/>
              <w:jc w:val="center"/>
              <w:rPr>
                <w:b/>
                <w:sz w:val="18"/>
                <w:szCs w:val="18"/>
              </w:rPr>
            </w:pPr>
            <w:r w:rsidRPr="00696526">
              <w:rPr>
                <w:b/>
                <w:sz w:val="18"/>
                <w:szCs w:val="18"/>
              </w:rPr>
              <w:t>NORTH AMERICAN ENERGY STANDARDS BOARD</w:t>
            </w:r>
            <w:r w:rsidRPr="00696526">
              <w:rPr>
                <w:b/>
                <w:sz w:val="18"/>
                <w:szCs w:val="18"/>
              </w:rPr>
              <w:br/>
            </w:r>
            <w:r w:rsidR="0072552C">
              <w:rPr>
                <w:b/>
                <w:sz w:val="18"/>
                <w:szCs w:val="18"/>
              </w:rPr>
              <w:t>2015</w:t>
            </w:r>
            <w:r w:rsidR="0072552C" w:rsidRPr="00696526">
              <w:rPr>
                <w:b/>
                <w:sz w:val="18"/>
                <w:szCs w:val="18"/>
              </w:rPr>
              <w:t xml:space="preserve"> </w:t>
            </w:r>
            <w:r w:rsidRPr="00696526">
              <w:rPr>
                <w:b/>
                <w:sz w:val="18"/>
                <w:szCs w:val="18"/>
              </w:rPr>
              <w:t xml:space="preserve">ANNUAL PLAN for the WHOLESALE ELECTRIC QUADRANT </w:t>
            </w:r>
            <w:r w:rsidRPr="00696526">
              <w:rPr>
                <w:b/>
                <w:sz w:val="18"/>
                <w:szCs w:val="18"/>
              </w:rPr>
              <w:br/>
            </w:r>
            <w:r w:rsidR="0072552C">
              <w:rPr>
                <w:b/>
                <w:sz w:val="18"/>
                <w:szCs w:val="18"/>
              </w:rPr>
              <w:t>As Proposed by the WEQ Annual Plan Subcommittee</w:t>
            </w:r>
          </w:p>
        </w:tc>
      </w:tr>
      <w:tr w:rsidR="002C55F4">
        <w:trPr>
          <w:cantSplit/>
          <w:tblHeader/>
        </w:trPr>
        <w:tc>
          <w:tcPr>
            <w:tcW w:w="9630" w:type="dxa"/>
            <w:gridSpan w:val="3"/>
            <w:tcBorders>
              <w:top w:val="single" w:sz="4" w:space="0" w:color="auto"/>
              <w:bottom w:val="single" w:sz="4" w:space="0" w:color="auto"/>
            </w:tcBorders>
          </w:tcPr>
          <w:p w:rsidR="002C55F4" w:rsidRPr="00696526" w:rsidRDefault="002C55F4">
            <w:pPr>
              <w:pStyle w:val="BodyTextIndent3"/>
              <w:tabs>
                <w:tab w:val="left" w:pos="6336"/>
              </w:tabs>
              <w:spacing w:before="40" w:after="40"/>
              <w:ind w:left="144"/>
              <w:rPr>
                <w:b/>
                <w:sz w:val="18"/>
                <w:szCs w:val="18"/>
              </w:rPr>
            </w:pPr>
            <w:r w:rsidRPr="00696526">
              <w:rPr>
                <w:b/>
                <w:sz w:val="18"/>
                <w:szCs w:val="18"/>
              </w:rPr>
              <w:t>PROVISIONAL ITEMS</w:t>
            </w:r>
          </w:p>
        </w:tc>
      </w:tr>
      <w:tr w:rsidR="002C55F4" w:rsidTr="00C148DA">
        <w:tc>
          <w:tcPr>
            <w:tcW w:w="358"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1</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spacing w:before="40" w:after="40"/>
              <w:rPr>
                <w:sz w:val="18"/>
                <w:szCs w:val="18"/>
              </w:rPr>
            </w:pPr>
            <w:r w:rsidRPr="00696526">
              <w:rPr>
                <w:b/>
                <w:sz w:val="18"/>
                <w:szCs w:val="18"/>
              </w:rPr>
              <w:t>Gas/Electric Coordination</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Conduct assessment to determine if Electric Industry Requirements documented in WEQ-011 Gas / Electric Coordination should be considered reliability requirements and transition to NERC.</w:t>
            </w:r>
          </w:p>
        </w:tc>
      </w:tr>
      <w:tr w:rsidR="007A3E47" w:rsidTr="00C148DA">
        <w:tc>
          <w:tcPr>
            <w:tcW w:w="358" w:type="dxa"/>
            <w:shd w:val="clear" w:color="auto" w:fill="FFFFFF"/>
          </w:tcPr>
          <w:p w:rsidR="007A3E47" w:rsidRDefault="007A3E47">
            <w:pPr>
              <w:pStyle w:val="TableText"/>
              <w:spacing w:before="40" w:after="40"/>
              <w:rPr>
                <w:rFonts w:ascii="Times New Roman" w:hAnsi="Times New Roman"/>
                <w:color w:val="auto"/>
                <w:sz w:val="18"/>
                <w:szCs w:val="18"/>
              </w:rPr>
            </w:pPr>
          </w:p>
        </w:tc>
        <w:tc>
          <w:tcPr>
            <w:tcW w:w="446" w:type="dxa"/>
            <w:shd w:val="clear" w:color="auto" w:fill="FFFFFF"/>
          </w:tcPr>
          <w:p w:rsidR="007A3E47" w:rsidRDefault="007A3E47">
            <w:pPr>
              <w:pStyle w:val="TableText"/>
              <w:keepNext/>
              <w:spacing w:before="40" w:after="40"/>
              <w:rPr>
                <w:rFonts w:ascii="Times New Roman" w:hAnsi="Times New Roman"/>
                <w:color w:val="auto"/>
                <w:sz w:val="18"/>
                <w:szCs w:val="18"/>
              </w:rPr>
            </w:pPr>
          </w:p>
        </w:tc>
        <w:tc>
          <w:tcPr>
            <w:tcW w:w="8826" w:type="dxa"/>
            <w:shd w:val="clear" w:color="auto" w:fill="FFFFFF"/>
          </w:tcPr>
          <w:p w:rsidR="007A3E47" w:rsidRDefault="007A3E47" w:rsidP="00E35E96">
            <w:pPr>
              <w:pStyle w:val="TableText"/>
              <w:tabs>
                <w:tab w:val="left" w:pos="6720"/>
              </w:tabs>
              <w:spacing w:before="60" w:after="60"/>
              <w:rPr>
                <w:rFonts w:ascii="Times New Roman" w:hAnsi="Times New Roman"/>
                <w:sz w:val="18"/>
                <w:szCs w:val="18"/>
              </w:rPr>
            </w:pPr>
          </w:p>
        </w:tc>
      </w:tr>
      <w:tr w:rsidR="002C55F4" w:rsidTr="00C148DA">
        <w:tc>
          <w:tcPr>
            <w:tcW w:w="358" w:type="dxa"/>
            <w:shd w:val="clear" w:color="auto" w:fill="FFFFFF"/>
          </w:tcPr>
          <w:p w:rsidR="002C55F4" w:rsidRDefault="00AC702E">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2</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keepNext/>
              <w:spacing w:before="40" w:after="40"/>
              <w:rPr>
                <w:sz w:val="18"/>
                <w:szCs w:val="18"/>
              </w:rPr>
            </w:pPr>
            <w:r w:rsidRPr="00696526">
              <w:rPr>
                <w:b/>
                <w:sz w:val="18"/>
                <w:szCs w:val="18"/>
              </w:rPr>
              <w:t xml:space="preserve">Optional </w:t>
            </w:r>
            <w:r w:rsidR="009675FA">
              <w:rPr>
                <w:b/>
                <w:sz w:val="18"/>
                <w:szCs w:val="18"/>
              </w:rPr>
              <w:t>W</w:t>
            </w:r>
            <w:r w:rsidRPr="00696526">
              <w:rPr>
                <w:b/>
                <w:sz w:val="18"/>
                <w:szCs w:val="18"/>
              </w:rPr>
              <w:t xml:space="preserve">ork to </w:t>
            </w:r>
            <w:r w:rsidR="009675FA">
              <w:rPr>
                <w:b/>
                <w:sz w:val="18"/>
                <w:szCs w:val="18"/>
              </w:rPr>
              <w:t>E</w:t>
            </w:r>
            <w:r w:rsidRPr="00696526">
              <w:rPr>
                <w:b/>
                <w:sz w:val="18"/>
                <w:szCs w:val="18"/>
              </w:rPr>
              <w:t xml:space="preserve">xtend </w:t>
            </w:r>
            <w:r w:rsidR="009675FA">
              <w:rPr>
                <w:b/>
                <w:sz w:val="18"/>
                <w:szCs w:val="18"/>
              </w:rPr>
              <w:t>E</w:t>
            </w:r>
            <w:r w:rsidRPr="00696526">
              <w:rPr>
                <w:b/>
                <w:sz w:val="18"/>
                <w:szCs w:val="18"/>
              </w:rPr>
              <w:t xml:space="preserve">xisting </w:t>
            </w:r>
            <w:r w:rsidR="009675FA">
              <w:rPr>
                <w:b/>
                <w:sz w:val="18"/>
                <w:szCs w:val="18"/>
              </w:rPr>
              <w:t>S</w:t>
            </w:r>
            <w:r w:rsidRPr="00696526">
              <w:rPr>
                <w:b/>
                <w:sz w:val="18"/>
                <w:szCs w:val="18"/>
              </w:rPr>
              <w:t>tandards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0"/>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1"/>
            </w:r>
            <w:r w:rsidRPr="00696526">
              <w:rPr>
                <w:sz w:val="18"/>
                <w:szCs w:val="18"/>
              </w:rPr>
              <w:t>.  Work on this activity is dependent on completing 2010 WEQ Annual Plan 1.a (Parallel Flow Visualization/Mitigation for Reliability Coordinators in the Eastern Interconnection - Phase 1).</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3A366C" w:rsidTr="00C148DA">
        <w:tc>
          <w:tcPr>
            <w:tcW w:w="358" w:type="dxa"/>
            <w:shd w:val="clear" w:color="auto" w:fill="FFFFFF"/>
          </w:tcPr>
          <w:p w:rsidR="003A366C" w:rsidRDefault="003A366C">
            <w:pPr>
              <w:pStyle w:val="TableText"/>
              <w:spacing w:before="40" w:after="40"/>
              <w:rPr>
                <w:rFonts w:ascii="Times New Roman" w:hAnsi="Times New Roman"/>
                <w:color w:val="auto"/>
                <w:sz w:val="18"/>
                <w:szCs w:val="18"/>
              </w:rPr>
            </w:pPr>
          </w:p>
        </w:tc>
        <w:tc>
          <w:tcPr>
            <w:tcW w:w="446" w:type="dxa"/>
            <w:shd w:val="clear" w:color="auto" w:fill="FFFFFF"/>
          </w:tcPr>
          <w:p w:rsidR="003A366C" w:rsidRDefault="003A366C">
            <w:pPr>
              <w:pStyle w:val="TableText"/>
              <w:keepNext/>
              <w:spacing w:before="40" w:after="40"/>
              <w:rPr>
                <w:rFonts w:ascii="Times New Roman" w:hAnsi="Times New Roman"/>
                <w:color w:val="auto"/>
                <w:sz w:val="18"/>
                <w:szCs w:val="18"/>
              </w:rPr>
            </w:pPr>
          </w:p>
        </w:tc>
        <w:tc>
          <w:tcPr>
            <w:tcW w:w="8826" w:type="dxa"/>
            <w:shd w:val="clear" w:color="auto" w:fill="FFFFFF"/>
          </w:tcPr>
          <w:p w:rsidR="003A366C" w:rsidRPr="00696526" w:rsidRDefault="003A366C">
            <w:pPr>
              <w:pStyle w:val="Signature"/>
              <w:spacing w:before="40" w:after="40"/>
              <w:rPr>
                <w:sz w:val="18"/>
                <w:szCs w:val="18"/>
              </w:rPr>
            </w:pPr>
          </w:p>
        </w:tc>
      </w:tr>
      <w:tr w:rsidR="002C55F4" w:rsidTr="00C148DA">
        <w:tc>
          <w:tcPr>
            <w:tcW w:w="358"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3</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based on FERC Order No. 1000. (</w:t>
            </w:r>
            <w:hyperlink r:id="rId21" w:history="1">
              <w:r w:rsidRPr="00696526">
                <w:rPr>
                  <w:rStyle w:val="Hyperlink"/>
                  <w:sz w:val="18"/>
                  <w:szCs w:val="18"/>
                </w:rPr>
                <w:t>NAESB Analysis of FERC Order No. 1000</w:t>
              </w:r>
            </w:hyperlink>
            <w:r w:rsidRPr="00696526">
              <w:rPr>
                <w:sz w:val="18"/>
                <w:szCs w:val="18"/>
              </w:rPr>
              <w:t>)</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in support of Variable Energy Resources (VERs) final order (RM10-11-000).  (</w:t>
            </w:r>
            <w:hyperlink r:id="rId22" w:history="1">
              <w:r w:rsidRPr="00696526">
                <w:rPr>
                  <w:rStyle w:val="Hyperlink"/>
                  <w:sz w:val="18"/>
                  <w:szCs w:val="18"/>
                </w:rPr>
                <w:t>NAESB Comments 3-2-11</w:t>
              </w:r>
            </w:hyperlink>
            <w:r w:rsidRPr="00696526">
              <w:rPr>
                <w:sz w:val="18"/>
                <w:szCs w:val="18"/>
              </w:rPr>
              <w:t xml:space="preserve">, </w:t>
            </w:r>
            <w:hyperlink r:id="rId23" w:history="1">
              <w:r w:rsidRPr="00696526">
                <w:rPr>
                  <w:rStyle w:val="Hyperlink"/>
                  <w:sz w:val="18"/>
                  <w:szCs w:val="18"/>
                </w:rPr>
                <w:t>FERC NOPR RM10-11-000</w:t>
              </w:r>
            </w:hyperlink>
            <w:r w:rsidRPr="00696526">
              <w:rPr>
                <w:rStyle w:val="Hyperlink"/>
                <w:color w:val="auto"/>
                <w:sz w:val="18"/>
                <w:szCs w:val="18"/>
                <w:u w:val="none"/>
              </w:rPr>
              <w:t xml:space="preserve">, </w:t>
            </w:r>
            <w:hyperlink r:id="rId24" w:history="1">
              <w:r w:rsidRPr="00696526">
                <w:rPr>
                  <w:rStyle w:val="Hyperlink"/>
                  <w:sz w:val="18"/>
                  <w:szCs w:val="18"/>
                </w:rPr>
                <w:t>FERC Final Order No. 764, Docket No. RM10-11-000</w:t>
              </w:r>
            </w:hyperlink>
            <w:r w:rsidRPr="00696526">
              <w:rPr>
                <w:rStyle w:val="FootnoteReference"/>
                <w:color w:val="0000FF"/>
                <w:sz w:val="18"/>
                <w:szCs w:val="18"/>
                <w:u w:val="single"/>
              </w:rPr>
              <w:footnoteReference w:id="12"/>
            </w:r>
            <w:r w:rsidRPr="00696526">
              <w:rPr>
                <w:sz w:val="18"/>
                <w:szCs w:val="18"/>
              </w:rPr>
              <w:t>)</w:t>
            </w:r>
          </w:p>
        </w:tc>
      </w:tr>
      <w:tr w:rsidR="0053609B" w:rsidTr="00C148DA">
        <w:tc>
          <w:tcPr>
            <w:tcW w:w="358" w:type="dxa"/>
            <w:shd w:val="clear" w:color="auto" w:fill="FFFFFF"/>
          </w:tcPr>
          <w:p w:rsidR="0053609B" w:rsidRDefault="0053609B">
            <w:pPr>
              <w:pStyle w:val="TableText"/>
              <w:spacing w:before="40" w:after="40"/>
              <w:rPr>
                <w:rFonts w:ascii="Times New Roman" w:hAnsi="Times New Roman"/>
                <w:color w:val="auto"/>
                <w:sz w:val="18"/>
                <w:szCs w:val="18"/>
              </w:rPr>
            </w:pPr>
          </w:p>
        </w:tc>
        <w:tc>
          <w:tcPr>
            <w:tcW w:w="446" w:type="dxa"/>
            <w:shd w:val="clear" w:color="auto" w:fill="FFFFFF"/>
          </w:tcPr>
          <w:p w:rsidR="0053609B" w:rsidRDefault="0034766A">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r w:rsidR="0053609B">
              <w:rPr>
                <w:rFonts w:ascii="Times New Roman" w:hAnsi="Times New Roman"/>
                <w:color w:val="auto"/>
                <w:sz w:val="18"/>
                <w:szCs w:val="18"/>
              </w:rPr>
              <w:t>)</w:t>
            </w:r>
          </w:p>
        </w:tc>
        <w:tc>
          <w:tcPr>
            <w:tcW w:w="8826" w:type="dxa"/>
            <w:shd w:val="clear" w:color="auto" w:fill="FFFFFF"/>
          </w:tcPr>
          <w:p w:rsidR="0053609B" w:rsidRDefault="0053609B">
            <w:pPr>
              <w:pStyle w:val="Signature"/>
              <w:spacing w:before="40" w:after="40"/>
              <w:rPr>
                <w:sz w:val="18"/>
                <w:szCs w:val="18"/>
              </w:rPr>
            </w:pPr>
            <w:r w:rsidRPr="0053609B">
              <w:rPr>
                <w:sz w:val="18"/>
                <w:szCs w:val="18"/>
              </w:rPr>
              <w:t xml:space="preserve">Develop and/or modify Demand Response Standards as needed in </w:t>
            </w:r>
            <w:r w:rsidR="009C517D">
              <w:rPr>
                <w:sz w:val="18"/>
                <w:szCs w:val="18"/>
              </w:rPr>
              <w:t xml:space="preserve">response to the Supreme Court decisions regarding the </w:t>
            </w:r>
            <w:r w:rsidRPr="0053609B">
              <w:rPr>
                <w:sz w:val="18"/>
                <w:szCs w:val="18"/>
              </w:rPr>
              <w:t xml:space="preserve">final D.C. Circuit ruling on FERC Order </w:t>
            </w:r>
            <w:r w:rsidR="00FA4689">
              <w:rPr>
                <w:sz w:val="18"/>
                <w:szCs w:val="18"/>
              </w:rPr>
              <w:t xml:space="preserve">No. </w:t>
            </w:r>
            <w:r w:rsidRPr="0053609B">
              <w:rPr>
                <w:sz w:val="18"/>
                <w:szCs w:val="18"/>
              </w:rPr>
              <w:t>745</w:t>
            </w:r>
          </w:p>
        </w:tc>
      </w:tr>
    </w:tbl>
    <w:p w:rsidR="002C55F4" w:rsidRDefault="002C55F4">
      <w:pPr>
        <w:pStyle w:val="BodyText"/>
        <w:keepNext/>
        <w:keepLines/>
        <w:spacing w:before="120" w:after="240"/>
        <w:jc w:val="center"/>
        <w:rPr>
          <w:b/>
          <w:smallCaps/>
        </w:rPr>
      </w:pPr>
      <w:r>
        <w:rPr>
          <w:b/>
          <w:smallCaps/>
        </w:rPr>
        <w:lastRenderedPageBreak/>
        <w:t>Wholesale Electric Quadrant Executive committee and Subcommittee Structure</w:t>
      </w:r>
    </w:p>
    <w:p w:rsidR="002C55F4" w:rsidRDefault="008561DE">
      <w:pPr>
        <w:pStyle w:val="BodyText"/>
        <w:jc w:val="both"/>
        <w:rPr>
          <w:b/>
          <w:sz w:val="18"/>
          <w:szCs w:val="18"/>
        </w:rPr>
      </w:pPr>
      <w:r>
        <w:rPr>
          <w:b/>
          <w:noProof/>
          <w:sz w:val="18"/>
          <w:szCs w:val="18"/>
        </w:rPr>
        <mc:AlternateContent>
          <mc:Choice Requires="wpc">
            <w:drawing>
              <wp:inline distT="0" distB="0" distL="0" distR="0" wp14:anchorId="31F356F3" wp14:editId="5F5B8137">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BA4B71" w:rsidRPr="00401297" w:rsidRDefault="00BA4B71"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BA4B71" w:rsidRPr="007A50B3" w:rsidRDefault="00BA4B71"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BA4B71" w:rsidRPr="00A0124C" w:rsidRDefault="00BA4B71"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BA4B71" w:rsidRDefault="00BA4B71"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20600" y="4457700"/>
                            <a:ext cx="3109600" cy="3219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BA4B71" w:rsidRDefault="00BA4B71" w:rsidP="00C7062B">
                              <w:pPr>
                                <w:autoSpaceDE w:val="0"/>
                                <w:autoSpaceDN w:val="0"/>
                                <w:adjustRightInd w:val="0"/>
                                <w:jc w:val="center"/>
                                <w:rPr>
                                  <w:color w:val="000000"/>
                                  <w:sz w:val="8"/>
                                  <w:szCs w:val="8"/>
                                </w:rPr>
                              </w:pPr>
                            </w:p>
                            <w:p w:rsidR="00BA4B71" w:rsidRPr="00DC57C9" w:rsidRDefault="00BA4B71"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BA4B71" w:rsidRPr="00C7062B" w:rsidRDefault="00BA4B71"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4442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20600" y="4927098"/>
                            <a:ext cx="3109595" cy="32131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BA4B71">
                              <w:pPr>
                                <w:pStyle w:val="NormalWeb"/>
                                <w:spacing w:before="0" w:beforeAutospacing="0" w:after="0" w:afterAutospacing="0"/>
                                <w:jc w:val="center"/>
                              </w:pPr>
                              <w:r>
                                <w:rPr>
                                  <w:rFonts w:eastAsia="Times New Roman"/>
                                  <w:color w:val="000000"/>
                                  <w:sz w:val="8"/>
                                  <w:szCs w:val="8"/>
                                </w:rPr>
                                <w:t> </w:t>
                              </w:r>
                            </w:p>
                            <w:p w:rsidR="00BA4B71" w:rsidRDefault="00BA4B71" w:rsidP="00BA4B71">
                              <w:pPr>
                                <w:pStyle w:val="NormalWeb"/>
                                <w:spacing w:before="0" w:beforeAutospacing="0" w:after="0" w:afterAutospacing="0"/>
                                <w:jc w:val="center"/>
                              </w:pPr>
                              <w:r>
                                <w:rPr>
                                  <w:rFonts w:eastAsia="Times New Roman"/>
                                  <w:color w:val="000000"/>
                                  <w:sz w:val="18"/>
                                  <w:szCs w:val="18"/>
                                </w:rPr>
                                <w:t>FERC Forms Subcommittee</w:t>
                              </w:r>
                            </w:p>
                          </w:txbxContent>
                        </wps:txbx>
                        <wps:bodyPr rot="0" vert="horz" wrap="square" lIns="0" tIns="0" rIns="0" bIns="0" anchor="ctr" anchorCtr="0" upright="1">
                          <a:noAutofit/>
                        </wps:bodyPr>
                      </wps:wsp>
                      <wps:wsp>
                        <wps:cNvPr id="35" name="Line 281"/>
                        <wps:cNvCnPr/>
                        <wps:spPr bwMode="auto">
                          <a:xfrm flipH="1">
                            <a:off x="2047241" y="5102196"/>
                            <a:ext cx="3333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BA4B71" w:rsidRPr="00401297" w:rsidRDefault="00BA4B71"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BA4B71" w:rsidRPr="007A50B3" w:rsidRDefault="00BA4B71"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BA4B71" w:rsidRDefault="00BA4B71"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BA4B71" w:rsidRPr="00A0124C" w:rsidRDefault="00BA4B71"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shape id="AutoShape 267" o:spid="_x0000_s1037"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BA4B71" w:rsidRDefault="00BA4B71"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8"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39" style="position:absolute;left:24206;top:44577;width:31096;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v:textbox>
                </v:roundrect>
                <v:line id="Line 271" o:spid="_x0000_s1040"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1"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2"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3"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4"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5"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6"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BA4B71" w:rsidRDefault="00BA4B71" w:rsidP="00C7062B">
                        <w:pPr>
                          <w:autoSpaceDE w:val="0"/>
                          <w:autoSpaceDN w:val="0"/>
                          <w:adjustRightInd w:val="0"/>
                          <w:jc w:val="center"/>
                          <w:rPr>
                            <w:color w:val="000000"/>
                            <w:sz w:val="8"/>
                            <w:szCs w:val="8"/>
                          </w:rPr>
                        </w:pPr>
                      </w:p>
                      <w:p w:rsidR="00BA4B71" w:rsidRPr="00DC57C9" w:rsidRDefault="00BA4B71"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7"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8"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BA4B71" w:rsidRPr="00C7062B" w:rsidRDefault="00BA4B71"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v:textbox>
                </v:roundrect>
                <v:line id="Line 281" o:spid="_x0000_s1049"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0"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1"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2" style="position:absolute;flip:y;visibility:visible;mso-wrap-style:square" from="20294,6696" to="20478,5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v:roundrect id="AutoShape 269" o:spid="_x0000_s1053" style="position:absolute;left:24206;top:49270;width:31095;height:32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NUcIA&#10;AADbAAAADwAAAGRycy9kb3ducmV2LnhtbESPS4sCMRCE74L/IbTgTTM+UBmNIorLsgjiA7w2k54H&#10;TjrjJKvjv98sCB6LqvqKWqwaU4oH1a6wrGDQj0AQJ1YXnCm4nHe9GQjnkTWWlknBixyslu3WAmNt&#10;n3ykx8lnIkDYxagg976KpXRJTgZd31bEwUttbdAHWWdS1/gMcFPKYRRNpMGCw0KOFW1ySm6nX6Pg&#10;ft2naOXm8jrwlr6mMxqnP6RUt9Os5yA8Nf4Tfre/tYLRGP6/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s1RwgAAANsAAAAPAAAAAAAAAAAAAAAAAJgCAABkcnMvZG93&#10;bnJldi54bWxQSwUGAAAAAAQABAD1AAAAhwMAAAAA&#10;" fillcolor="#ccecff" strokeweight="1.25pt">
                  <v:textbox inset="0,0,0,0">
                    <w:txbxContent>
                      <w:p w:rsidR="00BA4B71" w:rsidRDefault="00BA4B71" w:rsidP="00BA4B71">
                        <w:pPr>
                          <w:pStyle w:val="NormalWeb"/>
                          <w:spacing w:before="0" w:beforeAutospacing="0" w:after="0" w:afterAutospacing="0"/>
                          <w:jc w:val="center"/>
                        </w:pPr>
                        <w:r>
                          <w:rPr>
                            <w:rFonts w:eastAsia="Times New Roman"/>
                            <w:color w:val="000000"/>
                            <w:sz w:val="8"/>
                            <w:szCs w:val="8"/>
                          </w:rPr>
                          <w:t> </w:t>
                        </w:r>
                      </w:p>
                      <w:p w:rsidR="00BA4B71" w:rsidRDefault="00BA4B71" w:rsidP="00BA4B71">
                        <w:pPr>
                          <w:pStyle w:val="NormalWeb"/>
                          <w:spacing w:before="0" w:beforeAutospacing="0" w:after="0" w:afterAutospacing="0"/>
                          <w:jc w:val="center"/>
                        </w:pPr>
                        <w:r>
                          <w:rPr>
                            <w:rFonts w:eastAsia="Times New Roman"/>
                            <w:color w:val="000000"/>
                            <w:sz w:val="18"/>
                            <w:szCs w:val="18"/>
                          </w:rPr>
                          <w:t>FERC Forms Subcommittee</w:t>
                        </w:r>
                      </w:p>
                    </w:txbxContent>
                  </v:textbox>
                </v:roundrect>
                <v:line id="Line 281" o:spid="_x0000_s1054" style="position:absolute;flip:x;visibility:visible;mso-wrap-style:square" from="20472,51021" to="23806,5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hjMMAAADbAAAADwAAAGRycy9kb3ducmV2LnhtbESPQWsCMRSE7wX/Q3iCt5pVqc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n4YzDAAAA2wAAAA8AAAAAAAAAAAAA&#10;AAAAoQIAAGRycy9kb3ducmV2LnhtbFBLBQYAAAAABAAEAPkAAACRAwAAAAA=&#10;" strokeweight="1.5pt"/>
                <w10:anchorlock/>
              </v:group>
            </w:pict>
          </mc:Fallback>
        </mc:AlternateContent>
      </w:r>
    </w:p>
    <w:p w:rsidR="002C55F4" w:rsidRDefault="002C55F4">
      <w:pPr>
        <w:pStyle w:val="BodyText"/>
        <w:keepNext/>
        <w:pageBreakBefore/>
        <w:jc w:val="both"/>
        <w:rPr>
          <w:sz w:val="18"/>
          <w:szCs w:val="18"/>
        </w:rPr>
      </w:pPr>
      <w:r>
        <w:rPr>
          <w:b/>
          <w:sz w:val="18"/>
          <w:szCs w:val="18"/>
        </w:rPr>
        <w:lastRenderedPageBreak/>
        <w:t>NAESB WEQ EC and Active Subcommittee Leadership</w:t>
      </w:r>
      <w:r>
        <w:rPr>
          <w:sz w:val="18"/>
          <w:szCs w:val="18"/>
        </w:rPr>
        <w:t>:</w:t>
      </w:r>
    </w:p>
    <w:p w:rsidR="002C55F4" w:rsidRDefault="002C55F4">
      <w:pPr>
        <w:pStyle w:val="BodyText"/>
        <w:spacing w:before="120"/>
        <w:rPr>
          <w:sz w:val="18"/>
          <w:szCs w:val="18"/>
        </w:rPr>
      </w:pPr>
      <w:r>
        <w:rPr>
          <w:sz w:val="18"/>
          <w:szCs w:val="18"/>
        </w:rPr>
        <w:t>Executive Committee (EC):  Kathy York (Chair) and Bob Harshbarger (Vice Chair)</w:t>
      </w:r>
    </w:p>
    <w:p w:rsidR="002C55F4" w:rsidRDefault="002C55F4">
      <w:pPr>
        <w:pStyle w:val="BodyText"/>
        <w:ind w:left="180"/>
        <w:rPr>
          <w:sz w:val="18"/>
          <w:szCs w:val="18"/>
        </w:rPr>
      </w:pPr>
      <w:r>
        <w:rPr>
          <w:sz w:val="18"/>
          <w:szCs w:val="18"/>
        </w:rPr>
        <w:t xml:space="preserve">Standards Review Subcommittee (SRS):  </w:t>
      </w:r>
      <w:r w:rsidR="00D766EB">
        <w:rPr>
          <w:sz w:val="18"/>
          <w:szCs w:val="18"/>
        </w:rPr>
        <w:t>Rebecca Berdahl</w:t>
      </w:r>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 xml:space="preserve">Business Practices Subcommittee (BPS) &amp; Time and Inadvertent Management Task Force (TIMTF): </w:t>
      </w:r>
      <w:r w:rsidR="007A569C">
        <w:rPr>
          <w:sz w:val="18"/>
          <w:szCs w:val="18"/>
        </w:rPr>
        <w:t>Jason Davis</w:t>
      </w:r>
      <w:r>
        <w:rPr>
          <w:sz w:val="18"/>
          <w:szCs w:val="18"/>
        </w:rPr>
        <w:t xml:space="preserve">, </w:t>
      </w:r>
      <w:r w:rsidR="00D766EB">
        <w:rPr>
          <w:sz w:val="18"/>
          <w:szCs w:val="18"/>
        </w:rPr>
        <w:t xml:space="preserve">Ross Kovacs, </w:t>
      </w:r>
      <w:r>
        <w:rPr>
          <w:sz w:val="18"/>
          <w:szCs w:val="18"/>
        </w:rPr>
        <w:t>Narinder Saini</w:t>
      </w:r>
    </w:p>
    <w:p w:rsidR="002C55F4" w:rsidRDefault="002C55F4">
      <w:pPr>
        <w:pStyle w:val="BodyText"/>
        <w:ind w:left="180"/>
        <w:rPr>
          <w:sz w:val="18"/>
          <w:szCs w:val="18"/>
        </w:rPr>
      </w:pPr>
      <w:r>
        <w:rPr>
          <w:sz w:val="18"/>
          <w:szCs w:val="18"/>
        </w:rPr>
        <w:t>Open Access Same Time Information System (OASIS) Subcommittee: J.T. Wood, Alan Pritchard</w:t>
      </w:r>
    </w:p>
    <w:p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Bob Harshbarger, </w:t>
      </w:r>
      <w:r w:rsidR="00594B5F">
        <w:rPr>
          <w:sz w:val="18"/>
          <w:szCs w:val="18"/>
        </w:rPr>
        <w:t>Joshua Phillips</w:t>
      </w:r>
      <w:r w:rsidR="002C55F4">
        <w:rPr>
          <w:sz w:val="18"/>
          <w:szCs w:val="18"/>
        </w:rPr>
        <w:t xml:space="preserve"> </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Demand Side Management-Energy Efficiency (DSM-EE) REQ/WEQ Subcommittee: Roy True (WEQ), Paul Wattles (WEQ), and Eric Winkler (</w:t>
      </w:r>
      <w:r w:rsidR="0043417C">
        <w:rPr>
          <w:sz w:val="18"/>
          <w:szCs w:val="18"/>
        </w:rPr>
        <w:t>RMQ</w:t>
      </w:r>
      <w:r>
        <w:rPr>
          <w:sz w:val="18"/>
          <w:szCs w:val="18"/>
        </w:rPr>
        <w:t>)</w:t>
      </w:r>
    </w:p>
    <w:p w:rsidR="00AC081C" w:rsidRDefault="00AC081C" w:rsidP="00BE47F0">
      <w:pPr>
        <w:pStyle w:val="BodyText"/>
        <w:spacing w:before="40" w:after="40"/>
        <w:ind w:firstLine="180"/>
        <w:rPr>
          <w:sz w:val="18"/>
          <w:szCs w:val="18"/>
        </w:rPr>
      </w:pPr>
      <w:r>
        <w:rPr>
          <w:sz w:val="18"/>
          <w:szCs w:val="18"/>
        </w:rPr>
        <w:t>FERC Forms Subcommittee (WEQ/WGQ): Leigh Spangler (WGQ), Dick Brooks (WEQ)</w:t>
      </w:r>
    </w:p>
    <w:p w:rsidR="00AC081C" w:rsidRDefault="00AC081C" w:rsidP="00807D33">
      <w:pPr>
        <w:pStyle w:val="BodyText"/>
        <w:ind w:left="180"/>
        <w:rPr>
          <w:sz w:val="18"/>
          <w:szCs w:val="18"/>
        </w:rPr>
      </w:pP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1F0C92">
      <w:pPr>
        <w:pStyle w:val="BodyText"/>
        <w:ind w:left="270" w:hanging="90"/>
        <w:rPr>
          <w:sz w:val="18"/>
          <w:szCs w:val="18"/>
        </w:rPr>
      </w:pPr>
      <w:r>
        <w:rPr>
          <w:sz w:val="18"/>
          <w:szCs w:val="18"/>
        </w:rPr>
        <w:t>e-Tariff Joint WEQ/WGQ Subcommittee (e-Tariff):  Keith Sappenfield (WGQ)</w:t>
      </w:r>
    </w:p>
    <w:p w:rsidR="002C55F4" w:rsidRDefault="002C55F4">
      <w:pPr>
        <w:pStyle w:val="BodyText"/>
        <w:ind w:left="270"/>
        <w:rPr>
          <w:sz w:val="18"/>
          <w:szCs w:val="18"/>
        </w:rPr>
      </w:pPr>
    </w:p>
    <w:p w:rsidR="002C55F4" w:rsidRDefault="002C55F4">
      <w:pPr>
        <w:widowControl w:val="0"/>
        <w:spacing w:before="240"/>
        <w:ind w:left="540" w:hanging="540"/>
        <w:rPr>
          <w:sz w:val="18"/>
          <w:szCs w:val="18"/>
        </w:rPr>
      </w:pPr>
      <w:r>
        <w:rPr>
          <w:sz w:val="18"/>
          <w:szCs w:val="18"/>
        </w:rPr>
        <w:t xml:space="preserve">(**)  </w:t>
      </w:r>
      <w:r>
        <w:rPr>
          <w:sz w:val="18"/>
          <w:szCs w:val="18"/>
        </w:rPr>
        <w:tab/>
        <w:t>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CalConnect, FIX and UCAIug, among others.  Direction may be given from NIST, DoE or FERC and the group reports jointly to the NAESB Board Smart Grid Strategic Steering Committee and the WEQ and R</w:t>
      </w:r>
      <w:r w:rsidR="0043417C">
        <w:rPr>
          <w:sz w:val="18"/>
          <w:szCs w:val="18"/>
        </w:rPr>
        <w:t>M</w:t>
      </w:r>
      <w:r>
        <w:rPr>
          <w:sz w:val="18"/>
          <w:szCs w:val="18"/>
        </w:rPr>
        <w:t xml:space="preserve">Q ECs.  </w:t>
      </w:r>
    </w:p>
    <w:p w:rsidR="002C55F4" w:rsidRDefault="002C55F4">
      <w:pPr>
        <w:widowControl w:val="0"/>
        <w:spacing w:before="240"/>
        <w:ind w:left="540" w:hanging="540"/>
        <w:rPr>
          <w:sz w:val="18"/>
          <w:szCs w:val="18"/>
        </w:rPr>
      </w:pPr>
      <w:r>
        <w:rPr>
          <w:sz w:val="18"/>
          <w:szCs w:val="18"/>
        </w:rPr>
        <w:t xml:space="preserve">(***)  </w:t>
      </w:r>
      <w:r>
        <w:rPr>
          <w:sz w:val="18"/>
          <w:szCs w:val="18"/>
        </w:rPr>
        <w:tab/>
        <w:t>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WEQ and R</w:t>
      </w:r>
      <w:r w:rsidR="0043417C">
        <w:rPr>
          <w:sz w:val="18"/>
          <w:szCs w:val="18"/>
        </w:rPr>
        <w:t>M</w:t>
      </w:r>
      <w:r>
        <w:rPr>
          <w:sz w:val="18"/>
          <w:szCs w:val="18"/>
        </w:rPr>
        <w:t>Q</w:t>
      </w:r>
      <w:r w:rsidR="0077578D">
        <w:rPr>
          <w:sz w:val="18"/>
          <w:szCs w:val="18"/>
        </w:rPr>
        <w:t xml:space="preserve"> </w:t>
      </w:r>
      <w:r>
        <w:rPr>
          <w:sz w:val="18"/>
          <w:szCs w:val="18"/>
        </w:rPr>
        <w:t xml:space="preserve">ECs.   </w:t>
      </w:r>
    </w:p>
    <w:p w:rsidR="002C55F4" w:rsidRDefault="002C55F4" w:rsidP="008F7356"/>
    <w:sectPr w:rsidR="002C55F4" w:rsidSect="00EF22C9">
      <w:headerReference w:type="default" r:id="rId25"/>
      <w:footerReference w:type="default" r:id="rId26"/>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70" w:rsidRDefault="000D0270">
      <w:r>
        <w:separator/>
      </w:r>
    </w:p>
  </w:endnote>
  <w:endnote w:type="continuationSeparator" w:id="0">
    <w:p w:rsidR="000D0270" w:rsidRDefault="000D0270">
      <w:r>
        <w:continuationSeparator/>
      </w:r>
    </w:p>
  </w:endnote>
  <w:endnote w:id="1">
    <w:p w:rsidR="00BA4B71" w:rsidRDefault="00BA4B71">
      <w:pPr>
        <w:pStyle w:val="EndnoteText"/>
        <w:rPr>
          <w:b/>
          <w:sz w:val="18"/>
          <w:szCs w:val="18"/>
        </w:rPr>
      </w:pPr>
    </w:p>
    <w:p w:rsidR="00BA4B71" w:rsidRDefault="00BA4B71">
      <w:pPr>
        <w:pStyle w:val="EndnoteText"/>
        <w:rPr>
          <w:b/>
          <w:sz w:val="18"/>
          <w:szCs w:val="18"/>
        </w:rPr>
      </w:pPr>
      <w:r>
        <w:rPr>
          <w:b/>
          <w:sz w:val="18"/>
          <w:szCs w:val="18"/>
        </w:rPr>
        <w:t>End Notes WEQ 2015 Annual Plan:</w:t>
      </w:r>
    </w:p>
    <w:p w:rsidR="00BA4B71" w:rsidRDefault="00BA4B71">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BA4B71" w:rsidRDefault="00BA4B71">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71" w:rsidRDefault="00BA4B71" w:rsidP="006E12DE">
    <w:pPr>
      <w:pStyle w:val="Footer"/>
      <w:pBdr>
        <w:top w:val="single" w:sz="4" w:space="1" w:color="auto"/>
      </w:pBdr>
      <w:jc w:val="right"/>
      <w:rPr>
        <w:sz w:val="18"/>
        <w:szCs w:val="18"/>
      </w:rPr>
    </w:pPr>
    <w:r>
      <w:rPr>
        <w:sz w:val="18"/>
        <w:szCs w:val="18"/>
      </w:rPr>
      <w:t>201</w:t>
    </w:r>
    <w:r w:rsidR="00471CCC">
      <w:rPr>
        <w:sz w:val="18"/>
        <w:szCs w:val="18"/>
      </w:rPr>
      <w:t>6</w:t>
    </w:r>
    <w:r>
      <w:rPr>
        <w:sz w:val="18"/>
        <w:szCs w:val="18"/>
      </w:rPr>
      <w:t xml:space="preserve"> WEQ Annual Plan Adopted by the </w:t>
    </w:r>
    <w:r w:rsidR="00471CCC">
      <w:rPr>
        <w:sz w:val="18"/>
        <w:szCs w:val="18"/>
      </w:rPr>
      <w:t>Annual Plan Subcommittee</w:t>
    </w:r>
    <w:r>
      <w:rPr>
        <w:sz w:val="18"/>
        <w:szCs w:val="18"/>
      </w:rPr>
      <w:t xml:space="preserve"> on </w:t>
    </w:r>
    <w:r w:rsidR="00471CCC">
      <w:rPr>
        <w:sz w:val="18"/>
        <w:szCs w:val="18"/>
      </w:rPr>
      <w:t>October 16</w:t>
    </w:r>
    <w:r>
      <w:rPr>
        <w:sz w:val="18"/>
        <w:szCs w:val="18"/>
      </w:rPr>
      <w:t>, 2015</w:t>
    </w:r>
  </w:p>
  <w:p w:rsidR="00BA4B71" w:rsidRDefault="00BA4B71"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BE47F0">
      <w:rPr>
        <w:noProof/>
        <w:sz w:val="18"/>
        <w:szCs w:val="18"/>
      </w:rPr>
      <w:t>6</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BE47F0">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70" w:rsidRDefault="000D0270">
      <w:r>
        <w:separator/>
      </w:r>
    </w:p>
  </w:footnote>
  <w:footnote w:type="continuationSeparator" w:id="0">
    <w:p w:rsidR="000D0270" w:rsidRDefault="000D0270">
      <w:r>
        <w:continuationSeparator/>
      </w:r>
    </w:p>
  </w:footnote>
  <w:footnote w:id="1">
    <w:p w:rsidR="00BA4B71" w:rsidRDefault="00BA4B71">
      <w:pPr>
        <w:pStyle w:val="FootnoteText"/>
        <w:spacing w:before="60"/>
      </w:pPr>
    </w:p>
  </w:footnote>
  <w:footnote w:id="2">
    <w:p w:rsidR="00BA4B71" w:rsidRDefault="00BA4B71">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3">
    <w:p w:rsidR="00BA4B71" w:rsidRDefault="00BA4B71">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w:t>
      </w:r>
      <w:r w:rsidRPr="006D1FEF">
        <w:rPr>
          <w:rFonts w:ascii="Times New Roman" w:hAnsi="Times New Roman"/>
          <w:sz w:val="16"/>
          <w:szCs w:val="16"/>
        </w:rPr>
        <w:t>FERC Order No. 890, issued February 16, 2007</w:t>
      </w:r>
      <w:r>
        <w:rPr>
          <w:rFonts w:ascii="Times New Roman" w:hAnsi="Times New Roman"/>
          <w:sz w:val="16"/>
          <w:szCs w:val="16"/>
        </w:rPr>
        <w:t>,</w:t>
      </w:r>
      <w:r w:rsidRPr="006D1FEF">
        <w:rPr>
          <w:rFonts w:ascii="Times New Roman" w:hAnsi="Times New Roman"/>
          <w:sz w:val="16"/>
          <w:szCs w:val="16"/>
        </w:rPr>
        <w:t xml:space="preserve"> can be accessed from the following link</w:t>
      </w:r>
      <w:r>
        <w:rPr>
          <w:rFonts w:ascii="Times New Roman" w:hAnsi="Times New Roman"/>
          <w:sz w:val="16"/>
          <w:szCs w:val="16"/>
        </w:rPr>
        <w:t xml:space="preserve">: </w:t>
      </w:r>
      <w:hyperlink r:id="rId1" w:history="1">
        <w:r w:rsidRPr="006D1FEF">
          <w:rPr>
            <w:rStyle w:val="Hyperlink"/>
            <w:rFonts w:ascii="Times New Roman" w:hAnsi="Times New Roman"/>
            <w:sz w:val="16"/>
            <w:szCs w:val="16"/>
          </w:rPr>
          <w:t>http://www.naesb.org/doc_view4.asp?doc=ferc021607.doc</w:t>
        </w:r>
      </w:hyperlink>
      <w:r w:rsidRPr="006D1FEF">
        <w:rPr>
          <w:rFonts w:ascii="Times New Roman" w:hAnsi="Times New Roman"/>
          <w:sz w:val="16"/>
          <w:szCs w:val="16"/>
        </w:rPr>
        <w:t>.</w:t>
      </w:r>
    </w:p>
  </w:footnote>
  <w:footnote w:id="4">
    <w:p w:rsidR="00BA4B71" w:rsidRDefault="00BA4B71">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5">
    <w:p w:rsidR="00BA4B71" w:rsidRDefault="00BA4B71">
      <w:pPr>
        <w:spacing w:before="60"/>
      </w:pPr>
      <w:r>
        <w:rPr>
          <w:rStyle w:val="FootnoteReference"/>
          <w:sz w:val="16"/>
          <w:szCs w:val="16"/>
        </w:rPr>
        <w:footnoteRef/>
      </w:r>
      <w:r>
        <w:rPr>
          <w:sz w:val="16"/>
          <w:szCs w:val="16"/>
        </w:rPr>
        <w:t xml:space="preserve"> </w:t>
      </w:r>
      <w:r w:rsidRPr="00C026E2">
        <w:rPr>
          <w:sz w:val="16"/>
          <w:szCs w:val="16"/>
        </w:rPr>
        <w:t xml:space="preserve">The </w:t>
      </w:r>
      <w:r>
        <w:rPr>
          <w:color w:val="000000"/>
          <w:sz w:val="16"/>
          <w:szCs w:val="16"/>
        </w:rPr>
        <w:t xml:space="preserve">“NAESB Accreditation Requirements for Authorized Certification Authorities” </w:t>
      </w:r>
      <w:r w:rsidRPr="00E446EF">
        <w:rPr>
          <w:color w:val="000000"/>
          <w:sz w:val="16"/>
          <w:szCs w:val="16"/>
        </w:rPr>
        <w:t>can be found at:</w:t>
      </w:r>
      <w:r w:rsidRPr="0074531D">
        <w:rPr>
          <w:color w:val="000000"/>
          <w:sz w:val="16"/>
          <w:szCs w:val="16"/>
        </w:rPr>
        <w:t xml:space="preserve"> </w:t>
      </w:r>
      <w:hyperlink r:id="rId2" w:history="1">
        <w:r w:rsidRPr="00E35E96">
          <w:rPr>
            <w:rStyle w:val="Hyperlink"/>
            <w:sz w:val="16"/>
            <w:szCs w:val="16"/>
          </w:rPr>
          <w:t>http://www.naesb.org/member_login_check.asp?doc=certification_specifications.docx</w:t>
        </w:r>
      </w:hyperlink>
      <w:r w:rsidRPr="00E35E96">
        <w:rPr>
          <w:sz w:val="16"/>
          <w:szCs w:val="16"/>
        </w:rPr>
        <w:t>.</w:t>
      </w:r>
    </w:p>
  </w:footnote>
  <w:footnote w:id="6">
    <w:p w:rsidR="00BA4B71" w:rsidRDefault="00BA4B71" w:rsidP="007F0ACD">
      <w:pPr>
        <w:pStyle w:val="FootnoteText"/>
      </w:pPr>
      <w:r w:rsidRPr="00583AD3">
        <w:rPr>
          <w:rStyle w:val="FootnoteReference"/>
          <w:rFonts w:ascii="Times New Roman" w:hAnsi="Times New Roman"/>
          <w:sz w:val="16"/>
          <w:szCs w:val="16"/>
        </w:rPr>
        <w:footnoteRef/>
      </w:r>
      <w:r>
        <w:t xml:space="preserve"> </w:t>
      </w:r>
      <w:hyperlink r:id="rId3" w:history="1">
        <w:r w:rsidRPr="00653738">
          <w:rPr>
            <w:rStyle w:val="Hyperlink"/>
            <w:rFonts w:ascii="Times New Roman" w:hAnsi="Times New Roman"/>
            <w:sz w:val="16"/>
            <w:szCs w:val="16"/>
          </w:rPr>
          <w:t>http://www.nerc.com/pa/Stand/Pages/CIPStandards.aspx</w:t>
        </w:r>
      </w:hyperlink>
    </w:p>
  </w:footnote>
  <w:footnote w:id="7">
    <w:p w:rsidR="00BA4B71" w:rsidRPr="00A617C9" w:rsidRDefault="00BA4B71">
      <w:pPr>
        <w:pStyle w:val="FootnoteText"/>
        <w:rPr>
          <w:sz w:val="16"/>
          <w:szCs w:val="16"/>
        </w:rPr>
      </w:pPr>
      <w:r w:rsidRPr="00A617C9">
        <w:rPr>
          <w:rStyle w:val="FootnoteReference"/>
          <w:rFonts w:ascii="Times New Roman" w:hAnsi="Times New Roman"/>
          <w:sz w:val="16"/>
          <w:szCs w:val="16"/>
        </w:rPr>
        <w:footnoteRef/>
      </w:r>
      <w:r w:rsidRPr="00A617C9">
        <w:rPr>
          <w:rStyle w:val="FootnoteReference"/>
          <w:rFonts w:ascii="Times New Roman" w:hAnsi="Times New Roman"/>
          <w:sz w:val="16"/>
          <w:szCs w:val="16"/>
        </w:rPr>
        <w:t xml:space="preserve"> </w:t>
      </w:r>
      <w:r w:rsidRPr="00A617C9">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A617C9">
          <w:rPr>
            <w:rStyle w:val="Hyperlink"/>
            <w:rFonts w:ascii="Times New Roman" w:hAnsi="Times New Roman"/>
            <w:sz w:val="16"/>
            <w:szCs w:val="16"/>
          </w:rPr>
          <w:t>https://www.naesb.org/pdf4/ferc041615_electronic_filing_protocols_forms.pdf</w:t>
        </w:r>
      </w:hyperlink>
      <w:r w:rsidRPr="00A617C9">
        <w:rPr>
          <w:rFonts w:ascii="Times New Roman" w:hAnsi="Times New Roman"/>
          <w:sz w:val="16"/>
          <w:szCs w:val="16"/>
        </w:rPr>
        <w:t xml:space="preserve">  </w:t>
      </w:r>
    </w:p>
  </w:footnote>
  <w:footnote w:id="8">
    <w:p w:rsidR="00BA4B71" w:rsidRPr="00F6500F" w:rsidRDefault="00BA4B71" w:rsidP="00F6500F">
      <w:pPr>
        <w:pStyle w:val="FootnoteText"/>
        <w:jc w:val="left"/>
        <w:rPr>
          <w:sz w:val="16"/>
          <w:szCs w:val="16"/>
        </w:rPr>
      </w:pPr>
      <w:r w:rsidRPr="00A617C9">
        <w:rPr>
          <w:rStyle w:val="FootnoteReference"/>
          <w:rFonts w:ascii="Times New Roman" w:hAnsi="Times New Roman"/>
          <w:sz w:val="16"/>
          <w:szCs w:val="16"/>
        </w:rPr>
        <w:footnoteRef/>
      </w:r>
      <w:r w:rsidRPr="00F6500F">
        <w:rPr>
          <w:rFonts w:ascii="Times New Roman" w:hAnsi="Times New Roman"/>
          <w:sz w:val="16"/>
          <w:szCs w:val="16"/>
        </w:rPr>
        <w:t xml:space="preserve">FERC Order No. 809 can be found through the following hyperlink: </w:t>
      </w:r>
      <w:hyperlink r:id="rId5" w:history="1">
        <w:r w:rsidRPr="00F6500F">
          <w:rPr>
            <w:rFonts w:ascii="Times New Roman" w:hAnsi="Times New Roman"/>
            <w:sz w:val="16"/>
            <w:szCs w:val="16"/>
          </w:rPr>
          <w:t>https://www.ferc.gov/whats-new/comm-meet/2015/041615/M-1.pdf</w:t>
        </w:r>
      </w:hyperlink>
      <w:r w:rsidRPr="00F6500F">
        <w:rPr>
          <w:rFonts w:ascii="Times New Roman" w:hAnsi="Times New Roman"/>
          <w:sz w:val="16"/>
          <w:szCs w:val="16"/>
        </w:rPr>
        <w:t xml:space="preserve">   </w:t>
      </w:r>
    </w:p>
  </w:footnote>
  <w:footnote w:id="9">
    <w:p w:rsidR="00BA4B71" w:rsidRPr="00A617C9" w:rsidRDefault="00BA4B71">
      <w:pPr>
        <w:pStyle w:val="FootnoteText"/>
        <w:rPr>
          <w:sz w:val="16"/>
          <w:szCs w:val="16"/>
        </w:rPr>
      </w:pPr>
      <w:r w:rsidRPr="00F6500F">
        <w:rPr>
          <w:rStyle w:val="FootnoteReference"/>
          <w:rFonts w:ascii="Times New Roman" w:hAnsi="Times New Roman"/>
          <w:sz w:val="16"/>
          <w:szCs w:val="16"/>
        </w:rPr>
        <w:footnoteRef/>
      </w:r>
      <w:r w:rsidRPr="00F6500F">
        <w:rPr>
          <w:rStyle w:val="FootnoteReference"/>
          <w:rFonts w:ascii="Times New Roman" w:hAnsi="Times New Roman"/>
          <w:sz w:val="16"/>
          <w:szCs w:val="16"/>
        </w:rPr>
        <w:t xml:space="preserve"> </w:t>
      </w:r>
      <w:r w:rsidRPr="00F6500F">
        <w:rPr>
          <w:rFonts w:ascii="Times New Roman" w:hAnsi="Times New Roman"/>
          <w:sz w:val="16"/>
          <w:szCs w:val="16"/>
        </w:rPr>
        <w:t>FERC Order No. 809 ¶107. While NAESB’s</w:t>
      </w:r>
      <w:r w:rsidRPr="00A617C9">
        <w:rPr>
          <w:rFonts w:ascii="Times New Roman" w:hAnsi="Times New Roman"/>
          <w:sz w:val="16"/>
          <w:szCs w:val="16"/>
        </w:rPr>
        <w:t xml:space="preserve">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footnote>
  <w:footnote w:id="10">
    <w:p w:rsidR="00BA4B71" w:rsidRDefault="00BA4B71">
      <w:pPr>
        <w:spacing w:before="60"/>
      </w:pPr>
      <w:r>
        <w:rPr>
          <w:rStyle w:val="FootnoteReference"/>
          <w:sz w:val="16"/>
          <w:szCs w:val="16"/>
        </w:rPr>
        <w:footnoteRef/>
      </w:r>
      <w:r>
        <w:rPr>
          <w:sz w:val="16"/>
          <w:szCs w:val="16"/>
        </w:rPr>
        <w:t xml:space="preserve"> Phase 2 of the Parallel Flow Visualization looks at developing options for and reporting of the most cost effective alternatives to achieve curtail obligations assigned during Phase 1.</w:t>
      </w:r>
    </w:p>
  </w:footnote>
  <w:footnote w:id="11">
    <w:p w:rsidR="00BA4B71" w:rsidRDefault="00BA4B71">
      <w:pPr>
        <w:pStyle w:val="EndnoteText"/>
        <w:spacing w:before="60"/>
        <w:jc w:val="left"/>
      </w:pPr>
      <w:r>
        <w:rPr>
          <w:rStyle w:val="FootnoteReference"/>
          <w:sz w:val="16"/>
          <w:szCs w:val="16"/>
        </w:rPr>
        <w:footnoteRef/>
      </w:r>
      <w:r>
        <w:rPr>
          <w:sz w:val="16"/>
          <w:szCs w:val="16"/>
        </w:rPr>
        <w:t xml:space="preserve"> For additional information, please see comments submitted by PJM and Midwest ISO for this Annual Plan Item:  </w:t>
      </w:r>
      <w:hyperlink r:id="rId6" w:history="1">
        <w:r>
          <w:rPr>
            <w:rStyle w:val="Hyperlink"/>
            <w:sz w:val="16"/>
            <w:szCs w:val="16"/>
          </w:rPr>
          <w:t>http://www.naesb.org/pdf3/weq_aplan102907w1.pdf</w:t>
        </w:r>
      </w:hyperlink>
      <w:r>
        <w:rPr>
          <w:sz w:val="16"/>
          <w:szCs w:val="16"/>
        </w:rPr>
        <w:t>.</w:t>
      </w:r>
    </w:p>
  </w:footnote>
  <w:footnote w:id="12">
    <w:p w:rsidR="00BA4B71" w:rsidRDefault="00BA4B71">
      <w:pPr>
        <w:pStyle w:val="FootnoteText"/>
        <w:keepN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FERC Final Order No. 764, Docket No. RM10-11-000, specifically paragraph nos. 146 and 182 should be reviewed:</w:t>
      </w:r>
    </w:p>
    <w:p w:rsidR="00BA4B71" w:rsidRDefault="00BA4B71">
      <w:pPr>
        <w:spacing w:before="60"/>
        <w:ind w:left="360"/>
        <w:rPr>
          <w:sz w:val="16"/>
          <w:szCs w:val="16"/>
        </w:rPr>
      </w:pPr>
      <w:r>
        <w:rPr>
          <w:sz w:val="16"/>
          <w:szCs w:val="16"/>
        </w:rPr>
        <w:t xml:space="preserve">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sidRPr="00702205">
        <w:rPr>
          <w:sz w:val="16"/>
          <w:szCs w:val="16"/>
        </w:rPr>
        <w:t>To the extent industry believes it is beneficial to refine one or more existing NERC Reliability Standards or NAESB business practices to reflect intra-hour scheduling, stakeholders can use existing processes to pursue such refinements.</w:t>
      </w:r>
    </w:p>
    <w:p w:rsidR="00BA4B71" w:rsidRDefault="00BA4B71">
      <w:pPr>
        <w:spacing w:before="60"/>
        <w:ind w:left="360"/>
      </w:pPr>
      <w:r>
        <w:rPr>
          <w:sz w:val="16"/>
          <w:szCs w:val="16"/>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sidRPr="00702205">
        <w:rPr>
          <w:sz w:val="16"/>
          <w:szCs w:val="16"/>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71" w:rsidRDefault="00BA4B71">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56F304B7" wp14:editId="4408CCC0">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20A3CDA6" wp14:editId="4715225C">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B71" w:rsidRDefault="00BA4B7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5"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" filled="f" stroked="f">
              <v:textbox style="mso-fit-shape-to-text:t" inset="0,0,0,0">
                <w:txbxContent>
                  <w:p w:rsidR="00BA4B71" w:rsidRDefault="00BA4B71"/>
                </w:txbxContent>
              </v:textbox>
            </v:rect>
          </w:pict>
        </mc:Fallback>
      </mc:AlternateContent>
    </w:r>
    <w:r>
      <w:rPr>
        <w:b/>
        <w:spacing w:val="20"/>
        <w:sz w:val="32"/>
      </w:rPr>
      <w:t>North American Energy Standards Board</w:t>
    </w:r>
  </w:p>
  <w:p w:rsidR="00BA4B71" w:rsidRDefault="00BA4B71" w:rsidP="00690C45">
    <w:pPr>
      <w:pStyle w:val="Header"/>
      <w:tabs>
        <w:tab w:val="left" w:pos="680"/>
        <w:tab w:val="right" w:pos="9810"/>
      </w:tabs>
      <w:spacing w:before="60"/>
      <w:ind w:left="1800"/>
      <w:jc w:val="right"/>
    </w:pPr>
    <w:r>
      <w:t>801 Travis, Suite 1675, Houston, Texas 77002</w:t>
    </w:r>
  </w:p>
  <w:p w:rsidR="00BA4B71" w:rsidRDefault="00BA4B71">
    <w:pPr>
      <w:pStyle w:val="Header"/>
      <w:ind w:left="1800"/>
      <w:jc w:val="right"/>
      <w:rPr>
        <w:lang w:val="fr-FR"/>
      </w:rPr>
    </w:pPr>
    <w:r>
      <w:rPr>
        <w:lang w:val="fr-FR"/>
      </w:rPr>
      <w:t>Phone: (713) 356-0060, Fax:  (713) 356-0067, E-mail: naesb@naesb.org</w:t>
    </w:r>
  </w:p>
  <w:p w:rsidR="00BA4B71" w:rsidRDefault="00BA4B71">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7">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8">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2">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30"/>
  </w:num>
  <w:num w:numId="4">
    <w:abstractNumId w:val="28"/>
  </w:num>
  <w:num w:numId="5">
    <w:abstractNumId w:val="31"/>
  </w:num>
  <w:num w:numId="6">
    <w:abstractNumId w:val="20"/>
  </w:num>
  <w:num w:numId="7">
    <w:abstractNumId w:val="22"/>
  </w:num>
  <w:num w:numId="8">
    <w:abstractNumId w:val="19"/>
  </w:num>
  <w:num w:numId="9">
    <w:abstractNumId w:val="6"/>
  </w:num>
  <w:num w:numId="10">
    <w:abstractNumId w:val="26"/>
  </w:num>
  <w:num w:numId="11">
    <w:abstractNumId w:val="15"/>
  </w:num>
  <w:num w:numId="12">
    <w:abstractNumId w:val="3"/>
  </w:num>
  <w:num w:numId="13">
    <w:abstractNumId w:val="29"/>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2"/>
  </w:num>
  <w:num w:numId="28">
    <w:abstractNumId w:val="2"/>
  </w:num>
  <w:num w:numId="29">
    <w:abstractNumId w:val="7"/>
  </w:num>
  <w:num w:numId="30">
    <w:abstractNumId w:val="10"/>
  </w:num>
  <w:num w:numId="31">
    <w:abstractNumId w:val="27"/>
  </w:num>
  <w:num w:numId="32">
    <w:abstractNumId w:val="33"/>
  </w:num>
  <w:num w:numId="33">
    <w:abstractNumId w:val="4"/>
  </w:num>
  <w:num w:numId="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9"/>
    <w:rsid w:val="00005F36"/>
    <w:rsid w:val="0001216E"/>
    <w:rsid w:val="000141BB"/>
    <w:rsid w:val="00027A70"/>
    <w:rsid w:val="00031B12"/>
    <w:rsid w:val="00043A74"/>
    <w:rsid w:val="0004402A"/>
    <w:rsid w:val="00056236"/>
    <w:rsid w:val="00063408"/>
    <w:rsid w:val="000843EC"/>
    <w:rsid w:val="000A465C"/>
    <w:rsid w:val="000A497D"/>
    <w:rsid w:val="000D0270"/>
    <w:rsid w:val="000D65CA"/>
    <w:rsid w:val="000E10F5"/>
    <w:rsid w:val="000E110B"/>
    <w:rsid w:val="000E4CE6"/>
    <w:rsid w:val="000E52CC"/>
    <w:rsid w:val="00100670"/>
    <w:rsid w:val="001017AF"/>
    <w:rsid w:val="00112520"/>
    <w:rsid w:val="00112BD0"/>
    <w:rsid w:val="00113BB2"/>
    <w:rsid w:val="001169BC"/>
    <w:rsid w:val="00146814"/>
    <w:rsid w:val="00163544"/>
    <w:rsid w:val="00172B44"/>
    <w:rsid w:val="00172E4A"/>
    <w:rsid w:val="0018206C"/>
    <w:rsid w:val="00184C6F"/>
    <w:rsid w:val="001907AA"/>
    <w:rsid w:val="001928ED"/>
    <w:rsid w:val="00193D8D"/>
    <w:rsid w:val="001B752F"/>
    <w:rsid w:val="001C39CD"/>
    <w:rsid w:val="001C6654"/>
    <w:rsid w:val="001D63A5"/>
    <w:rsid w:val="001E11CB"/>
    <w:rsid w:val="001E20B6"/>
    <w:rsid w:val="001E219D"/>
    <w:rsid w:val="001F0C92"/>
    <w:rsid w:val="001F307A"/>
    <w:rsid w:val="001F4548"/>
    <w:rsid w:val="001F76EA"/>
    <w:rsid w:val="00223BE2"/>
    <w:rsid w:val="0023312D"/>
    <w:rsid w:val="00233BDF"/>
    <w:rsid w:val="00235A38"/>
    <w:rsid w:val="002472DA"/>
    <w:rsid w:val="0025558D"/>
    <w:rsid w:val="00274800"/>
    <w:rsid w:val="00275213"/>
    <w:rsid w:val="00277995"/>
    <w:rsid w:val="00292F49"/>
    <w:rsid w:val="002962CB"/>
    <w:rsid w:val="002A4B79"/>
    <w:rsid w:val="002C55F4"/>
    <w:rsid w:val="002F3A78"/>
    <w:rsid w:val="00307EB9"/>
    <w:rsid w:val="00310396"/>
    <w:rsid w:val="00312E2B"/>
    <w:rsid w:val="00316984"/>
    <w:rsid w:val="003173C7"/>
    <w:rsid w:val="003173D1"/>
    <w:rsid w:val="00317CA8"/>
    <w:rsid w:val="003341C0"/>
    <w:rsid w:val="00336959"/>
    <w:rsid w:val="003423E0"/>
    <w:rsid w:val="0034766A"/>
    <w:rsid w:val="003520C9"/>
    <w:rsid w:val="00354BBA"/>
    <w:rsid w:val="00354F0B"/>
    <w:rsid w:val="003552DD"/>
    <w:rsid w:val="00356D3A"/>
    <w:rsid w:val="003608AB"/>
    <w:rsid w:val="00363A67"/>
    <w:rsid w:val="00371BE9"/>
    <w:rsid w:val="00386757"/>
    <w:rsid w:val="003867CF"/>
    <w:rsid w:val="003A366C"/>
    <w:rsid w:val="003A602F"/>
    <w:rsid w:val="003B2816"/>
    <w:rsid w:val="003C6879"/>
    <w:rsid w:val="003E1A1F"/>
    <w:rsid w:val="00401297"/>
    <w:rsid w:val="00410CCF"/>
    <w:rsid w:val="00423220"/>
    <w:rsid w:val="0043417C"/>
    <w:rsid w:val="00443438"/>
    <w:rsid w:val="004441B5"/>
    <w:rsid w:val="00450F75"/>
    <w:rsid w:val="00471CCC"/>
    <w:rsid w:val="00474304"/>
    <w:rsid w:val="00476743"/>
    <w:rsid w:val="00480D99"/>
    <w:rsid w:val="004B1741"/>
    <w:rsid w:val="004C2BA5"/>
    <w:rsid w:val="004C3736"/>
    <w:rsid w:val="004D4007"/>
    <w:rsid w:val="004F3991"/>
    <w:rsid w:val="004F7982"/>
    <w:rsid w:val="005052EE"/>
    <w:rsid w:val="005231BD"/>
    <w:rsid w:val="00524812"/>
    <w:rsid w:val="0053609B"/>
    <w:rsid w:val="00553D3C"/>
    <w:rsid w:val="005602DA"/>
    <w:rsid w:val="005810A3"/>
    <w:rsid w:val="0058462D"/>
    <w:rsid w:val="00594B5F"/>
    <w:rsid w:val="0059652E"/>
    <w:rsid w:val="00596957"/>
    <w:rsid w:val="005A34BB"/>
    <w:rsid w:val="005A39FE"/>
    <w:rsid w:val="005B3AFC"/>
    <w:rsid w:val="005B46EE"/>
    <w:rsid w:val="005C2C86"/>
    <w:rsid w:val="005D5B2A"/>
    <w:rsid w:val="005F1184"/>
    <w:rsid w:val="005F4960"/>
    <w:rsid w:val="005F5D94"/>
    <w:rsid w:val="00610169"/>
    <w:rsid w:val="00613A1C"/>
    <w:rsid w:val="0062359E"/>
    <w:rsid w:val="00625F7F"/>
    <w:rsid w:val="00642C20"/>
    <w:rsid w:val="00662C08"/>
    <w:rsid w:val="00670704"/>
    <w:rsid w:val="0067680B"/>
    <w:rsid w:val="006904FE"/>
    <w:rsid w:val="00690C45"/>
    <w:rsid w:val="00696494"/>
    <w:rsid w:val="00696526"/>
    <w:rsid w:val="006A3624"/>
    <w:rsid w:val="006A4EA6"/>
    <w:rsid w:val="006A731F"/>
    <w:rsid w:val="006C5177"/>
    <w:rsid w:val="006D1FEF"/>
    <w:rsid w:val="006D3E37"/>
    <w:rsid w:val="006E12DE"/>
    <w:rsid w:val="006E220B"/>
    <w:rsid w:val="006F4279"/>
    <w:rsid w:val="006F4CE9"/>
    <w:rsid w:val="006F7BEA"/>
    <w:rsid w:val="00702205"/>
    <w:rsid w:val="00705D7D"/>
    <w:rsid w:val="00721372"/>
    <w:rsid w:val="00723743"/>
    <w:rsid w:val="0072552C"/>
    <w:rsid w:val="0073003D"/>
    <w:rsid w:val="00732C08"/>
    <w:rsid w:val="00733E70"/>
    <w:rsid w:val="0074531D"/>
    <w:rsid w:val="00754AEC"/>
    <w:rsid w:val="0076133D"/>
    <w:rsid w:val="007621C4"/>
    <w:rsid w:val="0077578D"/>
    <w:rsid w:val="00782333"/>
    <w:rsid w:val="007855F8"/>
    <w:rsid w:val="00790CF7"/>
    <w:rsid w:val="007929E2"/>
    <w:rsid w:val="007A00AE"/>
    <w:rsid w:val="007A1D71"/>
    <w:rsid w:val="007A3E47"/>
    <w:rsid w:val="007A50B3"/>
    <w:rsid w:val="007A569C"/>
    <w:rsid w:val="007B0527"/>
    <w:rsid w:val="007B6071"/>
    <w:rsid w:val="007B6388"/>
    <w:rsid w:val="007D175A"/>
    <w:rsid w:val="007D2ECE"/>
    <w:rsid w:val="007E1CB2"/>
    <w:rsid w:val="007F0ACD"/>
    <w:rsid w:val="007F11D3"/>
    <w:rsid w:val="007F3637"/>
    <w:rsid w:val="00807D33"/>
    <w:rsid w:val="00807F7F"/>
    <w:rsid w:val="008204FA"/>
    <w:rsid w:val="00824D81"/>
    <w:rsid w:val="00831144"/>
    <w:rsid w:val="008344A7"/>
    <w:rsid w:val="00855AF1"/>
    <w:rsid w:val="008561DE"/>
    <w:rsid w:val="008B726F"/>
    <w:rsid w:val="008E3A8A"/>
    <w:rsid w:val="008E639E"/>
    <w:rsid w:val="008F7356"/>
    <w:rsid w:val="00920FAF"/>
    <w:rsid w:val="00930B6D"/>
    <w:rsid w:val="00931A8C"/>
    <w:rsid w:val="00966814"/>
    <w:rsid w:val="009675FA"/>
    <w:rsid w:val="00973ED0"/>
    <w:rsid w:val="00985642"/>
    <w:rsid w:val="00993F34"/>
    <w:rsid w:val="009A45FF"/>
    <w:rsid w:val="009A6263"/>
    <w:rsid w:val="009B5EB6"/>
    <w:rsid w:val="009C517D"/>
    <w:rsid w:val="009D3295"/>
    <w:rsid w:val="009D6EAF"/>
    <w:rsid w:val="009F0AF5"/>
    <w:rsid w:val="009F2CDE"/>
    <w:rsid w:val="009F4E6A"/>
    <w:rsid w:val="009F7844"/>
    <w:rsid w:val="00A0124C"/>
    <w:rsid w:val="00A4521E"/>
    <w:rsid w:val="00A56C0F"/>
    <w:rsid w:val="00A617C9"/>
    <w:rsid w:val="00A61B76"/>
    <w:rsid w:val="00A6721D"/>
    <w:rsid w:val="00A758F2"/>
    <w:rsid w:val="00A76A76"/>
    <w:rsid w:val="00A96888"/>
    <w:rsid w:val="00AA6E13"/>
    <w:rsid w:val="00AA797B"/>
    <w:rsid w:val="00AC081C"/>
    <w:rsid w:val="00AC4617"/>
    <w:rsid w:val="00AC702E"/>
    <w:rsid w:val="00AD1185"/>
    <w:rsid w:val="00AD7E9A"/>
    <w:rsid w:val="00AE3E48"/>
    <w:rsid w:val="00AF6EA7"/>
    <w:rsid w:val="00AF6F32"/>
    <w:rsid w:val="00B02DCA"/>
    <w:rsid w:val="00B20D91"/>
    <w:rsid w:val="00B24CC1"/>
    <w:rsid w:val="00B42DA4"/>
    <w:rsid w:val="00B56E1C"/>
    <w:rsid w:val="00B602F2"/>
    <w:rsid w:val="00B777B8"/>
    <w:rsid w:val="00B86147"/>
    <w:rsid w:val="00B95177"/>
    <w:rsid w:val="00BA2865"/>
    <w:rsid w:val="00BA4B71"/>
    <w:rsid w:val="00BB03D4"/>
    <w:rsid w:val="00BC3585"/>
    <w:rsid w:val="00BD6EA1"/>
    <w:rsid w:val="00BE47F0"/>
    <w:rsid w:val="00C026E2"/>
    <w:rsid w:val="00C10599"/>
    <w:rsid w:val="00C1251A"/>
    <w:rsid w:val="00C148DA"/>
    <w:rsid w:val="00C1492C"/>
    <w:rsid w:val="00C174A3"/>
    <w:rsid w:val="00C2662D"/>
    <w:rsid w:val="00C331D9"/>
    <w:rsid w:val="00C66771"/>
    <w:rsid w:val="00C7062B"/>
    <w:rsid w:val="00C87CA5"/>
    <w:rsid w:val="00CA5186"/>
    <w:rsid w:val="00CA7B54"/>
    <w:rsid w:val="00CD5004"/>
    <w:rsid w:val="00CE6C20"/>
    <w:rsid w:val="00CE74DC"/>
    <w:rsid w:val="00CF03B2"/>
    <w:rsid w:val="00CF2CCB"/>
    <w:rsid w:val="00CF6696"/>
    <w:rsid w:val="00D10EFF"/>
    <w:rsid w:val="00D13DBE"/>
    <w:rsid w:val="00D15518"/>
    <w:rsid w:val="00D32041"/>
    <w:rsid w:val="00D44703"/>
    <w:rsid w:val="00D54E2E"/>
    <w:rsid w:val="00D55933"/>
    <w:rsid w:val="00D6032D"/>
    <w:rsid w:val="00D737D6"/>
    <w:rsid w:val="00D766EB"/>
    <w:rsid w:val="00D77158"/>
    <w:rsid w:val="00D84161"/>
    <w:rsid w:val="00D85E7C"/>
    <w:rsid w:val="00D92408"/>
    <w:rsid w:val="00DC01F0"/>
    <w:rsid w:val="00DC11A0"/>
    <w:rsid w:val="00DC2B9B"/>
    <w:rsid w:val="00DC57C9"/>
    <w:rsid w:val="00DC6727"/>
    <w:rsid w:val="00DC7E41"/>
    <w:rsid w:val="00DD4299"/>
    <w:rsid w:val="00DE03A5"/>
    <w:rsid w:val="00DF6C83"/>
    <w:rsid w:val="00DF6F37"/>
    <w:rsid w:val="00E01D96"/>
    <w:rsid w:val="00E0640D"/>
    <w:rsid w:val="00E134E2"/>
    <w:rsid w:val="00E248C0"/>
    <w:rsid w:val="00E35E96"/>
    <w:rsid w:val="00E37365"/>
    <w:rsid w:val="00E40DDC"/>
    <w:rsid w:val="00E446EF"/>
    <w:rsid w:val="00E45949"/>
    <w:rsid w:val="00E52148"/>
    <w:rsid w:val="00E57152"/>
    <w:rsid w:val="00E711E5"/>
    <w:rsid w:val="00E76ABA"/>
    <w:rsid w:val="00E96724"/>
    <w:rsid w:val="00EA0950"/>
    <w:rsid w:val="00EB2E8F"/>
    <w:rsid w:val="00EB4F44"/>
    <w:rsid w:val="00ED0450"/>
    <w:rsid w:val="00EE5C7E"/>
    <w:rsid w:val="00EF14D4"/>
    <w:rsid w:val="00EF22C9"/>
    <w:rsid w:val="00F10D8D"/>
    <w:rsid w:val="00F169A6"/>
    <w:rsid w:val="00F178D1"/>
    <w:rsid w:val="00F43057"/>
    <w:rsid w:val="00F53D4A"/>
    <w:rsid w:val="00F57139"/>
    <w:rsid w:val="00F57424"/>
    <w:rsid w:val="00F607C7"/>
    <w:rsid w:val="00F6500F"/>
    <w:rsid w:val="00F86770"/>
    <w:rsid w:val="00F9193F"/>
    <w:rsid w:val="00F92A2E"/>
    <w:rsid w:val="00F966C3"/>
    <w:rsid w:val="00FA3910"/>
    <w:rsid w:val="00FA4689"/>
    <w:rsid w:val="00FD1D2B"/>
    <w:rsid w:val="00FD748E"/>
    <w:rsid w:val="00F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3/ferc062308_order890b.doc" TargetMode="External"/><Relationship Id="rId18" Type="http://schemas.openxmlformats.org/officeDocument/2006/relationships/hyperlink" Target="http://www.naesb.org/../pdf4/r09003.do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aesb.org/pdf4/ferc_order1000_100311mn.doc" TargetMode="External"/><Relationship Id="rId7" Type="http://schemas.openxmlformats.org/officeDocument/2006/relationships/footnotes" Target="footnotes.xml"/><Relationship Id="rId12" Type="http://schemas.openxmlformats.org/officeDocument/2006/relationships/hyperlink" Target="http://www.naesb.org/doc_view2.asp?doc=ferc122807.pdf" TargetMode="External"/><Relationship Id="rId17" Type="http://schemas.openxmlformats.org/officeDocument/2006/relationships/hyperlink" Target="http://www.naesb.org/pdf4/r12001.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esb.org/pdf2/weq_srs112006a1.doc" TargetMode="External"/><Relationship Id="rId20" Type="http://schemas.openxmlformats.org/officeDocument/2006/relationships/hyperlink" Target="http://www.naesb.org/pdf4/r1200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doc_view4.asp?doc=ferc041107.pdf" TargetMode="External"/><Relationship Id="rId24" Type="http://schemas.openxmlformats.org/officeDocument/2006/relationships/hyperlink" Target="http://www.ferc.gov/whats-new/comm-meet/2012/062112/E-3.pdf" TargetMode="External"/><Relationship Id="rId5" Type="http://schemas.openxmlformats.org/officeDocument/2006/relationships/settings" Target="settings.xml"/><Relationship Id="rId15" Type="http://schemas.openxmlformats.org/officeDocument/2006/relationships/hyperlink" Target="http://www.naesb.org/pdf2/r05026.doc" TargetMode="External"/><Relationship Id="rId23" Type="http://schemas.openxmlformats.org/officeDocument/2006/relationships/hyperlink" Target="http://www.naesb.org/pdf4/ferc_111810_vers_nopr.doc" TargetMode="External"/><Relationship Id="rId28" Type="http://schemas.openxmlformats.org/officeDocument/2006/relationships/theme" Target="theme/theme1.xml"/><Relationship Id="rId10" Type="http://schemas.openxmlformats.org/officeDocument/2006/relationships/hyperlink" Target="http://www.naesb.org/pdf4/r11020.doc" TargetMode="External"/><Relationship Id="rId19" Type="http://schemas.openxmlformats.org/officeDocument/2006/relationships/hyperlink" Target="http://www.naesb.org/pdf4/r09015.doc" TargetMode="External"/><Relationship Id="rId4" Type="http://schemas.microsoft.com/office/2007/relationships/stylesWithEffects" Target="stylesWithEffects.xml"/><Relationship Id="rId9" Type="http://schemas.openxmlformats.org/officeDocument/2006/relationships/hyperlink" Target="http://www.nerc.com/pa/Stand/Pages/Project2010-14-1-Phase-1-of-Balancing-Authority-RBC.aspx" TargetMode="External"/><Relationship Id="rId14" Type="http://schemas.openxmlformats.org/officeDocument/2006/relationships/hyperlink" Target="http://www.naesb.org/pdf2/r05019.doc" TargetMode="External"/><Relationship Id="rId22" Type="http://schemas.openxmlformats.org/officeDocument/2006/relationships/hyperlink" Target="http://www.naesb.org/pdf4/naesb_comments_ver_integration_nopr_030211.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pa/Stand/Pages/CIPStandards.aspx"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6" Type="http://schemas.openxmlformats.org/officeDocument/2006/relationships/hyperlink" Target="http://www.naesb.org/pdf3/weq_aplan102907w1.pdf" TargetMode="External"/><Relationship Id="rId5" Type="http://schemas.openxmlformats.org/officeDocument/2006/relationships/hyperlink" Target="https://www.ferc.gov/whats-new/comm-meet/2015/041615/M-1.pdf"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BA0C4-3DFF-401A-B9B1-C6506931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Jonathan Booe</cp:lastModifiedBy>
  <cp:revision>2</cp:revision>
  <cp:lastPrinted>2013-09-26T15:52:00Z</cp:lastPrinted>
  <dcterms:created xsi:type="dcterms:W3CDTF">2015-10-14T21:39:00Z</dcterms:created>
  <dcterms:modified xsi:type="dcterms:W3CDTF">2015-10-14T21:39:00Z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