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B3" w:rsidRPr="008820C7" w:rsidRDefault="00D10FC2">
      <w:pPr>
        <w:rPr>
          <w:b/>
          <w:bCs/>
          <w:sz w:val="28"/>
          <w:szCs w:val="28"/>
          <w:u w:val="single"/>
        </w:rPr>
      </w:pPr>
      <w:r w:rsidRPr="008820C7">
        <w:rPr>
          <w:b/>
          <w:bCs/>
          <w:sz w:val="28"/>
          <w:szCs w:val="28"/>
          <w:u w:val="single"/>
        </w:rPr>
        <w:t>REC Introductory Statement</w:t>
      </w:r>
    </w:p>
    <w:p w:rsidR="00D10FC2" w:rsidRPr="00D10FC2" w:rsidRDefault="00B267ED" w:rsidP="00B267ED">
      <w:r>
        <w:t xml:space="preserve">A </w:t>
      </w:r>
      <w:r w:rsidR="00D10FC2">
        <w:t>Renewable Energy Certificate</w:t>
      </w:r>
      <w:r>
        <w:t xml:space="preserve"> (REC) is a</w:t>
      </w:r>
      <w:r w:rsidR="00D10FC2" w:rsidRPr="00D10FC2">
        <w:t xml:space="preserve"> unique, trackable instrument representing the right to claim 1 MWh of Renewable Energy delivered to the grid.</w:t>
      </w:r>
      <w:r>
        <w:t xml:space="preserve">  The REC process is n</w:t>
      </w:r>
      <w:r w:rsidR="00D10FC2" w:rsidRPr="00D10FC2">
        <w:t>ot controlled by any one organization or group</w:t>
      </w:r>
      <w:r>
        <w:t xml:space="preserve">, but </w:t>
      </w:r>
      <w:r w:rsidR="00C11C7B">
        <w:t>can be categorized</w:t>
      </w:r>
      <w:r>
        <w:t xml:space="preserve"> into 2 major </w:t>
      </w:r>
      <w:r w:rsidR="00C11C7B">
        <w:t>groups</w:t>
      </w:r>
      <w:r>
        <w:t xml:space="preserve">; </w:t>
      </w:r>
    </w:p>
    <w:p w:rsidR="00D10FC2" w:rsidRPr="00D10FC2" w:rsidRDefault="00D10FC2" w:rsidP="00C11C7B">
      <w:pPr>
        <w:ind w:left="360"/>
      </w:pPr>
      <w:r w:rsidRPr="00D10FC2">
        <w:t xml:space="preserve">A </w:t>
      </w:r>
      <w:r w:rsidRPr="00D10FC2">
        <w:rPr>
          <w:i/>
          <w:iCs/>
          <w:u w:val="single"/>
        </w:rPr>
        <w:t>compliance</w:t>
      </w:r>
      <w:r w:rsidRPr="00D10FC2">
        <w:t xml:space="preserve"> instrument for state RPS (renewable portfolio standard) compliance. </w:t>
      </w:r>
      <w:r w:rsidR="00C11C7B">
        <w:t xml:space="preserve"> </w:t>
      </w:r>
      <w:r w:rsidRPr="00D10FC2">
        <w:t xml:space="preserve">State rules can differ regarding generation type and timing consistent with jurisdictional energy preferences </w:t>
      </w:r>
      <w:r w:rsidR="00C11C7B">
        <w:t xml:space="preserve">meaning </w:t>
      </w:r>
      <w:r w:rsidRPr="00D10FC2">
        <w:t>not all RECs are equal</w:t>
      </w:r>
      <w:r w:rsidR="00C11C7B" w:rsidRPr="00C11C7B">
        <w:t>,</w:t>
      </w:r>
      <w:r w:rsidR="00C11C7B">
        <w:t xml:space="preserve"> and</w:t>
      </w:r>
    </w:p>
    <w:p w:rsidR="00D10FC2" w:rsidRPr="00D10FC2" w:rsidRDefault="00D10FC2" w:rsidP="00D10FC2">
      <w:pPr>
        <w:ind w:left="360"/>
      </w:pPr>
      <w:r w:rsidRPr="00D10FC2">
        <w:t xml:space="preserve">A </w:t>
      </w:r>
      <w:r w:rsidRPr="00D10FC2">
        <w:rPr>
          <w:i/>
          <w:iCs/>
          <w:u w:val="single"/>
        </w:rPr>
        <w:t>voluntary</w:t>
      </w:r>
      <w:r w:rsidRPr="00D10FC2">
        <w:t xml:space="preserve"> instrument for use to verify corporate renewable consumption claims. </w:t>
      </w:r>
      <w:r w:rsidR="00C11C7B">
        <w:t xml:space="preserve"> </w:t>
      </w:r>
      <w:r w:rsidR="008820C7">
        <w:t xml:space="preserve">The voluntary nature has created a valuable commodity market for RECS.  </w:t>
      </w:r>
      <w:r w:rsidR="00C11C7B">
        <w:t>During 2018, corporations announced over 6.5 GW of renewable deals.  By 2025 corporate demand is expected to reach 60 GW – reflecting an increase greater than 900% growth</w:t>
      </w:r>
      <w:r w:rsidR="008820C7">
        <w:t xml:space="preserve"> in the near future</w:t>
      </w:r>
      <w:bookmarkStart w:id="0" w:name="_GoBack"/>
      <w:bookmarkEnd w:id="0"/>
      <w:r w:rsidR="00C11C7B">
        <w:t>!</w:t>
      </w:r>
    </w:p>
    <w:p w:rsidR="00D10FC2" w:rsidRDefault="00C11C7B" w:rsidP="00C11C7B">
      <w:r>
        <w:t>Some REC facets are universal, such as; RECs c</w:t>
      </w:r>
      <w:r w:rsidR="00D10FC2" w:rsidRPr="00D10FC2">
        <w:t xml:space="preserve">annot be “used” to make a renewable compliance claim or voluntary consumption claim </w:t>
      </w:r>
      <w:r w:rsidR="00D10FC2" w:rsidRPr="00D10FC2">
        <w:rPr>
          <w:i/>
          <w:iCs/>
          <w:u w:val="single"/>
        </w:rPr>
        <w:t>more than once</w:t>
      </w:r>
      <w:r w:rsidR="00D10FC2" w:rsidRPr="00D10FC2">
        <w:t>.</w:t>
      </w:r>
      <w:r>
        <w:t xml:space="preserve">  RECs c</w:t>
      </w:r>
      <w:r w:rsidR="00D10FC2" w:rsidRPr="00D10FC2">
        <w:t>an be sold “bundled” with an electricity purchase or sold separately “unbundled” from the energy they represent--in effect making the underlying electricity no longer renewable.</w:t>
      </w:r>
      <w:r>
        <w:t xml:space="preserve">  Due to the 1MWh minimum (without rounding), size criteria, some interested parties (i.e. community </w:t>
      </w:r>
      <w:r w:rsidR="008820C7">
        <w:t>aggregation)</w:t>
      </w:r>
      <w:r>
        <w:t xml:space="preserve"> are currently unable to participate.  </w:t>
      </w:r>
      <w:r w:rsidR="00D10FC2" w:rsidRPr="00D10FC2">
        <w:t>Without REC retirement, the underlying energy is considered emitting--at “null” or “grid” power emission rates.</w:t>
      </w:r>
    </w:p>
    <w:p w:rsidR="00D10FC2" w:rsidRPr="00D10FC2" w:rsidRDefault="008820C7" w:rsidP="00C11C7B">
      <w:pPr>
        <w:rPr>
          <w:b/>
          <w:bCs/>
          <w:sz w:val="28"/>
          <w:szCs w:val="28"/>
          <w:u w:val="single"/>
        </w:rPr>
      </w:pPr>
      <w:r w:rsidRPr="008820C7">
        <w:rPr>
          <w:b/>
          <w:bCs/>
          <w:sz w:val="28"/>
          <w:szCs w:val="28"/>
          <w:u w:val="single"/>
        </w:rPr>
        <w:t>Value chain for REC Standards include:</w:t>
      </w:r>
    </w:p>
    <w:p w:rsidR="00D10FC2" w:rsidRPr="00D10FC2" w:rsidRDefault="00D10FC2" w:rsidP="00D10FC2">
      <w:r w:rsidRPr="00D10FC2">
        <w:rPr>
          <w:b/>
          <w:bCs/>
        </w:rPr>
        <w:t xml:space="preserve">Potential business value from utilizing Distributed Ledger (DL) Technology - </w:t>
      </w:r>
    </w:p>
    <w:p w:rsidR="00D10FC2" w:rsidRPr="00D10FC2" w:rsidRDefault="00D10FC2" w:rsidP="00D10FC2">
      <w:r w:rsidRPr="00D10FC2">
        <w:t xml:space="preserve">Improve our capabilities via People, Processes, Information, and Tech </w:t>
      </w:r>
    </w:p>
    <w:p w:rsidR="00D10FC2" w:rsidRPr="00D10FC2" w:rsidRDefault="00D10FC2" w:rsidP="00D10FC2">
      <w:r w:rsidRPr="00D10FC2">
        <w:rPr>
          <w:b/>
          <w:bCs/>
        </w:rPr>
        <w:t xml:space="preserve">Transparency:  </w:t>
      </w:r>
      <w:r w:rsidRPr="00D10FC2">
        <w:t xml:space="preserve">Distributed ledgers are inherently transparent to the nodes on the network. Transactions are not only processed by the </w:t>
      </w:r>
      <w:r w:rsidR="00C11C7B" w:rsidRPr="00D10FC2">
        <w:t>network;</w:t>
      </w:r>
      <w:r w:rsidRPr="00D10FC2">
        <w:t xml:space="preserve"> they are permanently recorded on a shared ledger. Public government ledgers for expenditures, legislative actions, grants, and government contracts would impose a greater level of accountability.</w:t>
      </w:r>
    </w:p>
    <w:p w:rsidR="00D10FC2" w:rsidRPr="00D10FC2" w:rsidRDefault="00D10FC2" w:rsidP="00D10FC2">
      <w:r w:rsidRPr="00D10FC2">
        <w:t>Greater transparency supports a stronger working relationship with partners; offers greater collaboration potential and efficiencies as partners take advantage of the shared information. “All Can See – All Can Agree”</w:t>
      </w:r>
    </w:p>
    <w:p w:rsidR="00D10FC2" w:rsidRPr="00D10FC2" w:rsidRDefault="00D10FC2" w:rsidP="00D10FC2">
      <w:r w:rsidRPr="00D10FC2">
        <w:rPr>
          <w:b/>
          <w:bCs/>
        </w:rPr>
        <w:t xml:space="preserve">Costs: </w:t>
      </w:r>
      <w:r w:rsidRPr="00D10FC2">
        <w:t>reduce overhead &amp; admin spend associated with middlemen and intermediaries serving as “double/triple/quadruple” checkers; “funds” tied-up in wait time processing are now freed.</w:t>
      </w:r>
    </w:p>
    <w:p w:rsidR="00D10FC2" w:rsidRPr="00D10FC2" w:rsidRDefault="00D10FC2" w:rsidP="00D10FC2">
      <w:r w:rsidRPr="00D10FC2">
        <w:rPr>
          <w:b/>
          <w:bCs/>
        </w:rPr>
        <w:t xml:space="preserve">Processes: </w:t>
      </w:r>
      <w:r w:rsidRPr="00D10FC2">
        <w:t xml:space="preserve">reduce reconciliation &amp; settlement time - from days to minutes; enables IoT devise to participate in transactions (enhanced automation options); </w:t>
      </w:r>
    </w:p>
    <w:p w:rsidR="00D10FC2" w:rsidRPr="00D10FC2" w:rsidRDefault="00D10FC2" w:rsidP="00D10FC2">
      <w:r w:rsidRPr="00D10FC2">
        <w:rPr>
          <w:b/>
          <w:bCs/>
        </w:rPr>
        <w:t xml:space="preserve">Security &amp; Trust: </w:t>
      </w:r>
      <w:r w:rsidRPr="00D10FC2">
        <w:t>via cryptography and consensus validation assures that only valid users can see / retrieve / use data and reduces risk of collusion and tampering; virtually impossible to counterfeit or change records / data / transactions.</w:t>
      </w:r>
    </w:p>
    <w:p w:rsidR="00D10FC2" w:rsidRPr="00D10FC2" w:rsidRDefault="00D10FC2" w:rsidP="00D10FC2">
      <w:r w:rsidRPr="00D10FC2">
        <w:rPr>
          <w:b/>
          <w:bCs/>
        </w:rPr>
        <w:t xml:space="preserve">Standards: </w:t>
      </w:r>
      <w:r w:rsidRPr="00D10FC2">
        <w:t xml:space="preserve">standardization of data and transactions formats. When users join a </w:t>
      </w:r>
      <w:r w:rsidRPr="00D10FC2">
        <w:rPr>
          <w:b/>
          <w:bCs/>
        </w:rPr>
        <w:t>DL</w:t>
      </w:r>
      <w:r w:rsidRPr="00D10FC2">
        <w:t xml:space="preserve"> network, they (and their computers) agree to a protocol – a format for transmitting data between nodes on a network. By </w:t>
      </w:r>
      <w:r w:rsidRPr="00D10FC2">
        <w:lastRenderedPageBreak/>
        <w:t>virtue of their participation, users are bound by the data and transaction formats of the network. Not only are the parties communicating in the same “language”, they are sharing a place of record.</w:t>
      </w:r>
    </w:p>
    <w:sectPr w:rsidR="00D10FC2" w:rsidRPr="00D1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5672"/>
    <w:multiLevelType w:val="hybridMultilevel"/>
    <w:tmpl w:val="3C5E676C"/>
    <w:lvl w:ilvl="0" w:tplc="1910E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7D4">
      <w:start w:val="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8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23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C7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C2"/>
    <w:rsid w:val="008820C7"/>
    <w:rsid w:val="00B267ED"/>
    <w:rsid w:val="00C11C7B"/>
    <w:rsid w:val="00D10FC2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80ED"/>
  <w15:chartTrackingRefBased/>
  <w15:docId w15:val="{624EA149-74E7-4509-AD22-D547631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774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74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063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16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037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098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51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36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Crockett</dc:creator>
  <cp:keywords/>
  <dc:description/>
  <cp:lastModifiedBy>Valerie Crockett</cp:lastModifiedBy>
  <cp:revision>1</cp:revision>
  <dcterms:created xsi:type="dcterms:W3CDTF">2019-08-07T19:09:00Z</dcterms:created>
  <dcterms:modified xsi:type="dcterms:W3CDTF">2019-08-07T20:01:00Z</dcterms:modified>
</cp:coreProperties>
</file>