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6808BF">
        <w:t>October 28</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6808BF">
        <w:t xml:space="preserve">November </w:t>
      </w:r>
      <w:r w:rsidR="004445D1">
        <w:t>9</w:t>
      </w:r>
      <w:r w:rsidR="00573398">
        <w:t>,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6808BF"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t>Monday</w:t>
      </w:r>
      <w:r w:rsidR="0079788F">
        <w:t xml:space="preserve">, </w:t>
      </w:r>
      <w:r>
        <w:t xml:space="preserve">November </w:t>
      </w:r>
      <w:r w:rsidR="004445D1">
        <w:t>9</w:t>
      </w:r>
      <w:r w:rsidR="002C037D">
        <w:rPr>
          <w:bCs/>
          <w:noProof/>
        </w:rPr>
        <w:t>, 201</w:t>
      </w:r>
      <w:r w:rsidR="001E35FB">
        <w:rPr>
          <w:bCs/>
          <w:noProof/>
        </w:rPr>
        <w:t>5</w:t>
      </w:r>
      <w:r w:rsidR="002C037D">
        <w:rPr>
          <w:bCs/>
          <w:noProof/>
        </w:rPr>
        <w:t xml:space="preserve"> </w:t>
      </w:r>
      <w:r w:rsidR="00C8554A" w:rsidRPr="008C6B1F">
        <w:t xml:space="preserve">from </w:t>
      </w:r>
      <w:r>
        <w:t>2</w:t>
      </w:r>
      <w:r w:rsidR="001E35FB">
        <w:rPr>
          <w:bCs/>
          <w:noProof/>
        </w:rPr>
        <w:t>:00 p</w:t>
      </w:r>
      <w:r w:rsidR="00E8025A">
        <w:rPr>
          <w:bCs/>
          <w:noProof/>
        </w:rPr>
        <w:t xml:space="preserve">m to </w:t>
      </w:r>
      <w:r>
        <w:rPr>
          <w:bCs/>
          <w:noProof/>
        </w:rPr>
        <w:t>4</w:t>
      </w:r>
      <w:r w:rsidR="0079788F">
        <w:rPr>
          <w:bCs/>
          <w:noProof/>
        </w:rPr>
        <w:t>:0</w:t>
      </w:r>
      <w:r w:rsidR="00E8025A">
        <w:rPr>
          <w:bCs/>
          <w:noProof/>
        </w:rPr>
        <w:t xml:space="preserve">0 </w:t>
      </w:r>
      <w:r w:rsidR="001E35FB">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6808BF">
        <w:rPr>
          <w:bCs/>
          <w:noProof/>
        </w:rPr>
        <w:t>Monday</w:t>
      </w:r>
      <w:r w:rsidR="00573398">
        <w:rPr>
          <w:bCs/>
          <w:noProof/>
        </w:rPr>
        <w:t xml:space="preserve">, </w:t>
      </w:r>
      <w:r w:rsidR="006808BF">
        <w:rPr>
          <w:bCs/>
          <w:noProof/>
        </w:rPr>
        <w:t xml:space="preserve">November </w:t>
      </w:r>
      <w:r w:rsidR="00836606">
        <w:rPr>
          <w:bCs/>
          <w:noProof/>
        </w:rPr>
        <w:t>9</w:t>
      </w:r>
      <w:r w:rsidR="00573398">
        <w:rPr>
          <w:bCs/>
          <w:noProof/>
        </w:rPr>
        <w:t>, 2015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6808BF">
        <w:rPr>
          <w:bCs/>
          <w:noProof/>
        </w:rPr>
        <w:t>2</w:t>
      </w:r>
      <w:r w:rsidR="00573398">
        <w:rPr>
          <w:bCs/>
          <w:noProof/>
        </w:rPr>
        <w:t>:</w:t>
      </w:r>
      <w:r w:rsidR="007417C9">
        <w:rPr>
          <w:bCs/>
          <w:noProof/>
        </w:rPr>
        <w:t>0</w:t>
      </w:r>
      <w:r w:rsidR="00573398">
        <w:rPr>
          <w:bCs/>
          <w:noProof/>
        </w:rPr>
        <w:t xml:space="preserve">0 pm to </w:t>
      </w:r>
      <w:r w:rsidR="006808BF">
        <w:rPr>
          <w:bCs/>
          <w:noProof/>
        </w:rPr>
        <w:t>4</w:t>
      </w:r>
      <w:r w:rsidR="007417C9">
        <w:rPr>
          <w:bCs/>
          <w:noProof/>
        </w:rPr>
        <w:t>:0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6808BF">
            <w:pPr>
              <w:spacing w:after="120"/>
              <w:jc w:val="center"/>
              <w:rPr>
                <w:b/>
                <w:bCs/>
                <w:smallCaps/>
              </w:rPr>
            </w:pPr>
            <w:r>
              <w:rPr>
                <w:b/>
                <w:bCs/>
                <w:smallCaps/>
              </w:rPr>
              <w:t xml:space="preserve">Conference Call </w:t>
            </w:r>
            <w:r w:rsidR="006808BF">
              <w:rPr>
                <w:b/>
                <w:bCs/>
                <w:smallCaps/>
              </w:rPr>
              <w:t>Monday</w:t>
            </w:r>
            <w:r w:rsidR="005B6F31">
              <w:rPr>
                <w:b/>
                <w:bCs/>
                <w:smallCaps/>
              </w:rPr>
              <w:t xml:space="preserve">, </w:t>
            </w:r>
            <w:r w:rsidR="006808BF">
              <w:rPr>
                <w:b/>
                <w:bCs/>
                <w:smallCaps/>
              </w:rPr>
              <w:t xml:space="preserve">November </w:t>
            </w:r>
            <w:r w:rsidR="002E1DAE">
              <w:rPr>
                <w:b/>
                <w:bCs/>
                <w:smallCaps/>
              </w:rPr>
              <w:t>9</w:t>
            </w:r>
            <w:r w:rsidR="005B6F31">
              <w:rPr>
                <w:b/>
                <w:bCs/>
                <w:smallCaps/>
              </w:rPr>
              <w:t xml:space="preserve">, 2015 – </w:t>
            </w:r>
            <w:r w:rsidR="006808BF">
              <w:rPr>
                <w:b/>
                <w:bCs/>
                <w:smallCaps/>
              </w:rPr>
              <w:t>2:00 pm to 4</w:t>
            </w:r>
            <w:r w:rsidR="007417C9">
              <w:rPr>
                <w:b/>
                <w:bCs/>
                <w:smallCaps/>
              </w:rPr>
              <w:t>:0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6808BF" w:rsidRDefault="00E8025A" w:rsidP="006808BF">
            <w:pPr>
              <w:numPr>
                <w:ilvl w:val="0"/>
                <w:numId w:val="8"/>
              </w:numPr>
              <w:spacing w:before="120" w:after="120"/>
              <w:rPr>
                <w:bCs/>
              </w:rPr>
            </w:pPr>
            <w:r w:rsidRPr="00FB406C">
              <w:t>During the last Parliamentary C</w:t>
            </w:r>
            <w:r w:rsidR="00FB406C">
              <w:t>ommittee meeting held on</w:t>
            </w:r>
            <w:r w:rsidR="00A000F3">
              <w:t xml:space="preserve"> </w:t>
            </w:r>
            <w:r w:rsidR="006808BF">
              <w:t>July 29</w:t>
            </w:r>
            <w:r w:rsidRPr="00FB406C">
              <w:t>,</w:t>
            </w:r>
            <w:r w:rsidR="007417C9">
              <w:t xml:space="preserve"> 2015,</w:t>
            </w:r>
            <w:r w:rsidRPr="00FB406C">
              <w:t xml:space="preserve"> the committee</w:t>
            </w:r>
            <w:r w:rsidR="001F0786">
              <w:t xml:space="preserve"> </w:t>
            </w:r>
            <w:r w:rsidR="002E1DAE">
              <w:t xml:space="preserve">reviewed </w:t>
            </w:r>
            <w:r w:rsidR="006808BF">
              <w:t>a</w:t>
            </w:r>
            <w:r w:rsidR="002E1DAE">
              <w:t xml:space="preserve"> </w:t>
            </w:r>
            <w:r w:rsidR="006808BF">
              <w:t>proposed resolution offering modifications to the NAESB</w:t>
            </w:r>
            <w:r w:rsidR="002E1DAE">
              <w:t xml:space="preserve"> bylaw</w:t>
            </w:r>
            <w:r w:rsidR="006808BF">
              <w:t>s</w:t>
            </w:r>
            <w:r w:rsidR="002E1DAE">
              <w:t xml:space="preserve"> and </w:t>
            </w:r>
            <w:r w:rsidR="006808BF">
              <w:t xml:space="preserve">a new NAESB </w:t>
            </w:r>
            <w:r w:rsidR="002E1DAE">
              <w:t xml:space="preserve">operating procedure that </w:t>
            </w:r>
            <w:r w:rsidR="006808BF">
              <w:t xml:space="preserve">provides </w:t>
            </w:r>
            <w:r w:rsidR="002E1DAE">
              <w:t>for the removal of Directors</w:t>
            </w:r>
            <w:r w:rsidR="006808BF">
              <w:t xml:space="preserve"> in the event of misfeasance, malfeasance or nonfeasance</w:t>
            </w:r>
            <w:r w:rsidR="002E1DAE">
              <w:t>.</w:t>
            </w:r>
            <w:r w:rsidR="002E1DAE">
              <w:rPr>
                <w:bCs/>
              </w:rPr>
              <w:t xml:space="preserve">  </w:t>
            </w:r>
            <w:r w:rsidR="006808BF">
              <w:rPr>
                <w:bCs/>
              </w:rPr>
              <w:t>During the meeting minor modifications were made to the proposed bylaw and operating procedure changes and the committee members voted to present the resolution as modified</w:t>
            </w:r>
            <w:r w:rsidR="002E1DAE">
              <w:t xml:space="preserve"> to the full board. </w:t>
            </w:r>
            <w:r w:rsidR="006808BF">
              <w:t xml:space="preserve"> The vote was unanimous.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3E55F4">
            <w:pPr>
              <w:numPr>
                <w:ilvl w:val="0"/>
                <w:numId w:val="8"/>
              </w:numPr>
              <w:spacing w:before="120" w:after="120"/>
            </w:pPr>
            <w:r>
              <w:t xml:space="preserve">The purpose of this call is to review </w:t>
            </w:r>
            <w:r w:rsidR="006808BF">
              <w:t xml:space="preserve">the NAESB governance documents for instances where term Majority/majority is used and determine whether the use of term is intended as defined in the bylaws or if the </w:t>
            </w:r>
            <w:r w:rsidR="003E55F4">
              <w:t>use of the term is intended in the</w:t>
            </w:r>
            <w:r w:rsidR="006808BF">
              <w:t xml:space="preserve"> global</w:t>
            </w:r>
            <w:r w:rsidR="003E55F4">
              <w:t xml:space="preserve"> or generally defined</w:t>
            </w:r>
            <w:r w:rsidR="006808BF">
              <w:t xml:space="preserve"> sense. </w:t>
            </w:r>
            <w:r w:rsidR="002E1DAE">
              <w:t xml:space="preserve">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3E55F4">
            <w:pPr>
              <w:spacing w:before="120" w:after="120"/>
            </w:pPr>
            <w:r>
              <w:t>Attendance - Call-in information</w:t>
            </w:r>
            <w:r w:rsidR="004F30A8">
              <w:t xml:space="preserve"> – </w:t>
            </w:r>
            <w:r w:rsidR="003E55F4">
              <w:t>November 9</w:t>
            </w:r>
            <w:r w:rsidR="00F938E0">
              <w:t xml:space="preserve">, 2015, </w:t>
            </w:r>
            <w:r w:rsidR="003E55F4">
              <w:t>2</w:t>
            </w:r>
            <w:r w:rsidR="005B6F31">
              <w:t>:</w:t>
            </w:r>
            <w:r w:rsidR="00F938E0">
              <w:t xml:space="preserve">00 pm to </w:t>
            </w:r>
            <w:r w:rsidR="003E55F4">
              <w:t>4</w:t>
            </w:r>
            <w:r w:rsidR="00F938E0">
              <w:t>:0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3E55F4">
              <w:t>July 29</w:t>
            </w:r>
            <w:r w:rsidR="005A6AA4" w:rsidRPr="003D08C0">
              <w:t>, 201</w:t>
            </w:r>
            <w:r w:rsidR="00F938E0">
              <w:t>5</w:t>
            </w:r>
            <w:r w:rsidRPr="003D08C0">
              <w:t xml:space="preserve"> </w:t>
            </w:r>
            <w:r w:rsidR="00327B7F" w:rsidRPr="003D08C0">
              <w:t>d</w:t>
            </w:r>
            <w:r w:rsidRPr="003D08C0">
              <w:t xml:space="preserve">raft </w:t>
            </w:r>
            <w:r w:rsidR="00327B7F" w:rsidRPr="003D08C0">
              <w:t>m</w:t>
            </w:r>
            <w:r w:rsidRPr="003D08C0">
              <w:t>inutes</w:t>
            </w:r>
          </w:p>
          <w:p w:rsidR="003E55F4" w:rsidRDefault="00E40927" w:rsidP="003D08C0">
            <w:pPr>
              <w:pStyle w:val="ListParagraph"/>
              <w:numPr>
                <w:ilvl w:val="0"/>
                <w:numId w:val="22"/>
              </w:numPr>
              <w:tabs>
                <w:tab w:val="left" w:pos="720"/>
              </w:tabs>
              <w:spacing w:before="120" w:after="120"/>
              <w:contextualSpacing w:val="0"/>
              <w:jc w:val="both"/>
            </w:pPr>
            <w:r>
              <w:t xml:space="preserve">Review </w:t>
            </w:r>
            <w:r w:rsidR="00D07479">
              <w:t>the</w:t>
            </w:r>
            <w:r w:rsidR="003E55F4">
              <w:t xml:space="preserve"> work papers prepared for the meeting identifying instances of the term majority/Majority in the governance documents and discuss potential solutions to ensure consistent use of the term majority/Majority in the governance documents</w:t>
            </w:r>
          </w:p>
          <w:p w:rsidR="001F0786" w:rsidRDefault="001F0786" w:rsidP="003D08C0">
            <w:pPr>
              <w:pStyle w:val="ListParagraph"/>
              <w:numPr>
                <w:ilvl w:val="0"/>
                <w:numId w:val="22"/>
              </w:numPr>
              <w:tabs>
                <w:tab w:val="left" w:pos="0"/>
              </w:tabs>
              <w:spacing w:before="120" w:after="120"/>
              <w:contextualSpacing w:val="0"/>
              <w:jc w:val="both"/>
            </w:pPr>
            <w:r>
              <w:t>Next Steps</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3E55F4">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3E55F4" w:rsidRPr="001A4C59">
                <w:rPr>
                  <w:rStyle w:val="Hyperlink"/>
                </w:rPr>
                <w:t>https://www.naesb.org/pdf4/parliamentary110915a.docx</w:t>
              </w:r>
            </w:hyperlink>
            <w:r w:rsidR="003E55F4">
              <w:t xml:space="preserve"> </w:t>
            </w:r>
            <w:r w:rsidR="003A47E0">
              <w:rPr>
                <w:rStyle w:val="Hyperlink"/>
                <w:color w:val="auto"/>
                <w:u w:val="none"/>
              </w:rPr>
              <w:t xml:space="preserve">(agenda); </w:t>
            </w:r>
            <w:hyperlink r:id="rId21" w:history="1">
              <w:r w:rsidR="003E55F4" w:rsidRPr="001A4C59">
                <w:rPr>
                  <w:rStyle w:val="Hyperlink"/>
                </w:rPr>
                <w:t>https://www.naesb.org/pdf4/parliamentary072915dm.docx</w:t>
              </w:r>
            </w:hyperlink>
            <w:r w:rsidR="003E55F4">
              <w:t xml:space="preserve"> </w:t>
            </w:r>
            <w:r w:rsidR="003A47E0">
              <w:t>(notes)</w:t>
            </w:r>
          </w:p>
          <w:p w:rsidR="002B5CDF" w:rsidRDefault="00745B96" w:rsidP="002D1745">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Identification of majority/Majority in Governance Documents </w:t>
            </w:r>
            <w:r w:rsidRPr="003E55F4">
              <w:t xml:space="preserve"> </w:t>
            </w:r>
          </w:p>
          <w:p w:rsidR="005F6F34" w:rsidRPr="00C84534" w:rsidRDefault="00E40B93" w:rsidP="005F6F34">
            <w:pPr>
              <w:spacing w:before="120" w:after="120"/>
              <w:ind w:left="252"/>
              <w:outlineLvl w:val="0"/>
            </w:pPr>
            <w:hyperlink r:id="rId22" w:history="1">
              <w:r w:rsidR="003E55F4">
                <w:rPr>
                  <w:rStyle w:val="Hyperlink"/>
                </w:rPr>
                <w:t>https://www.naesb.org/misc/parliamentary_majority_matrix_091415.docx</w:t>
              </w:r>
            </w:hyperlink>
            <w:r w:rsidR="003E55F4">
              <w:t xml:space="preserve"> (Cite Matrix), </w:t>
            </w:r>
            <w:hyperlink r:id="rId23" w:history="1">
              <w:r w:rsidR="003E55F4">
                <w:rPr>
                  <w:rStyle w:val="Hyperlink"/>
                </w:rPr>
                <w:t>https://www.naesb.org/misc/naesb_bylaws_majority_vote_highlight_091415.docx</w:t>
              </w:r>
            </w:hyperlink>
            <w:r w:rsidR="003E55F4">
              <w:t xml:space="preserve"> (Bylaws),  </w:t>
            </w:r>
            <w:hyperlink r:id="rId24" w:history="1">
              <w:r w:rsidR="003E55F4">
                <w:rPr>
                  <w:rStyle w:val="Hyperlink"/>
                </w:rPr>
                <w:t>https://www.naesb.org/misc/naesb_certificate_majority_vote_highlight_091415.doc</w:t>
              </w:r>
            </w:hyperlink>
            <w:r w:rsidR="003E55F4">
              <w:t xml:space="preserve"> (</w:t>
            </w:r>
            <w:proofErr w:type="spellStart"/>
            <w:r w:rsidR="003E55F4">
              <w:t>CoI</w:t>
            </w:r>
            <w:proofErr w:type="spellEnd"/>
            <w:r w:rsidR="005F6F34">
              <w:t xml:space="preserve"> highlighted</w:t>
            </w:r>
            <w:r w:rsidR="003E55F4">
              <w:t xml:space="preserve">), </w:t>
            </w:r>
            <w:hyperlink r:id="rId25" w:history="1">
              <w:r w:rsidR="003E55F4">
                <w:rPr>
                  <w:rStyle w:val="Hyperlink"/>
                </w:rPr>
                <w:t>https://www.naesb.org/misc/naesb_operating_procedures091115_majority_vote_highlight_091415.docx</w:t>
              </w:r>
            </w:hyperlink>
            <w:r w:rsidR="003E55F4">
              <w:t xml:space="preserve"> (</w:t>
            </w:r>
            <w:proofErr w:type="spellStart"/>
            <w:r w:rsidR="003E55F4">
              <w:t>NAESBOP</w:t>
            </w:r>
            <w:proofErr w:type="spellEnd"/>
            <w:r w:rsidR="003E55F4">
              <w:t>)</w:t>
            </w:r>
            <w:r w:rsidR="005F6F34">
              <w:t xml:space="preserve">, </w:t>
            </w:r>
            <w:r w:rsidR="005F6F34">
              <w:rPr>
                <w:color w:val="1F497D"/>
              </w:rPr>
              <w:t xml:space="preserve"> </w:t>
            </w:r>
            <w:hyperlink r:id="rId26" w:history="1">
              <w:r w:rsidR="005F6F34">
                <w:rPr>
                  <w:rStyle w:val="Hyperlink"/>
                </w:rPr>
                <w:t>http://www.naesb.org/pdf/naesb_certificate_102414.pdf</w:t>
              </w:r>
            </w:hyperlink>
            <w:r w:rsidR="005F6F34">
              <w:rPr>
                <w:color w:val="1F497D"/>
              </w:rPr>
              <w:t xml:space="preserve"> </w:t>
            </w:r>
            <w:r w:rsidR="005F6F34" w:rsidRPr="005F6F34">
              <w:t>(</w:t>
            </w:r>
            <w:proofErr w:type="spellStart"/>
            <w:r w:rsidR="005F6F34" w:rsidRPr="005F6F34">
              <w:t>CoI</w:t>
            </w:r>
            <w:proofErr w:type="spellEnd"/>
            <w:r w:rsidR="005F6F34" w:rsidRPr="005F6F34">
              <w:t>)</w:t>
            </w:r>
          </w:p>
        </w:tc>
      </w:tr>
    </w:tbl>
    <w:p w:rsidR="001A1E39" w:rsidRDefault="001A1E39" w:rsidP="001A1E39">
      <w:pPr>
        <w:jc w:val="both"/>
      </w:pPr>
      <w:bookmarkStart w:id="0" w:name="_GoBack"/>
      <w:bookmarkEnd w:id="0"/>
    </w:p>
    <w:sectPr w:rsidR="001A1E39">
      <w:headerReference w:type="default" r:id="rId27"/>
      <w:footerReference w:type="default" r:id="rId2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93" w:rsidRDefault="00E40B93">
      <w:r>
        <w:separator/>
      </w:r>
    </w:p>
  </w:endnote>
  <w:endnote w:type="continuationSeparator" w:id="0">
    <w:p w:rsidR="00E40B93" w:rsidRDefault="00E4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6808BF">
      <w:t xml:space="preserve">November </w:t>
    </w:r>
    <w:r w:rsidR="002E1DAE">
      <w:t>9</w:t>
    </w:r>
    <w:r w:rsidR="00573398">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93" w:rsidRDefault="00E40B93">
      <w:r>
        <w:separator/>
      </w:r>
    </w:p>
  </w:footnote>
  <w:footnote w:type="continuationSeparator" w:id="0">
    <w:p w:rsidR="00E40B93" w:rsidRDefault="00E40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23A6E"/>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www.naesb.org/pdf/naesb_certificate_102414.pdf" TargetMode="External"/><Relationship Id="rId3" Type="http://schemas.openxmlformats.org/officeDocument/2006/relationships/styles" Target="styles.xml"/><Relationship Id="rId21" Type="http://schemas.openxmlformats.org/officeDocument/2006/relationships/hyperlink" Target="https://www.naesb.org/pdf4/parliamentary072915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operating_procedures091115_majority_vote_highlight_091415.docx" TargetMode="Externa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110915a.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naesb_certificate_majority_vote_highlight_091415.doc"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naesb_bylaws_majority_vote_highlight_091415.docx" TargetMode="External"/><Relationship Id="rId28" Type="http://schemas.openxmlformats.org/officeDocument/2006/relationships/footer" Target="foot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parliamentary_majority_matrix_091415.docx"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28CF-085A-412F-B0CB-E092B9BB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7025</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2015-11-01T13:25:00Z</dcterms:created>
  <dcterms:modified xsi:type="dcterms:W3CDTF">2015-11-01T13:25:00Z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