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29B" w:rsidRDefault="004B3161" w:rsidP="004B3161">
      <w:pPr>
        <w:jc w:val="center"/>
      </w:pPr>
      <w:r>
        <w:t xml:space="preserve">Comments </w:t>
      </w:r>
      <w:r w:rsidR="00587CB9">
        <w:t>to</w:t>
      </w:r>
      <w:r>
        <w:t xml:space="preserve"> the Parliamentary Committee</w:t>
      </w:r>
    </w:p>
    <w:p w:rsidR="004B3161" w:rsidRDefault="004B3161" w:rsidP="004B3161">
      <w:pPr>
        <w:jc w:val="right"/>
      </w:pPr>
      <w:r>
        <w:t>August 6, 2014</w:t>
      </w:r>
    </w:p>
    <w:p w:rsidR="004B3161" w:rsidRDefault="004B3161" w:rsidP="004B3161">
      <w:r>
        <w:t>In response to the request for comments from the NAESB Parliamentary Committee from the Board of Directors, I submit the following comments</w:t>
      </w:r>
      <w:r w:rsidR="00587CB9">
        <w:t xml:space="preserve"> to the proposed changes (changes shown highlighted text)</w:t>
      </w:r>
      <w:r>
        <w:t>.</w:t>
      </w:r>
    </w:p>
    <w:p w:rsidR="004B3161" w:rsidRPr="004B3161" w:rsidRDefault="004B3161" w:rsidP="004B3161">
      <w:pPr>
        <w:pStyle w:val="ListParagraph"/>
        <w:numPr>
          <w:ilvl w:val="0"/>
          <w:numId w:val="4"/>
        </w:numPr>
        <w:spacing w:before="120" w:after="120"/>
        <w:ind w:left="720"/>
        <w:rPr>
          <w:rFonts w:ascii="Times New Roman" w:hAnsi="Times New Roman" w:cs="Times New Roman"/>
          <w:sz w:val="20"/>
          <w:szCs w:val="20"/>
          <w:highlight w:val="yellow"/>
        </w:rPr>
      </w:pPr>
      <w:r w:rsidRPr="004B3161">
        <w:rPr>
          <w:rFonts w:ascii="Times New Roman" w:hAnsi="Times New Roman" w:cs="Times New Roman"/>
          <w:sz w:val="20"/>
          <w:szCs w:val="20"/>
          <w:highlight w:val="yellow"/>
        </w:rPr>
        <w:t>The first item is a modification to the NAESB Bylaws that would provide a process for the removal of a Board member in the event of malfeasance or misfeasance by the member.  The proposed Bylaw modification would amend Section 7.6 as follows:</w:t>
      </w:r>
    </w:p>
    <w:p w:rsidR="004B3161" w:rsidRPr="004B3161" w:rsidRDefault="004B3161" w:rsidP="004B3161">
      <w:pPr>
        <w:spacing w:before="120" w:after="120"/>
        <w:ind w:left="720"/>
        <w:rPr>
          <w:b/>
          <w:bCs/>
          <w:highlight w:val="yellow"/>
          <w:u w:val="single"/>
        </w:rPr>
      </w:pPr>
      <w:r w:rsidRPr="004B3161">
        <w:rPr>
          <w:b/>
          <w:bCs/>
          <w:highlight w:val="yellow"/>
          <w:u w:val="single"/>
        </w:rPr>
        <w:t>Section 7.6 Removal of Directors</w:t>
      </w:r>
    </w:p>
    <w:p w:rsidR="004B3161" w:rsidRDefault="004B3161" w:rsidP="004B3161">
      <w:pPr>
        <w:spacing w:before="120" w:after="120"/>
        <w:ind w:left="720"/>
      </w:pPr>
      <w:r w:rsidRPr="004B3161">
        <w:rPr>
          <w:strike/>
          <w:highlight w:val="yellow"/>
        </w:rPr>
        <w:t>Procedures for removal of Directors representing a Quadrant and Segment are contained in the pertinent Exhibit.</w:t>
      </w:r>
      <w:r w:rsidRPr="004B3161">
        <w:rPr>
          <w:highlight w:val="yellow"/>
        </w:rPr>
        <w:t xml:space="preserve"> </w:t>
      </w:r>
      <w:r w:rsidRPr="004B3161">
        <w:rPr>
          <w:highlight w:val="yellow"/>
          <w:u w:val="single"/>
        </w:rPr>
        <w:t>Directors shall act in the best interest of NAESB consistent with Delaware law.  Directors may be removed for malfeasance or misfeasance by majority vote at any meeting of the Board.</w:t>
      </w:r>
    </w:p>
    <w:p w:rsidR="004B3161" w:rsidRDefault="004B3161" w:rsidP="004B3161">
      <w:pPr>
        <w:spacing w:before="120" w:after="120"/>
        <w:rPr>
          <w:rFonts w:cstheme="minorHAnsi"/>
        </w:rPr>
      </w:pPr>
      <w:r w:rsidRPr="004B3161">
        <w:rPr>
          <w:rFonts w:cstheme="minorHAnsi"/>
        </w:rPr>
        <w:t>Comments:</w:t>
      </w:r>
      <w:r>
        <w:rPr>
          <w:rFonts w:cstheme="minorHAnsi"/>
        </w:rPr>
        <w:t xml:space="preserve"> </w:t>
      </w:r>
    </w:p>
    <w:p w:rsidR="004B3161" w:rsidRPr="004B3161" w:rsidRDefault="004B3161" w:rsidP="004B3161">
      <w:pPr>
        <w:pStyle w:val="ListParagraph"/>
        <w:numPr>
          <w:ilvl w:val="0"/>
          <w:numId w:val="2"/>
        </w:numPr>
        <w:spacing w:before="120" w:after="120"/>
        <w:rPr>
          <w:rFonts w:cstheme="minorHAnsi"/>
        </w:rPr>
      </w:pPr>
      <w:r w:rsidRPr="004B3161">
        <w:rPr>
          <w:rFonts w:cstheme="minorHAnsi"/>
        </w:rPr>
        <w:t xml:space="preserve">While I understand acting in the best interest of NAESB, is there something specific regarding </w:t>
      </w:r>
      <w:r w:rsidRPr="004B3161">
        <w:rPr>
          <w:rFonts w:cstheme="minorHAnsi"/>
          <w:i/>
        </w:rPr>
        <w:t>consistency</w:t>
      </w:r>
      <w:r w:rsidRPr="004B3161">
        <w:rPr>
          <w:rFonts w:cstheme="minorHAnsi"/>
        </w:rPr>
        <w:t xml:space="preserve"> with Delaware law?</w:t>
      </w:r>
    </w:p>
    <w:p w:rsidR="004B3161" w:rsidRDefault="004B3161" w:rsidP="004B3161">
      <w:pPr>
        <w:pStyle w:val="ListParagraph"/>
        <w:numPr>
          <w:ilvl w:val="0"/>
          <w:numId w:val="2"/>
        </w:numPr>
        <w:spacing w:before="120" w:after="120"/>
        <w:rPr>
          <w:rFonts w:cstheme="minorHAnsi"/>
        </w:rPr>
      </w:pPr>
      <w:r w:rsidRPr="004B3161">
        <w:rPr>
          <w:rFonts w:cstheme="minorHAnsi"/>
        </w:rPr>
        <w:t xml:space="preserve">There should be definitions </w:t>
      </w:r>
      <w:r>
        <w:rPr>
          <w:rFonts w:cstheme="minorHAnsi"/>
        </w:rPr>
        <w:t xml:space="preserve">provided in the Bylaws (or referenced elsewhere) </w:t>
      </w:r>
      <w:r w:rsidRPr="004B3161">
        <w:rPr>
          <w:rFonts w:cstheme="minorHAnsi"/>
        </w:rPr>
        <w:t>for “malfeasance” and “misfeasance” to support a motion to remove a Director for either cause.</w:t>
      </w:r>
    </w:p>
    <w:p w:rsidR="004B3161" w:rsidRDefault="004B3161" w:rsidP="004B3161">
      <w:pPr>
        <w:pStyle w:val="ListParagraph"/>
        <w:numPr>
          <w:ilvl w:val="0"/>
          <w:numId w:val="2"/>
        </w:numPr>
        <w:spacing w:before="120" w:after="120"/>
        <w:rPr>
          <w:rFonts w:cstheme="minorHAnsi"/>
        </w:rPr>
      </w:pPr>
      <w:r>
        <w:rPr>
          <w:rFonts w:cstheme="minorHAnsi"/>
        </w:rPr>
        <w:t xml:space="preserve">We need to clarify whether the </w:t>
      </w:r>
      <w:r w:rsidRPr="004B3161">
        <w:rPr>
          <w:rFonts w:cstheme="minorHAnsi"/>
          <w:i/>
        </w:rPr>
        <w:t>majority</w:t>
      </w:r>
      <w:r>
        <w:rPr>
          <w:rFonts w:cstheme="minorHAnsi"/>
        </w:rPr>
        <w:t xml:space="preserve"> </w:t>
      </w:r>
      <w:r w:rsidRPr="004B3161">
        <w:rPr>
          <w:rFonts w:cstheme="minorHAnsi"/>
          <w:i/>
        </w:rPr>
        <w:t>vote</w:t>
      </w:r>
      <w:r>
        <w:rPr>
          <w:rFonts w:cstheme="minorHAnsi"/>
        </w:rPr>
        <w:t xml:space="preserve"> is a </w:t>
      </w:r>
      <w:r w:rsidRPr="004B3161">
        <w:rPr>
          <w:rFonts w:cstheme="minorHAnsi"/>
          <w:b/>
        </w:rPr>
        <w:t>simple</w:t>
      </w:r>
      <w:r>
        <w:rPr>
          <w:rFonts w:cstheme="minorHAnsi"/>
        </w:rPr>
        <w:t xml:space="preserve"> majority vote or a </w:t>
      </w:r>
      <w:r w:rsidRPr="004B3161">
        <w:rPr>
          <w:rFonts w:cstheme="minorHAnsi"/>
          <w:b/>
        </w:rPr>
        <w:t>super</w:t>
      </w:r>
      <w:r>
        <w:rPr>
          <w:rFonts w:cstheme="minorHAnsi"/>
        </w:rPr>
        <w:t xml:space="preserve"> majority vote.</w:t>
      </w:r>
    </w:p>
    <w:p w:rsidR="004B3161" w:rsidRPr="004B3161" w:rsidRDefault="004B3161" w:rsidP="004B3161">
      <w:pPr>
        <w:pStyle w:val="ListParagraph"/>
        <w:numPr>
          <w:ilvl w:val="0"/>
          <w:numId w:val="4"/>
        </w:numPr>
        <w:spacing w:before="120" w:after="120"/>
        <w:ind w:left="720"/>
        <w:rPr>
          <w:rFonts w:ascii="Times New Roman" w:hAnsi="Times New Roman" w:cs="Times New Roman"/>
          <w:sz w:val="20"/>
          <w:szCs w:val="20"/>
          <w:highlight w:val="yellow"/>
        </w:rPr>
      </w:pPr>
      <w:r w:rsidRPr="004B3161">
        <w:rPr>
          <w:rFonts w:ascii="Times New Roman" w:hAnsi="Times New Roman" w:cs="Times New Roman"/>
          <w:sz w:val="20"/>
          <w:szCs w:val="20"/>
          <w:highlight w:val="yellow"/>
        </w:rPr>
        <w:t>The second item the Committee is seeking input from the Board of Directors concerns the administration of elections within the organization.  During the meeting, the Committee considered the adoption of the following resolution for consideration by the Board of Directors during the September meeting:</w:t>
      </w:r>
    </w:p>
    <w:p w:rsidR="004B3161" w:rsidRPr="004B3161" w:rsidRDefault="004B3161" w:rsidP="004B3161">
      <w:pPr>
        <w:spacing w:before="120" w:after="120"/>
        <w:ind w:left="720"/>
        <w:jc w:val="both"/>
        <w:rPr>
          <w:rFonts w:ascii="Times New Roman" w:hAnsi="Times New Roman" w:cs="Times New Roman"/>
          <w:sz w:val="20"/>
          <w:szCs w:val="20"/>
          <w:highlight w:val="yellow"/>
        </w:rPr>
      </w:pPr>
      <w:r w:rsidRPr="004B3161">
        <w:rPr>
          <w:rFonts w:ascii="Times New Roman" w:hAnsi="Times New Roman" w:cs="Times New Roman"/>
          <w:sz w:val="20"/>
          <w:szCs w:val="20"/>
          <w:highlight w:val="yellow"/>
        </w:rPr>
        <w:t xml:space="preserve">“All voting for elected positions within NAESB shall be conducted electronically and administered through the NAESB office.”   </w:t>
      </w:r>
    </w:p>
    <w:p w:rsidR="004B3161" w:rsidRDefault="004B3161" w:rsidP="004B3161">
      <w:pPr>
        <w:spacing w:before="120" w:after="120"/>
        <w:ind w:left="720"/>
        <w:jc w:val="both"/>
      </w:pPr>
      <w:r w:rsidRPr="004B3161">
        <w:rPr>
          <w:rFonts w:ascii="Times New Roman" w:hAnsi="Times New Roman" w:cs="Times New Roman"/>
          <w:sz w:val="20"/>
          <w:szCs w:val="20"/>
          <w:highlight w:val="yellow"/>
        </w:rPr>
        <w:t>The adoption of this resolution would require modifications to the NAESB Bylaws and the NAESB Bylaw Addendums – Quadrant Procedures.</w:t>
      </w:r>
      <w:r w:rsidRPr="004B3161">
        <w:rPr>
          <w:rFonts w:ascii="Times New Roman" w:hAnsi="Times New Roman" w:cs="Times New Roman"/>
          <w:sz w:val="20"/>
          <w:szCs w:val="20"/>
        </w:rPr>
        <w:t xml:space="preserve">  </w:t>
      </w:r>
    </w:p>
    <w:p w:rsidR="004B3161" w:rsidRDefault="004B3161" w:rsidP="004B3161">
      <w:pPr>
        <w:spacing w:before="120" w:after="120"/>
        <w:ind w:left="720" w:hanging="720"/>
        <w:jc w:val="both"/>
      </w:pPr>
      <w:r>
        <w:t>Comment:</w:t>
      </w:r>
    </w:p>
    <w:p w:rsidR="004B3161" w:rsidRDefault="004B3161" w:rsidP="004B3161">
      <w:pPr>
        <w:pStyle w:val="ListParagraph"/>
        <w:numPr>
          <w:ilvl w:val="0"/>
          <w:numId w:val="3"/>
        </w:numPr>
        <w:spacing w:before="120" w:after="120"/>
        <w:jc w:val="both"/>
      </w:pPr>
      <w:r>
        <w:t>Is the reason for conducting the elections electronically driven by a need to document the election process and specific results?</w:t>
      </w:r>
    </w:p>
    <w:p w:rsidR="00587CB9" w:rsidRDefault="00587CB9" w:rsidP="004B3161">
      <w:pPr>
        <w:pStyle w:val="ListParagraph"/>
        <w:numPr>
          <w:ilvl w:val="0"/>
          <w:numId w:val="3"/>
        </w:numPr>
        <w:spacing w:before="120" w:after="120"/>
        <w:jc w:val="both"/>
      </w:pPr>
      <w:r>
        <w:t>Would this require members to vote for or against candidates offered for the Board seats versus the current “if you don’t disapprove the offered candidate is seated?”</w:t>
      </w:r>
    </w:p>
    <w:p w:rsidR="004B3161" w:rsidRPr="004B3161" w:rsidRDefault="004B3161" w:rsidP="004B3161">
      <w:pPr>
        <w:pStyle w:val="ListParagraph"/>
        <w:numPr>
          <w:ilvl w:val="0"/>
          <w:numId w:val="4"/>
        </w:numPr>
        <w:spacing w:before="120" w:after="120"/>
        <w:ind w:left="720"/>
        <w:jc w:val="both"/>
        <w:rPr>
          <w:rFonts w:ascii="Times New Roman" w:hAnsi="Times New Roman" w:cs="Times New Roman"/>
          <w:sz w:val="20"/>
          <w:szCs w:val="20"/>
          <w:highlight w:val="yellow"/>
        </w:rPr>
      </w:pPr>
      <w:r w:rsidRPr="004B3161">
        <w:rPr>
          <w:rFonts w:ascii="Times New Roman" w:hAnsi="Times New Roman" w:cs="Times New Roman"/>
          <w:sz w:val="20"/>
          <w:szCs w:val="20"/>
          <w:highlight w:val="yellow"/>
        </w:rPr>
        <w:t>The third item for comment is the consideration of the elimination of the NAESB Bylaw Addendums – Quadrant Procedures in an effort to standardize the processes of each quadrant.  This would be done by promoting and harmonizing the processes described in the individual Quadrant Procedures into the NAESB Bylaws applicable to all quadrants.</w:t>
      </w:r>
    </w:p>
    <w:p w:rsidR="004B3161" w:rsidRDefault="004B3161" w:rsidP="004B3161">
      <w:pPr>
        <w:pStyle w:val="ListParagraph"/>
        <w:spacing w:before="120" w:after="120"/>
        <w:ind w:hanging="720"/>
        <w:jc w:val="both"/>
      </w:pPr>
      <w:r>
        <w:t>Comments:</w:t>
      </w:r>
    </w:p>
    <w:p w:rsidR="004B3161" w:rsidRDefault="00587CB9" w:rsidP="004B3161">
      <w:pPr>
        <w:pStyle w:val="ListParagraph"/>
        <w:numPr>
          <w:ilvl w:val="0"/>
          <w:numId w:val="5"/>
        </w:numPr>
        <w:spacing w:before="120" w:after="120"/>
        <w:jc w:val="both"/>
      </w:pPr>
      <w:r>
        <w:t>Is NAESB planning to continue the “quadrant” designation in light of the current merging of the retail quadrants?</w:t>
      </w:r>
    </w:p>
    <w:p w:rsidR="00587CB9" w:rsidRDefault="00587CB9" w:rsidP="004B3161">
      <w:pPr>
        <w:pStyle w:val="ListParagraph"/>
        <w:numPr>
          <w:ilvl w:val="0"/>
          <w:numId w:val="5"/>
        </w:numPr>
        <w:spacing w:before="120" w:after="120"/>
        <w:jc w:val="both"/>
      </w:pPr>
      <w:r>
        <w:lastRenderedPageBreak/>
        <w:t>If NAESB eliminates the NAESB Bylaw Addendums - Quadrant Procedures, will the standardization of the processes require the loss of requirements (such as sub-segments) or will differentials in the quadrants be captured in the base Bylaws?</w:t>
      </w:r>
    </w:p>
    <w:p w:rsidR="00587CB9" w:rsidRDefault="00587CB9" w:rsidP="00587CB9">
      <w:pPr>
        <w:spacing w:before="120" w:after="120"/>
        <w:jc w:val="both"/>
      </w:pPr>
      <w:r>
        <w:t>As a general comment, I understand the need for periodic review of NAESB’s Bylaws.  I am uncertain whether the NAESB Board can agree on harmonizing quadrant processes, since there may be substantial gaps in the processes used by each quadrant.</w:t>
      </w:r>
    </w:p>
    <w:p w:rsidR="00587CB9" w:rsidRDefault="00587CB9" w:rsidP="00587CB9">
      <w:pPr>
        <w:spacing w:before="120" w:after="120"/>
        <w:jc w:val="both"/>
      </w:pPr>
      <w:r>
        <w:t>Thank you for the opportunity to provide my comments.</w:t>
      </w:r>
    </w:p>
    <w:p w:rsidR="00587CB9" w:rsidRDefault="00587CB9" w:rsidP="00587CB9">
      <w:pPr>
        <w:spacing w:before="120" w:after="120"/>
        <w:jc w:val="both"/>
      </w:pPr>
    </w:p>
    <w:p w:rsidR="00587CB9" w:rsidRDefault="00587CB9" w:rsidP="00587CB9">
      <w:pPr>
        <w:spacing w:before="120" w:after="120"/>
        <w:jc w:val="both"/>
      </w:pPr>
    </w:p>
    <w:p w:rsidR="00587CB9" w:rsidRDefault="00587CB9" w:rsidP="00587CB9">
      <w:pPr>
        <w:spacing w:after="0" w:line="240" w:lineRule="auto"/>
        <w:jc w:val="both"/>
      </w:pPr>
      <w:r>
        <w:t>Roy True</w:t>
      </w:r>
    </w:p>
    <w:p w:rsidR="00587CB9" w:rsidRDefault="00587CB9" w:rsidP="00587CB9">
      <w:pPr>
        <w:spacing w:after="0" w:line="240" w:lineRule="auto"/>
        <w:jc w:val="both"/>
      </w:pPr>
      <w:r>
        <w:t>Director of Regulatory and Market Affairs</w:t>
      </w:r>
    </w:p>
    <w:p w:rsidR="00587CB9" w:rsidRDefault="00587CB9" w:rsidP="00587CB9">
      <w:pPr>
        <w:spacing w:after="0" w:line="240" w:lineRule="auto"/>
        <w:jc w:val="both"/>
      </w:pPr>
      <w:r>
        <w:t>ACES</w:t>
      </w:r>
    </w:p>
    <w:p w:rsidR="004B3161" w:rsidRPr="004B3161" w:rsidRDefault="00587CB9" w:rsidP="00587CB9">
      <w:pPr>
        <w:spacing w:after="0" w:line="240" w:lineRule="auto"/>
        <w:rPr>
          <w:rFonts w:cstheme="minorHAnsi"/>
        </w:rPr>
      </w:pPr>
      <w:r>
        <w:rPr>
          <w:rFonts w:cstheme="minorHAnsi"/>
        </w:rPr>
        <w:t>317-344-7203</w:t>
      </w:r>
    </w:p>
    <w:p w:rsidR="004B3161" w:rsidRPr="004B3161" w:rsidRDefault="004B3161" w:rsidP="004B3161">
      <w:pPr>
        <w:spacing w:before="120" w:after="120"/>
        <w:rPr>
          <w:rFonts w:cstheme="minorHAnsi"/>
        </w:rPr>
      </w:pPr>
    </w:p>
    <w:p w:rsidR="004B3161" w:rsidRDefault="004B3161" w:rsidP="004B3161"/>
    <w:p w:rsidR="004B3161" w:rsidRDefault="004B3161" w:rsidP="004B3161"/>
    <w:sectPr w:rsidR="004B3161" w:rsidSect="00EB529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87B" w:rsidRDefault="0050487B" w:rsidP="00587CB9">
      <w:pPr>
        <w:spacing w:after="0" w:line="240" w:lineRule="auto"/>
      </w:pPr>
      <w:r>
        <w:separator/>
      </w:r>
    </w:p>
  </w:endnote>
  <w:endnote w:type="continuationSeparator" w:id="0">
    <w:p w:rsidR="0050487B" w:rsidRDefault="0050487B" w:rsidP="00587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5854"/>
      <w:docPartObj>
        <w:docPartGallery w:val="Page Numbers (Bottom of Page)"/>
        <w:docPartUnique/>
      </w:docPartObj>
    </w:sdtPr>
    <w:sdtContent>
      <w:sdt>
        <w:sdtPr>
          <w:id w:val="565050523"/>
          <w:docPartObj>
            <w:docPartGallery w:val="Page Numbers (Top of Page)"/>
            <w:docPartUnique/>
          </w:docPartObj>
        </w:sdtPr>
        <w:sdtContent>
          <w:p w:rsidR="00587CB9" w:rsidRDefault="00587CB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6216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62168">
              <w:rPr>
                <w:b/>
                <w:noProof/>
              </w:rPr>
              <w:t>2</w:t>
            </w:r>
            <w:r>
              <w:rPr>
                <w:b/>
                <w:sz w:val="24"/>
                <w:szCs w:val="24"/>
              </w:rPr>
              <w:fldChar w:fldCharType="end"/>
            </w:r>
          </w:p>
        </w:sdtContent>
      </w:sdt>
    </w:sdtContent>
  </w:sdt>
  <w:p w:rsidR="00587CB9" w:rsidRDefault="00587C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87B" w:rsidRDefault="0050487B" w:rsidP="00587CB9">
      <w:pPr>
        <w:spacing w:after="0" w:line="240" w:lineRule="auto"/>
      </w:pPr>
      <w:r>
        <w:separator/>
      </w:r>
    </w:p>
  </w:footnote>
  <w:footnote w:type="continuationSeparator" w:id="0">
    <w:p w:rsidR="0050487B" w:rsidRDefault="0050487B" w:rsidP="00587C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35598"/>
    <w:multiLevelType w:val="hybridMultilevel"/>
    <w:tmpl w:val="329A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F979F2"/>
    <w:multiLevelType w:val="hybridMultilevel"/>
    <w:tmpl w:val="607E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282D21"/>
    <w:multiLevelType w:val="hybridMultilevel"/>
    <w:tmpl w:val="212E4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283FFE"/>
    <w:multiLevelType w:val="hybridMultilevel"/>
    <w:tmpl w:val="3C84F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D453D6D"/>
    <w:multiLevelType w:val="hybridMultilevel"/>
    <w:tmpl w:val="607E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footnotePr>
    <w:footnote w:id="-1"/>
    <w:footnote w:id="0"/>
  </w:footnotePr>
  <w:endnotePr>
    <w:endnote w:id="-1"/>
    <w:endnote w:id="0"/>
  </w:endnotePr>
  <w:compat/>
  <w:rsids>
    <w:rsidRoot w:val="004B3161"/>
    <w:rsid w:val="003E6BA5"/>
    <w:rsid w:val="004B3161"/>
    <w:rsid w:val="0050487B"/>
    <w:rsid w:val="00587CB9"/>
    <w:rsid w:val="00C00206"/>
    <w:rsid w:val="00C62168"/>
    <w:rsid w:val="00DA2E96"/>
    <w:rsid w:val="00EB529B"/>
    <w:rsid w:val="00FF2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2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161"/>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587C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7CB9"/>
  </w:style>
  <w:style w:type="paragraph" w:styleId="Footer">
    <w:name w:val="footer"/>
    <w:basedOn w:val="Normal"/>
    <w:link w:val="FooterChar"/>
    <w:uiPriority w:val="99"/>
    <w:unhideWhenUsed/>
    <w:rsid w:val="00587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CB9"/>
  </w:style>
</w:styles>
</file>

<file path=word/webSettings.xml><?xml version="1.0" encoding="utf-8"?>
<w:webSettings xmlns:r="http://schemas.openxmlformats.org/officeDocument/2006/relationships" xmlns:w="http://schemas.openxmlformats.org/wordprocessingml/2006/main">
  <w:divs>
    <w:div w:id="539901951">
      <w:bodyDiv w:val="1"/>
      <w:marLeft w:val="0"/>
      <w:marRight w:val="0"/>
      <w:marTop w:val="0"/>
      <w:marBottom w:val="0"/>
      <w:divBdr>
        <w:top w:val="none" w:sz="0" w:space="0" w:color="auto"/>
        <w:left w:val="none" w:sz="0" w:space="0" w:color="auto"/>
        <w:bottom w:val="none" w:sz="0" w:space="0" w:color="auto"/>
        <w:right w:val="none" w:sz="0" w:space="0" w:color="auto"/>
      </w:divBdr>
    </w:div>
    <w:div w:id="558130441">
      <w:bodyDiv w:val="1"/>
      <w:marLeft w:val="0"/>
      <w:marRight w:val="0"/>
      <w:marTop w:val="0"/>
      <w:marBottom w:val="0"/>
      <w:divBdr>
        <w:top w:val="none" w:sz="0" w:space="0" w:color="auto"/>
        <w:left w:val="none" w:sz="0" w:space="0" w:color="auto"/>
        <w:bottom w:val="none" w:sz="0" w:space="0" w:color="auto"/>
        <w:right w:val="none" w:sz="0" w:space="0" w:color="auto"/>
      </w:divBdr>
    </w:div>
    <w:div w:id="1131169078">
      <w:bodyDiv w:val="1"/>
      <w:marLeft w:val="0"/>
      <w:marRight w:val="0"/>
      <w:marTop w:val="0"/>
      <w:marBottom w:val="0"/>
      <w:divBdr>
        <w:top w:val="none" w:sz="0" w:space="0" w:color="auto"/>
        <w:left w:val="none" w:sz="0" w:space="0" w:color="auto"/>
        <w:bottom w:val="none" w:sz="0" w:space="0" w:color="auto"/>
        <w:right w:val="none" w:sz="0" w:space="0" w:color="auto"/>
      </w:divBdr>
    </w:div>
    <w:div w:id="17565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8441F-8147-4F72-A8EE-4DA3FBDB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ACES Power Marketing</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royt</dc:creator>
  <cp:lastModifiedBy>royt</cp:lastModifiedBy>
  <cp:revision>2</cp:revision>
  <cp:lastPrinted>2014-08-06T19:31:00Z</cp:lastPrinted>
  <dcterms:created xsi:type="dcterms:W3CDTF">2014-08-06T18:50:00Z</dcterms:created>
  <dcterms:modified xsi:type="dcterms:W3CDTF">2014-08-06T19:36:00Z</dcterms:modified>
</cp:coreProperties>
</file>