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E0" w:rsidRDefault="007877E0" w:rsidP="007877E0">
      <w:pPr>
        <w:rPr>
          <w:rFonts w:ascii="Tahoma" w:eastAsia="Times New Roman" w:hAnsi="Tahoma" w:cs="Tahoma"/>
          <w:sz w:val="20"/>
          <w:szCs w:val="20"/>
        </w:rPr>
      </w:pPr>
      <w:bookmarkStart w:id="0" w:name="_MailOriginal"/>
      <w:bookmarkStart w:id="1" w:name="_GoBack"/>
      <w:bookmarkEnd w:id="1"/>
      <w:r>
        <w:rPr>
          <w:rFonts w:ascii="Tahoma" w:eastAsia="Times New Roman" w:hAnsi="Tahoma" w:cs="Tahoma"/>
          <w:b/>
          <w:bCs/>
          <w:sz w:val="20"/>
          <w:szCs w:val="20"/>
        </w:rPr>
        <w:t>From:</w:t>
      </w:r>
      <w:r>
        <w:rPr>
          <w:rFonts w:ascii="Tahoma" w:eastAsia="Times New Roman" w:hAnsi="Tahoma" w:cs="Tahoma"/>
          <w:sz w:val="20"/>
          <w:szCs w:val="20"/>
        </w:rPr>
        <w:t xml:space="preserve"> John Bartley, Accenture</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August 06, 2014 2:39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naesb</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vote response</w:t>
      </w:r>
    </w:p>
    <w:p w:rsidR="007877E0" w:rsidRDefault="007877E0" w:rsidP="007877E0"/>
    <w:p w:rsidR="007877E0" w:rsidRDefault="007877E0" w:rsidP="007877E0">
      <w:r>
        <w:t>All – couple of comments, taken in order of the notification:</w:t>
      </w:r>
    </w:p>
    <w:p w:rsidR="007877E0" w:rsidRDefault="007877E0" w:rsidP="007877E0"/>
    <w:p w:rsidR="007877E0" w:rsidRDefault="007877E0" w:rsidP="007877E0">
      <w:pPr>
        <w:pStyle w:val="ListParagraph"/>
        <w:numPr>
          <w:ilvl w:val="0"/>
          <w:numId w:val="1"/>
        </w:numPr>
      </w:pPr>
      <w:r>
        <w:t>Yes – we can remove directors for malfeasance – recommend defining malfeasance and include in resolution</w:t>
      </w:r>
    </w:p>
    <w:p w:rsidR="007877E0" w:rsidRDefault="007877E0" w:rsidP="007877E0">
      <w:pPr>
        <w:pStyle w:val="ListParagraph"/>
        <w:numPr>
          <w:ilvl w:val="0"/>
          <w:numId w:val="1"/>
        </w:numPr>
      </w:pPr>
      <w:r>
        <w:t>Yes – electronic voting is fine</w:t>
      </w:r>
    </w:p>
    <w:p w:rsidR="007877E0" w:rsidRDefault="007877E0" w:rsidP="007877E0">
      <w:pPr>
        <w:pStyle w:val="ListParagraph"/>
        <w:numPr>
          <w:ilvl w:val="0"/>
          <w:numId w:val="1"/>
        </w:numPr>
      </w:pPr>
      <w:r>
        <w:t>Don’t know - Quadrant harmonization depends on the how that would be accomplished – certainly support standard processes and procedures to the maximum extent possible but the use of “promoting” needs clarification.</w:t>
      </w:r>
    </w:p>
    <w:p w:rsidR="007877E0" w:rsidRDefault="007877E0" w:rsidP="007877E0"/>
    <w:p w:rsidR="007877E0" w:rsidRDefault="007877E0" w:rsidP="007877E0">
      <w:r>
        <w:t>Thanks – holler if you need clarification</w:t>
      </w:r>
    </w:p>
    <w:p w:rsidR="007877E0" w:rsidRDefault="007877E0" w:rsidP="007877E0"/>
    <w:p w:rsidR="007877E0" w:rsidRDefault="007877E0" w:rsidP="007877E0">
      <w:r>
        <w:t>Best Regards,</w:t>
      </w:r>
    </w:p>
    <w:p w:rsidR="007877E0" w:rsidRDefault="007877E0" w:rsidP="007877E0">
      <w:r>
        <w:t>J Bartley</w:t>
      </w:r>
    </w:p>
    <w:p w:rsidR="007877E0" w:rsidRDefault="007877E0" w:rsidP="007877E0"/>
    <w:p w:rsidR="007877E0" w:rsidRDefault="007877E0" w:rsidP="007877E0">
      <w:r>
        <w:t xml:space="preserve">1301 </w:t>
      </w:r>
      <w:proofErr w:type="spellStart"/>
      <w:r>
        <w:t>Fannin</w:t>
      </w:r>
      <w:proofErr w:type="spellEnd"/>
      <w:r>
        <w:t>, 1900</w:t>
      </w:r>
    </w:p>
    <w:p w:rsidR="007877E0" w:rsidRDefault="007877E0" w:rsidP="007877E0">
      <w:r>
        <w:t xml:space="preserve">Houston, </w:t>
      </w:r>
      <w:proofErr w:type="spellStart"/>
      <w:r>
        <w:t>Tx</w:t>
      </w:r>
      <w:proofErr w:type="spellEnd"/>
      <w:r>
        <w:t xml:space="preserve"> 77002</w:t>
      </w:r>
    </w:p>
    <w:p w:rsidR="007877E0" w:rsidRDefault="007877E0" w:rsidP="007877E0"/>
    <w:p w:rsidR="007877E0" w:rsidRDefault="007877E0" w:rsidP="007877E0"/>
    <w:p w:rsidR="007877E0" w:rsidRDefault="007877E0" w:rsidP="007877E0">
      <w:pPr>
        <w:rPr>
          <w:rFonts w:ascii="Times New Roman" w:eastAsia="Times New Roman" w:hAnsi="Times New Roman"/>
          <w:sz w:val="24"/>
          <w:szCs w:val="24"/>
        </w:rPr>
      </w:pPr>
    </w:p>
    <w:p w:rsidR="007877E0" w:rsidRDefault="007877E0" w:rsidP="007877E0">
      <w:pPr>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8pt;height:1.8pt" o:hralign="center" o:hrstd="t" o:hr="t" fillcolor="#a0a0a0" stroked="f"/>
        </w:pict>
      </w:r>
    </w:p>
    <w:p w:rsidR="007877E0" w:rsidRDefault="007877E0" w:rsidP="007877E0">
      <w:pPr>
        <w:rPr>
          <w:rFonts w:ascii="Times New Roman" w:eastAsia="Times New Roman" w:hAnsi="Times New Roman"/>
          <w:sz w:val="24"/>
          <w:szCs w:val="24"/>
        </w:rPr>
      </w:pPr>
      <w:r>
        <w:rPr>
          <w:rFonts w:ascii="Arial" w:eastAsia="Times New Roman" w:hAnsi="Arial" w:cs="Arial"/>
          <w:color w:val="808080"/>
          <w:sz w:val="15"/>
          <w:szCs w:val="15"/>
        </w:rPr>
        <w:br/>
        <w:t xml:space="preserve">This message is for the designated recipient only and may contain privileged, proprietary, or otherwise confidential information. If you have received it in error, please notify the sender immediately and delete the original. Any other use of the e-mail by you is prohibited. Where allowed by local law, electronic communications with Accenture and its affiliates, including e-mail and instant messaging (including content), may be scanned by our systems for the purposes of information security and assessment of internal compliance with Accenture policy. </w:t>
      </w:r>
      <w:r>
        <w:rPr>
          <w:rFonts w:ascii="Arial" w:eastAsia="Times New Roman" w:hAnsi="Arial" w:cs="Arial"/>
          <w:color w:val="808080"/>
          <w:sz w:val="15"/>
          <w:szCs w:val="15"/>
        </w:rPr>
        <w:br/>
        <w:t>______________________________________________________________________________________</w:t>
      </w:r>
      <w:r>
        <w:rPr>
          <w:rFonts w:ascii="Arial" w:eastAsia="Times New Roman" w:hAnsi="Arial" w:cs="Arial"/>
          <w:color w:val="808080"/>
          <w:sz w:val="15"/>
          <w:szCs w:val="15"/>
        </w:rPr>
        <w:br/>
      </w:r>
      <w:r>
        <w:rPr>
          <w:rFonts w:ascii="Arial" w:eastAsia="Times New Roman" w:hAnsi="Arial" w:cs="Arial"/>
          <w:color w:val="808080"/>
          <w:sz w:val="15"/>
          <w:szCs w:val="15"/>
        </w:rPr>
        <w:br/>
      </w:r>
      <w:hyperlink r:id="rId6" w:history="1">
        <w:r>
          <w:rPr>
            <w:rStyle w:val="Hyperlink"/>
            <w:rFonts w:ascii="Arial" w:eastAsia="Times New Roman" w:hAnsi="Arial" w:cs="Arial"/>
            <w:sz w:val="15"/>
            <w:szCs w:val="15"/>
          </w:rPr>
          <w:t>www.accenture.com</w:t>
        </w:r>
      </w:hyperlink>
      <w:bookmarkEnd w:id="0"/>
    </w:p>
    <w:p w:rsidR="005D754C" w:rsidRDefault="005D754C"/>
    <w:sectPr w:rsidR="005D7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7943"/>
    <w:multiLevelType w:val="hybridMultilevel"/>
    <w:tmpl w:val="C2F4C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E0"/>
    <w:rsid w:val="005D754C"/>
    <w:rsid w:val="0078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7E0"/>
    <w:rPr>
      <w:color w:val="0000FF"/>
      <w:u w:val="single"/>
    </w:rPr>
  </w:style>
  <w:style w:type="paragraph" w:styleId="ListParagraph">
    <w:name w:val="List Paragraph"/>
    <w:basedOn w:val="Normal"/>
    <w:uiPriority w:val="34"/>
    <w:qFormat/>
    <w:rsid w:val="007877E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7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7E0"/>
    <w:rPr>
      <w:color w:val="0000FF"/>
      <w:u w:val="single"/>
    </w:rPr>
  </w:style>
  <w:style w:type="paragraph" w:styleId="ListParagraph">
    <w:name w:val="List Paragraph"/>
    <w:basedOn w:val="Normal"/>
    <w:uiPriority w:val="34"/>
    <w:qFormat/>
    <w:rsid w:val="007877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entu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NAESB</cp:lastModifiedBy>
  <cp:revision>1</cp:revision>
  <dcterms:created xsi:type="dcterms:W3CDTF">2014-08-07T21:31:00Z</dcterms:created>
  <dcterms:modified xsi:type="dcterms:W3CDTF">2014-08-07T21:33:00Z</dcterms:modified>
</cp:coreProperties>
</file>