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47535D" w:rsidP="009142F4">
      <w:pPr>
        <w:spacing w:before="120"/>
        <w:ind w:left="1440" w:hanging="1440"/>
        <w:jc w:val="right"/>
      </w:pPr>
      <w:bookmarkStart w:id="0" w:name="_GoBack"/>
      <w:bookmarkEnd w:id="0"/>
      <w:r>
        <w:t>June 11</w:t>
      </w:r>
      <w:r w:rsidR="0095100B">
        <w:t>, 201</w:t>
      </w:r>
      <w:r w:rsidR="00E40B1A">
        <w:t>5</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47535D">
        <w:t>June 11</w:t>
      </w:r>
      <w:r w:rsidR="0095100B">
        <w:t>, 201</w:t>
      </w:r>
      <w:r w:rsidR="00E40B1A">
        <w:t>5</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47535D" w:rsidP="00C879E8">
      <w:pPr>
        <w:pStyle w:val="BodyText"/>
        <w:spacing w:after="360"/>
        <w:jc w:val="center"/>
        <w:rPr>
          <w:b/>
          <w:sz w:val="20"/>
        </w:rPr>
      </w:pPr>
      <w:r>
        <w:rPr>
          <w:b/>
          <w:sz w:val="20"/>
        </w:rPr>
        <w:t>Thursday</w:t>
      </w:r>
      <w:r w:rsidR="00132BD8">
        <w:rPr>
          <w:b/>
          <w:sz w:val="20"/>
        </w:rPr>
        <w:t>, June</w:t>
      </w:r>
      <w:r>
        <w:rPr>
          <w:b/>
          <w:sz w:val="20"/>
        </w:rPr>
        <w:t xml:space="preserve"> 11</w:t>
      </w:r>
      <w:r w:rsidR="000A28CE" w:rsidRPr="00B23C2F">
        <w:rPr>
          <w:b/>
          <w:sz w:val="20"/>
        </w:rPr>
        <w:t>, 201</w:t>
      </w:r>
      <w:r w:rsidR="00E40B1A">
        <w:rPr>
          <w:b/>
          <w:sz w:val="20"/>
        </w:rPr>
        <w:t>5</w:t>
      </w:r>
      <w:r w:rsidR="00B23C2F" w:rsidRPr="00B23C2F">
        <w:rPr>
          <w:b/>
          <w:sz w:val="20"/>
        </w:rPr>
        <w:t xml:space="preserve"> – </w:t>
      </w:r>
      <w:r w:rsidR="00E40B1A">
        <w:rPr>
          <w:b/>
          <w:sz w:val="20"/>
        </w:rPr>
        <w:t>1</w:t>
      </w:r>
      <w:r w:rsidR="00B23C2F" w:rsidRPr="00B23C2F">
        <w:rPr>
          <w:b/>
          <w:sz w:val="20"/>
        </w:rPr>
        <w:t xml:space="preserve">:00 </w:t>
      </w:r>
      <w:r w:rsidR="00E40B1A">
        <w:rPr>
          <w:b/>
          <w:sz w:val="20"/>
        </w:rPr>
        <w:t>P</w:t>
      </w:r>
      <w:r w:rsidR="00B23C2F" w:rsidRPr="00B23C2F">
        <w:rPr>
          <w:b/>
          <w:sz w:val="20"/>
        </w:rPr>
        <w:t xml:space="preserve">M – </w:t>
      </w:r>
      <w:r w:rsidR="00E40B1A">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0A7CEF" w:rsidP="00A2461E">
      <w:pPr>
        <w:spacing w:before="120" w:after="120"/>
        <w:jc w:val="both"/>
      </w:pPr>
      <w:r>
        <w:t>Ms. Crockett</w:t>
      </w:r>
      <w:r w:rsidR="00CC5651">
        <w:t xml:space="preserve"> called the meeting to order </w:t>
      </w:r>
      <w:r w:rsidR="004A4252">
        <w:t xml:space="preserve">at 1 pm C </w:t>
      </w:r>
      <w:r w:rsidR="00CC5651">
        <w:t>and</w:t>
      </w:r>
      <w:r w:rsidR="00026353">
        <w:t xml:space="preserve"> Mr.</w:t>
      </w:r>
      <w:r w:rsidR="0013484A">
        <w:t xml:space="preserve"> Booe provided</w:t>
      </w:r>
      <w:r w:rsidR="0013484A" w:rsidRPr="00740597">
        <w:t xml:space="preserve"> the antitrust </w:t>
      </w:r>
      <w:r w:rsidR="0013484A">
        <w:t>guidance</w:t>
      </w:r>
      <w:r w:rsidR="0013484A" w:rsidRPr="00740597">
        <w:t>.</w:t>
      </w:r>
      <w:r w:rsidR="0013484A">
        <w:t xml:space="preserve">  </w:t>
      </w:r>
      <w:r w:rsidR="00026353">
        <w:t xml:space="preserve">Quorum was established.  </w:t>
      </w:r>
      <w:r>
        <w:t xml:space="preserve">Ms. Crockett </w:t>
      </w:r>
      <w:r w:rsidR="00026353">
        <w:t xml:space="preserve">reviewed the </w:t>
      </w:r>
      <w:r w:rsidR="00B23C2F">
        <w:t xml:space="preserve">agenda and </w:t>
      </w:r>
      <w:r w:rsidR="00026353">
        <w:t xml:space="preserve">Mr. </w:t>
      </w:r>
      <w:r w:rsidR="00115DCC">
        <w:t>Lander</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t xml:space="preserve">Mr. </w:t>
      </w:r>
      <w:r w:rsidR="00B02A31">
        <w:t>Desselle</w:t>
      </w:r>
      <w:r>
        <w:t xml:space="preserve"> </w:t>
      </w:r>
      <w:r w:rsidR="00740597" w:rsidRPr="00740597">
        <w:t>seconded the motion</w:t>
      </w:r>
      <w:r w:rsidR="00115DCC">
        <w:t>,</w:t>
      </w:r>
      <w:r w:rsidR="00B23C2F">
        <w:t xml:space="preserve"> and t</w:t>
      </w:r>
      <w:r w:rsidR="00740597">
        <w:t>he motion passed without opposition</w:t>
      </w:r>
      <w:r w:rsidR="00740597" w:rsidRPr="00740597">
        <w:t>.</w:t>
      </w:r>
    </w:p>
    <w:p w:rsidR="00585AE3" w:rsidRPr="0093777F" w:rsidRDefault="000A7CEF" w:rsidP="00A2461E">
      <w:pPr>
        <w:spacing w:before="120" w:after="120"/>
        <w:jc w:val="both"/>
      </w:pPr>
      <w:r>
        <w:t>Ms. Crockett</w:t>
      </w:r>
      <w:r w:rsidR="00585AE3">
        <w:t xml:space="preserve"> reviewed the </w:t>
      </w:r>
      <w:r w:rsidR="00F31FC8">
        <w:t>draft minutes from the</w:t>
      </w:r>
      <w:r>
        <w:t xml:space="preserve"> </w:t>
      </w:r>
      <w:r w:rsidR="00B02A31">
        <w:t>May 15</w:t>
      </w:r>
      <w:r w:rsidR="000A28CE">
        <w:t>, 201</w:t>
      </w:r>
      <w:r w:rsidR="00115DCC">
        <w:t>5</w:t>
      </w:r>
      <w:r w:rsidR="00F31FC8">
        <w:t xml:space="preserve"> meeting and asked if anyone would like t</w:t>
      </w:r>
      <w:r w:rsidR="00CC5651">
        <w:t>o offer any modifications.  No modifications</w:t>
      </w:r>
      <w:r w:rsidR="00F31FC8">
        <w:t xml:space="preserve"> were offered.  </w:t>
      </w:r>
      <w:r w:rsidR="00986BDA">
        <w:t xml:space="preserve">Mr. </w:t>
      </w:r>
      <w:r w:rsidR="00115DCC">
        <w:t>Desselle</w:t>
      </w:r>
      <w:r>
        <w:t xml:space="preserve"> moved to adopt the minutes as drafted and Mr. </w:t>
      </w:r>
      <w:r w:rsidR="00B02A31">
        <w:t xml:space="preserve">Lander </w:t>
      </w:r>
      <w:r>
        <w:t>seconded the motion.  The motion passed without opposition</w:t>
      </w:r>
      <w:r w:rsidR="00F31FC8">
        <w:t>.  The final meeting minutes can be found through the following hyperlink</w:t>
      </w:r>
      <w:r w:rsidR="00AA4000">
        <w:t>:</w:t>
      </w:r>
      <w:r>
        <w:t xml:space="preserve"> </w:t>
      </w:r>
      <w:hyperlink r:id="rId10" w:history="1">
        <w:r w:rsidR="000A7119">
          <w:rPr>
            <w:rStyle w:val="Hyperlink"/>
          </w:rPr>
          <w:t>https://www.naesb.org/pdf4/parliamentary051515fm.docx</w:t>
        </w:r>
      </w:hyperlink>
    </w:p>
    <w:p w:rsidR="0085395E" w:rsidRDefault="00115DCC" w:rsidP="0085395E">
      <w:pPr>
        <w:numPr>
          <w:ilvl w:val="0"/>
          <w:numId w:val="8"/>
        </w:numPr>
        <w:tabs>
          <w:tab w:val="left" w:pos="0"/>
        </w:tabs>
        <w:spacing w:before="120" w:after="120"/>
        <w:jc w:val="both"/>
        <w:rPr>
          <w:b/>
        </w:rPr>
      </w:pPr>
      <w:r>
        <w:rPr>
          <w:b/>
        </w:rPr>
        <w:t xml:space="preserve">Review </w:t>
      </w:r>
      <w:r w:rsidR="00B02A31">
        <w:rPr>
          <w:b/>
        </w:rPr>
        <w:t>of Proposals/Comments</w:t>
      </w:r>
      <w:r w:rsidR="009D6B3F">
        <w:rPr>
          <w:b/>
        </w:rPr>
        <w:t xml:space="preserve"> Regarding Removal of a Board Member </w:t>
      </w:r>
    </w:p>
    <w:p w:rsidR="009E5AAF" w:rsidRDefault="00115DCC" w:rsidP="00B02A31">
      <w:pPr>
        <w:tabs>
          <w:tab w:val="left" w:pos="0"/>
        </w:tabs>
        <w:spacing w:before="120" w:after="120"/>
        <w:jc w:val="both"/>
      </w:pPr>
      <w:r>
        <w:t xml:space="preserve">Ms. Crockett </w:t>
      </w:r>
      <w:r w:rsidR="00B02A31">
        <w:t xml:space="preserve">thanked those who submitted proposals and stated that they would each have an opportunity to present their recommendations during the call.  Ms. Crockett asked Mr. Boswell to review his proposal first.  Mr. Boswell reminded the participants of the fiduciary duties of the NAESB board members and stated that his proposal is an attempt to stay within the requirements of Delaware law with respect to those duties while accommodating the concerns expressed by the wholesale gas quadrant during the April 9, 2015 meeting. Mr. Kruse asked if Mr. Boswell would object to having the allegations </w:t>
      </w:r>
      <w:r w:rsidR="009D6B3F">
        <w:t xml:space="preserve">against a board member </w:t>
      </w:r>
      <w:r w:rsidR="00B02A31">
        <w:t xml:space="preserve">referred to </w:t>
      </w:r>
      <w:r w:rsidR="009D6B3F">
        <w:t>all board members of the impacted</w:t>
      </w:r>
      <w:r w:rsidR="00B02A31">
        <w:t xml:space="preserve"> entire quadrant rather than a small ad hoc committee after prima facie evidence is found by the Managing Committee.  Mr. Boswell said that the purpose was to fill the vacuum between the Managing Committee and the entire Board of Directors, and noted that the </w:t>
      </w:r>
      <w:r w:rsidR="009D6B3F">
        <w:t>primary purpose is to give the b</w:t>
      </w:r>
      <w:r w:rsidR="00B02A31">
        <w:t xml:space="preserve">oard the opportunity to vote in-line with their fiduciary obligation to the </w:t>
      </w:r>
      <w:r w:rsidR="009D6B3F">
        <w:t>b</w:t>
      </w:r>
      <w:r w:rsidR="00B02A31">
        <w:t xml:space="preserve">oard.  Ms. Crockett asked Mr. Cargas to review his recommended modifications to Mr. Boswell’s proposal.  Mr. Cargas stated that his </w:t>
      </w:r>
      <w:r w:rsidR="00B0572A">
        <w:t xml:space="preserve">modification recommends that an additional caveat be added to ensure that individual board members still have the right to pursue removal and to add clarity around the definition of majority in his proposal.  Mr. Boswell stated that he does not have an issue with the additional clarity concerning the definition of majority if the </w:t>
      </w:r>
      <w:r w:rsidR="009D6B3F">
        <w:t>c</w:t>
      </w:r>
      <w:r w:rsidR="00B0572A">
        <w:t xml:space="preserve">ommittee feels it is needed.  Ms. Crockett asked Mr. Lander to review his recommendation with the participants. Mr. Boswell stated that he does not have an issue with Mr. Lander’s proposal from a corporate governance perspective. Ms. Crockett asked Mr. Parker to provide a review of the producer segment proposal.  Mr. Parker deferred to Ms. Denton and she stated that at a high level, the primary goal of the proposal was to allow the individual quadrants to police their own members. Mr. Cargas asked if the </w:t>
      </w:r>
      <w:r w:rsidR="009D6B3F">
        <w:t>b</w:t>
      </w:r>
      <w:r w:rsidR="00B0572A">
        <w:t>oard members would be able to make a motion for the removal of directors outside of their quadrant.  Mr. Parker stated that this issue or aspect was not considered or proposed in the document.  Mr. Boswell stated that this might be an issue as the members are required to act in the best of the entire</w:t>
      </w:r>
      <w:r w:rsidR="009E5AAF">
        <w:t xml:space="preserve"> board</w:t>
      </w:r>
      <w:r w:rsidR="009D6B3F">
        <w:t>,</w:t>
      </w:r>
      <w:r w:rsidR="009E5AAF">
        <w:t xml:space="preserve"> not their </w:t>
      </w:r>
      <w:r w:rsidR="009D6B3F">
        <w:t xml:space="preserve">specific </w:t>
      </w:r>
      <w:r w:rsidR="009E5AAF">
        <w:t xml:space="preserve">quadrant.  Mr. Lander stated that he supports addressing the issue as identified in Mr. Cargas’ proposal.  He suggested that </w:t>
      </w:r>
      <w:r w:rsidR="009D6B3F">
        <w:t>Mr. Parker further</w:t>
      </w:r>
      <w:r w:rsidR="009E5AAF">
        <w:t xml:space="preserve"> discuss this aspect.  Mr. Kruse stated that he proposed two options.  His first proposal is simply to keep the traditional interpretation of Majority at the close of the process.  He stated that he supports Mr. Boswell’s proposal in the case that the vote of the </w:t>
      </w:r>
      <w:r w:rsidR="009D6B3F">
        <w:t>b</w:t>
      </w:r>
      <w:r w:rsidR="009E5AAF">
        <w:t xml:space="preserve">oard is by </w:t>
      </w:r>
      <w:r w:rsidR="009E5AAF">
        <w:lastRenderedPageBreak/>
        <w:t>majority of each quadrant.</w:t>
      </w:r>
      <w:r w:rsidR="004B6405">
        <w:t xml:space="preserve">  His second proposal is to all</w:t>
      </w:r>
      <w:r w:rsidR="009E5AAF">
        <w:t xml:space="preserve">ow the individual quadrants to make a determination and police their own members.  </w:t>
      </w:r>
    </w:p>
    <w:p w:rsidR="00830FF9" w:rsidRDefault="00026AF9" w:rsidP="00B02A31">
      <w:pPr>
        <w:tabs>
          <w:tab w:val="left" w:pos="0"/>
        </w:tabs>
        <w:spacing w:before="120" w:after="120"/>
        <w:jc w:val="both"/>
      </w:pPr>
      <w:r>
        <w:t xml:space="preserve">Mr. Hartsoe asked if Mr. Kruse’s concerns would be addressed if the </w:t>
      </w:r>
      <w:r w:rsidR="009D6B3F">
        <w:t xml:space="preserve">board members of the </w:t>
      </w:r>
      <w:r>
        <w:t xml:space="preserve">quadrant </w:t>
      </w:r>
      <w:r w:rsidR="009D6B3F">
        <w:t xml:space="preserve">to which the </w:t>
      </w:r>
      <w:r w:rsidR="00830FF9">
        <w:t xml:space="preserve"> member </w:t>
      </w:r>
      <w:r w:rsidR="009D6B3F">
        <w:t>considered for removal</w:t>
      </w:r>
      <w:r w:rsidR="00830FF9">
        <w:t xml:space="preserve"> </w:t>
      </w:r>
      <w:r>
        <w:t>w</w:t>
      </w:r>
      <w:r w:rsidR="009D6B3F">
        <w:t>ere</w:t>
      </w:r>
      <w:r>
        <w:t xml:space="preserve"> given an opportunity to </w:t>
      </w:r>
      <w:r w:rsidR="00830FF9">
        <w:t xml:space="preserve">consider the matter before </w:t>
      </w:r>
      <w:r w:rsidR="00830FF9" w:rsidRPr="00830FF9">
        <w:t>presented to the</w:t>
      </w:r>
      <w:r w:rsidR="009E5AAF" w:rsidRPr="00830FF9">
        <w:t xml:space="preserve"> </w:t>
      </w:r>
      <w:r w:rsidR="009D6B3F">
        <w:t>full b</w:t>
      </w:r>
      <w:r w:rsidR="00830FF9" w:rsidRPr="00830FF9">
        <w:t xml:space="preserve">oard. </w:t>
      </w:r>
      <w:r w:rsidR="009E5AAF" w:rsidRPr="00830FF9">
        <w:t xml:space="preserve">Mr. Kruse stated that he is troubled by the </w:t>
      </w:r>
      <w:r w:rsidR="00830FF9" w:rsidRPr="00830FF9">
        <w:t xml:space="preserve">issue concerning the </w:t>
      </w:r>
      <w:r w:rsidR="009E5AAF" w:rsidRPr="00830FF9">
        <w:t>disproportionate number o</w:t>
      </w:r>
      <w:r w:rsidR="00830FF9" w:rsidRPr="00830FF9">
        <w:t>f directors across the quadrants, but that allowing a quadrant to police its own matters</w:t>
      </w:r>
      <w:r w:rsidR="009D6B3F">
        <w:t xml:space="preserve"> by this step</w:t>
      </w:r>
      <w:r w:rsidR="00830FF9" w:rsidRPr="00830FF9">
        <w:t xml:space="preserve"> would be </w:t>
      </w:r>
      <w:r w:rsidR="00855210">
        <w:t xml:space="preserve">a </w:t>
      </w:r>
      <w:r w:rsidR="00830FF9" w:rsidRPr="00830FF9">
        <w:t>compromise that he could consider</w:t>
      </w:r>
      <w:r w:rsidR="009E5AAF" w:rsidRPr="00830FF9">
        <w:t xml:space="preserve">. </w:t>
      </w:r>
      <w:r w:rsidR="00830FF9">
        <w:t xml:space="preserve"> Mr. Hartsoe proposed that the </w:t>
      </w:r>
      <w:r w:rsidR="006512E2">
        <w:t xml:space="preserve">second step in Mr. Boswell’s proposal be changed so that if the Managing Committee finds prima facie evidence of wrong doing, the </w:t>
      </w:r>
      <w:r w:rsidR="009D6B3F">
        <w:t xml:space="preserve">board members of the </w:t>
      </w:r>
      <w:r w:rsidR="006512E2">
        <w:t xml:space="preserve">quadrant of the alleged </w:t>
      </w:r>
      <w:r w:rsidR="00855210">
        <w:t>has an opportunity to review</w:t>
      </w:r>
      <w:r w:rsidR="006512E2">
        <w:t xml:space="preserve"> the evidence and de</w:t>
      </w:r>
      <w:r w:rsidR="00855210">
        <w:t>termine</w:t>
      </w:r>
      <w:r w:rsidR="006512E2">
        <w:t xml:space="preserve"> whether to close the matter</w:t>
      </w:r>
      <w:r w:rsidR="00855210">
        <w:t>.  If the allegations are substantiated by the</w:t>
      </w:r>
      <w:r w:rsidR="009D6B3F">
        <w:t xml:space="preserve"> board members of the </w:t>
      </w:r>
      <w:r w:rsidR="00855210">
        <w:t xml:space="preserve">quadrant, the matter would be sent to </w:t>
      </w:r>
      <w:r w:rsidR="006512E2">
        <w:t xml:space="preserve">the </w:t>
      </w:r>
      <w:r w:rsidR="009D6B3F">
        <w:t xml:space="preserve">full </w:t>
      </w:r>
      <w:r w:rsidR="006512E2">
        <w:t xml:space="preserve">Board of Directors </w:t>
      </w:r>
      <w:r w:rsidR="00855210">
        <w:t>for consideration and a simple majority vote of the entire board would be taken to make a determination</w:t>
      </w:r>
      <w:r w:rsidR="006512E2">
        <w:t xml:space="preserve">. </w:t>
      </w:r>
      <w:r w:rsidR="00855210">
        <w:t>Mr. Boswell stated that he could support the process as it gives the quadrant an opportunity to address the issues and allows the board to act en banc, consistent with board members</w:t>
      </w:r>
      <w:r w:rsidR="009D6B3F">
        <w:t>’</w:t>
      </w:r>
      <w:r w:rsidR="00855210">
        <w:t xml:space="preserve"> fiduciary duties. Mr. Cargas asked if any board member can initiate the process, despite quadrant affiliation.  Mr. Hartsoe confirmed that the process does not preclude any member from bring</w:t>
      </w:r>
      <w:r w:rsidR="00A94959">
        <w:t>ing</w:t>
      </w:r>
      <w:r w:rsidR="00855210">
        <w:t xml:space="preserve"> an allegation to the Managing Committee.  General support for the process described by Mr. Hartsoe was garnered by the committee members. </w:t>
      </w:r>
    </w:p>
    <w:p w:rsidR="00855210" w:rsidRDefault="00855210" w:rsidP="00B02A31">
      <w:pPr>
        <w:tabs>
          <w:tab w:val="left" w:pos="0"/>
        </w:tabs>
        <w:spacing w:before="120" w:after="120"/>
        <w:jc w:val="both"/>
        <w:rPr>
          <w:highlight w:val="yellow"/>
        </w:rPr>
      </w:pPr>
      <w:r>
        <w:t xml:space="preserve">Mr. Boswell stated that he would draft </w:t>
      </w:r>
      <w:r w:rsidR="009D6B3F">
        <w:t xml:space="preserve">proposed NAESB </w:t>
      </w:r>
      <w:r>
        <w:t xml:space="preserve">Bylaw and Operating Procedure language consistent with Mr. Hartsoe’s recommendation. </w:t>
      </w:r>
      <w:r w:rsidR="005217DF">
        <w:t xml:space="preserve">Mr. Kruse asked if the board currently takes simple majority votes of the entire board rather than by quadrant during meetings. Mr. Boswell stated that procedural motions are voted on in that manner and that substantive votes are taken by quadrant. Mr. Boswell asked if there is any need to explore the weighted voting process proposed by Mr. Lander.  A number of committee members stated that it would be unnecessary through the process described by Mr. </w:t>
      </w:r>
      <w:r w:rsidR="009D6B3F">
        <w:t>Lander</w:t>
      </w:r>
      <w:r w:rsidR="005217DF">
        <w:t xml:space="preserve">, but may be useful in the future. </w:t>
      </w:r>
    </w:p>
    <w:p w:rsidR="003819F2" w:rsidRDefault="003A3848" w:rsidP="00167CFA">
      <w:pPr>
        <w:numPr>
          <w:ilvl w:val="0"/>
          <w:numId w:val="8"/>
        </w:numPr>
        <w:tabs>
          <w:tab w:val="left" w:pos="0"/>
        </w:tabs>
        <w:spacing w:before="120" w:after="120"/>
        <w:jc w:val="both"/>
        <w:rPr>
          <w:b/>
        </w:rPr>
      </w:pPr>
      <w:r>
        <w:rPr>
          <w:b/>
        </w:rPr>
        <w:t>Next Steps</w:t>
      </w:r>
    </w:p>
    <w:p w:rsidR="00C879E8" w:rsidRDefault="003A3848" w:rsidP="005217DF">
      <w:pPr>
        <w:tabs>
          <w:tab w:val="left" w:pos="0"/>
        </w:tabs>
        <w:spacing w:before="120" w:after="120"/>
        <w:jc w:val="both"/>
        <w:rPr>
          <w:b/>
        </w:rPr>
      </w:pPr>
      <w:r>
        <w:t>M</w:t>
      </w:r>
      <w:r w:rsidR="005217DF">
        <w:t xml:space="preserve">r. Boswell will draft language that will be posted to the committee’s webpage for the next meeting. </w:t>
      </w:r>
    </w:p>
    <w:p w:rsidR="005217DF" w:rsidRPr="005217DF" w:rsidRDefault="005217DF" w:rsidP="005217DF">
      <w:pPr>
        <w:numPr>
          <w:ilvl w:val="0"/>
          <w:numId w:val="8"/>
        </w:numPr>
        <w:tabs>
          <w:tab w:val="left" w:pos="0"/>
        </w:tabs>
        <w:spacing w:before="120" w:after="120"/>
        <w:jc w:val="both"/>
        <w:rPr>
          <w:b/>
        </w:rPr>
      </w:pPr>
      <w:r w:rsidRPr="005217DF">
        <w:rPr>
          <w:b/>
        </w:rPr>
        <w:t>Adjournment</w:t>
      </w:r>
    </w:p>
    <w:p w:rsidR="00433935" w:rsidRDefault="007E40D1" w:rsidP="005217DF">
      <w:pPr>
        <w:tabs>
          <w:tab w:val="left" w:pos="0"/>
        </w:tabs>
        <w:spacing w:before="120" w:after="120"/>
        <w:jc w:val="both"/>
      </w:pPr>
      <w:r>
        <w:t>T</w:t>
      </w:r>
      <w:r w:rsidR="00A1061C" w:rsidRPr="00A1061C">
        <w:t>he meeting was adjourned at</w:t>
      </w:r>
      <w:r w:rsidR="00446C29" w:rsidRPr="00A1061C">
        <w:t xml:space="preserve"> </w:t>
      </w:r>
      <w:r w:rsidR="009F3D5C">
        <w:t>1:</w:t>
      </w:r>
      <w:r w:rsidR="004B6405">
        <w:t>57</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lastRenderedPageBreak/>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A94959" w:rsidRPr="009567F8" w:rsidTr="002A417C">
        <w:tc>
          <w:tcPr>
            <w:tcW w:w="4770" w:type="dxa"/>
            <w:shd w:val="clear" w:color="auto" w:fill="auto"/>
          </w:tcPr>
          <w:p w:rsidR="00A94959" w:rsidRDefault="00A9495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Dale Davis</w:t>
            </w:r>
          </w:p>
        </w:tc>
        <w:tc>
          <w:tcPr>
            <w:tcW w:w="5130" w:type="dxa"/>
            <w:shd w:val="clear" w:color="auto" w:fill="auto"/>
          </w:tcPr>
          <w:p w:rsidR="00A94959" w:rsidRDefault="00A94959" w:rsidP="000E4702">
            <w:pPr>
              <w:spacing w:before="100"/>
            </w:pPr>
            <w:r>
              <w:t>Williams</w:t>
            </w:r>
          </w:p>
        </w:tc>
      </w:tr>
      <w:tr w:rsidR="000A7119" w:rsidRPr="009567F8" w:rsidTr="002A417C">
        <w:tc>
          <w:tcPr>
            <w:tcW w:w="4770" w:type="dxa"/>
            <w:shd w:val="clear" w:color="auto" w:fill="auto"/>
          </w:tcPr>
          <w:p w:rsidR="000A7119" w:rsidRDefault="000A711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Rhonda Denton</w:t>
            </w:r>
          </w:p>
        </w:tc>
        <w:tc>
          <w:tcPr>
            <w:tcW w:w="5130" w:type="dxa"/>
            <w:shd w:val="clear" w:color="auto" w:fill="auto"/>
          </w:tcPr>
          <w:p w:rsidR="000A7119" w:rsidRDefault="000A7119" w:rsidP="000E4702">
            <w:pPr>
              <w:spacing w:before="100"/>
            </w:pPr>
            <w:r>
              <w:t>BP</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Rager</w:t>
            </w:r>
          </w:p>
        </w:tc>
        <w:tc>
          <w:tcPr>
            <w:tcW w:w="5130" w:type="dxa"/>
            <w:shd w:val="clear" w:color="auto" w:fill="auto"/>
          </w:tcPr>
          <w:p w:rsidR="009F3D5C" w:rsidRPr="002D6A07" w:rsidRDefault="009F3D5C" w:rsidP="000E4702">
            <w:pPr>
              <w:spacing w:before="100"/>
            </w:pPr>
            <w:r>
              <w:t>NAESB</w:t>
            </w:r>
          </w:p>
        </w:tc>
      </w:tr>
      <w:tr w:rsidR="000A7119" w:rsidRPr="009567F8" w:rsidTr="002A417C">
        <w:tc>
          <w:tcPr>
            <w:tcW w:w="4770" w:type="dxa"/>
            <w:shd w:val="clear" w:color="auto" w:fill="auto"/>
          </w:tcPr>
          <w:p w:rsidR="000A7119" w:rsidRDefault="000A711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Maria Seidler</w:t>
            </w:r>
          </w:p>
        </w:tc>
        <w:tc>
          <w:tcPr>
            <w:tcW w:w="5130" w:type="dxa"/>
            <w:shd w:val="clear" w:color="auto" w:fill="auto"/>
          </w:tcPr>
          <w:p w:rsidR="000A7119" w:rsidRDefault="000A7119" w:rsidP="000E4702">
            <w:pPr>
              <w:spacing w:before="100"/>
            </w:pPr>
            <w:r>
              <w:t>Dominion Voltage</w:t>
            </w:r>
          </w:p>
        </w:tc>
      </w:tr>
      <w:tr w:rsidR="00A94959" w:rsidRPr="009567F8" w:rsidTr="002A417C">
        <w:tc>
          <w:tcPr>
            <w:tcW w:w="4770" w:type="dxa"/>
            <w:shd w:val="clear" w:color="auto" w:fill="auto"/>
          </w:tcPr>
          <w:p w:rsidR="00A94959" w:rsidRDefault="00A9495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Kathy York</w:t>
            </w:r>
          </w:p>
        </w:tc>
        <w:tc>
          <w:tcPr>
            <w:tcW w:w="5130" w:type="dxa"/>
            <w:shd w:val="clear" w:color="auto" w:fill="auto"/>
          </w:tcPr>
          <w:p w:rsidR="00A94959" w:rsidRDefault="00A94959" w:rsidP="000E4702">
            <w:pPr>
              <w:spacing w:before="100"/>
            </w:pPr>
            <w:r>
              <w:t>TVA</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98" w:rsidRDefault="00556B98">
      <w:r>
        <w:separator/>
      </w:r>
    </w:p>
  </w:endnote>
  <w:endnote w:type="continuationSeparator" w:id="0">
    <w:p w:rsidR="00556B98" w:rsidRDefault="00556B98">
      <w:r>
        <w:continuationSeparator/>
      </w:r>
    </w:p>
  </w:endnote>
  <w:endnote w:type="continuationNotice" w:id="1">
    <w:p w:rsidR="00556B98" w:rsidRDefault="00556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1B1D89">
      <w:t>Final</w:t>
    </w:r>
    <w:r w:rsidR="00E40B1A">
      <w:t xml:space="preserve"> Meeting Minutes –</w:t>
    </w:r>
    <w:r w:rsidR="0022392F">
      <w:t xml:space="preserve"> </w:t>
    </w:r>
    <w:r w:rsidR="0047535D">
      <w:t>June 11</w:t>
    </w:r>
    <w:r>
      <w:t>, 201</w:t>
    </w:r>
    <w:r w:rsidR="00E40B1A">
      <w:t>5</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1B1D89">
      <w:rPr>
        <w:noProof/>
      </w:rPr>
      <w:t>2</w:t>
    </w:r>
    <w:r>
      <w:fldChar w:fldCharType="end"/>
    </w:r>
    <w:r>
      <w:t xml:space="preserve"> of </w:t>
    </w:r>
    <w:r w:rsidR="00556B98">
      <w:fldChar w:fldCharType="begin"/>
    </w:r>
    <w:r w:rsidR="00556B98">
      <w:instrText xml:space="preserve"> NUMPAGES </w:instrText>
    </w:r>
    <w:r w:rsidR="00556B98">
      <w:fldChar w:fldCharType="separate"/>
    </w:r>
    <w:r w:rsidR="001B1D89">
      <w:rPr>
        <w:noProof/>
      </w:rPr>
      <w:t>3</w:t>
    </w:r>
    <w:r w:rsidR="00556B9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98" w:rsidRDefault="00556B98">
      <w:r>
        <w:separator/>
      </w:r>
    </w:p>
  </w:footnote>
  <w:footnote w:type="continuationSeparator" w:id="0">
    <w:p w:rsidR="00556B98" w:rsidRDefault="00556B98">
      <w:r>
        <w:continuationSeparator/>
      </w:r>
    </w:p>
  </w:footnote>
  <w:footnote w:type="continuationNotice" w:id="1">
    <w:p w:rsidR="00556B98" w:rsidRDefault="00556B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556B98">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 xml:space="preserve">Phone:  (713)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4B5B"/>
    <w:rsid w:val="00026353"/>
    <w:rsid w:val="00026AF9"/>
    <w:rsid w:val="000278DF"/>
    <w:rsid w:val="00027D22"/>
    <w:rsid w:val="000325A8"/>
    <w:rsid w:val="000357FE"/>
    <w:rsid w:val="00037A66"/>
    <w:rsid w:val="00040126"/>
    <w:rsid w:val="00041352"/>
    <w:rsid w:val="00041B07"/>
    <w:rsid w:val="00044109"/>
    <w:rsid w:val="0004424B"/>
    <w:rsid w:val="00044C84"/>
    <w:rsid w:val="00045F69"/>
    <w:rsid w:val="00050222"/>
    <w:rsid w:val="00052D58"/>
    <w:rsid w:val="00053822"/>
    <w:rsid w:val="00056437"/>
    <w:rsid w:val="00056B2F"/>
    <w:rsid w:val="00056DE2"/>
    <w:rsid w:val="00057EE7"/>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A08ED"/>
    <w:rsid w:val="000A1ABB"/>
    <w:rsid w:val="000A2652"/>
    <w:rsid w:val="000A28CE"/>
    <w:rsid w:val="000A2B8E"/>
    <w:rsid w:val="000A3AA8"/>
    <w:rsid w:val="000A4253"/>
    <w:rsid w:val="000A4CC0"/>
    <w:rsid w:val="000A7119"/>
    <w:rsid w:val="000A7CEF"/>
    <w:rsid w:val="000B2EC6"/>
    <w:rsid w:val="000B34A0"/>
    <w:rsid w:val="000B3BB6"/>
    <w:rsid w:val="000B53A6"/>
    <w:rsid w:val="000C135D"/>
    <w:rsid w:val="000C2FD7"/>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27AE"/>
    <w:rsid w:val="001634C4"/>
    <w:rsid w:val="00164DF1"/>
    <w:rsid w:val="00164E11"/>
    <w:rsid w:val="001651D5"/>
    <w:rsid w:val="00166250"/>
    <w:rsid w:val="0016678B"/>
    <w:rsid w:val="0016737A"/>
    <w:rsid w:val="00167CFA"/>
    <w:rsid w:val="00170882"/>
    <w:rsid w:val="00181860"/>
    <w:rsid w:val="00183998"/>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1605"/>
    <w:rsid w:val="001B1D89"/>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392F"/>
    <w:rsid w:val="0022522A"/>
    <w:rsid w:val="00226606"/>
    <w:rsid w:val="00230A0F"/>
    <w:rsid w:val="00231E0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39EA"/>
    <w:rsid w:val="00315C4A"/>
    <w:rsid w:val="003170AA"/>
    <w:rsid w:val="003177D0"/>
    <w:rsid w:val="00317E20"/>
    <w:rsid w:val="00322DC5"/>
    <w:rsid w:val="00323A75"/>
    <w:rsid w:val="00325D6D"/>
    <w:rsid w:val="003354D9"/>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3848"/>
    <w:rsid w:val="003A4F24"/>
    <w:rsid w:val="003A5A20"/>
    <w:rsid w:val="003A662F"/>
    <w:rsid w:val="003A711B"/>
    <w:rsid w:val="003B3019"/>
    <w:rsid w:val="003B6740"/>
    <w:rsid w:val="003B737D"/>
    <w:rsid w:val="003C1CDE"/>
    <w:rsid w:val="003C1FF1"/>
    <w:rsid w:val="003C22B1"/>
    <w:rsid w:val="003C5374"/>
    <w:rsid w:val="003C75EB"/>
    <w:rsid w:val="003D3DE7"/>
    <w:rsid w:val="003D4769"/>
    <w:rsid w:val="003D7A33"/>
    <w:rsid w:val="003E0932"/>
    <w:rsid w:val="003E0CA1"/>
    <w:rsid w:val="003F5C84"/>
    <w:rsid w:val="003F72EC"/>
    <w:rsid w:val="003F790B"/>
    <w:rsid w:val="003F7C46"/>
    <w:rsid w:val="00402D08"/>
    <w:rsid w:val="00405471"/>
    <w:rsid w:val="00412218"/>
    <w:rsid w:val="00423A6E"/>
    <w:rsid w:val="0042554B"/>
    <w:rsid w:val="00425D76"/>
    <w:rsid w:val="00427C9A"/>
    <w:rsid w:val="00432CC0"/>
    <w:rsid w:val="00433935"/>
    <w:rsid w:val="00436FF9"/>
    <w:rsid w:val="00443EA6"/>
    <w:rsid w:val="00446C29"/>
    <w:rsid w:val="00450459"/>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E1E"/>
    <w:rsid w:val="005006AE"/>
    <w:rsid w:val="00500D7D"/>
    <w:rsid w:val="00500F4E"/>
    <w:rsid w:val="00503651"/>
    <w:rsid w:val="00503E66"/>
    <w:rsid w:val="005061C7"/>
    <w:rsid w:val="005106EB"/>
    <w:rsid w:val="0051113E"/>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7E19"/>
    <w:rsid w:val="00830FF9"/>
    <w:rsid w:val="00834954"/>
    <w:rsid w:val="00834E90"/>
    <w:rsid w:val="0083716B"/>
    <w:rsid w:val="008402AB"/>
    <w:rsid w:val="00840A0A"/>
    <w:rsid w:val="00841933"/>
    <w:rsid w:val="00847BAA"/>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52BF"/>
    <w:rsid w:val="009672BE"/>
    <w:rsid w:val="0096769B"/>
    <w:rsid w:val="00970035"/>
    <w:rsid w:val="009704B3"/>
    <w:rsid w:val="009734D5"/>
    <w:rsid w:val="00974618"/>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5D8F"/>
    <w:rsid w:val="009A7787"/>
    <w:rsid w:val="009A7B2D"/>
    <w:rsid w:val="009B1B39"/>
    <w:rsid w:val="009B41D3"/>
    <w:rsid w:val="009B4238"/>
    <w:rsid w:val="009C04A1"/>
    <w:rsid w:val="009C3920"/>
    <w:rsid w:val="009C7068"/>
    <w:rsid w:val="009D1A08"/>
    <w:rsid w:val="009D675D"/>
    <w:rsid w:val="009D6B3F"/>
    <w:rsid w:val="009D6C87"/>
    <w:rsid w:val="009D7C5F"/>
    <w:rsid w:val="009E086D"/>
    <w:rsid w:val="009E5AAF"/>
    <w:rsid w:val="009F2269"/>
    <w:rsid w:val="009F3895"/>
    <w:rsid w:val="009F3D5C"/>
    <w:rsid w:val="009F46CC"/>
    <w:rsid w:val="009F5E62"/>
    <w:rsid w:val="00A03777"/>
    <w:rsid w:val="00A06ADC"/>
    <w:rsid w:val="00A06F3D"/>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7D5"/>
    <w:rsid w:val="00B159C0"/>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923D6"/>
    <w:rsid w:val="00B92C7F"/>
    <w:rsid w:val="00B92D63"/>
    <w:rsid w:val="00B96086"/>
    <w:rsid w:val="00B9626B"/>
    <w:rsid w:val="00BA3D3D"/>
    <w:rsid w:val="00BA3DE0"/>
    <w:rsid w:val="00BB146A"/>
    <w:rsid w:val="00BB30D2"/>
    <w:rsid w:val="00BB5121"/>
    <w:rsid w:val="00BC2880"/>
    <w:rsid w:val="00BC38E1"/>
    <w:rsid w:val="00BC44BE"/>
    <w:rsid w:val="00BC7D86"/>
    <w:rsid w:val="00BD0255"/>
    <w:rsid w:val="00BD2AC5"/>
    <w:rsid w:val="00BD423D"/>
    <w:rsid w:val="00BD4979"/>
    <w:rsid w:val="00BD65F2"/>
    <w:rsid w:val="00BE05CF"/>
    <w:rsid w:val="00BE17FF"/>
    <w:rsid w:val="00BE2E94"/>
    <w:rsid w:val="00BE50BB"/>
    <w:rsid w:val="00BF0880"/>
    <w:rsid w:val="00BF263D"/>
    <w:rsid w:val="00BF5858"/>
    <w:rsid w:val="00C00773"/>
    <w:rsid w:val="00C0417C"/>
    <w:rsid w:val="00C054FA"/>
    <w:rsid w:val="00C0767F"/>
    <w:rsid w:val="00C12083"/>
    <w:rsid w:val="00C1264A"/>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117DE"/>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C5301"/>
    <w:rsid w:val="00EC67CF"/>
    <w:rsid w:val="00EC7C31"/>
    <w:rsid w:val="00EC7DE5"/>
    <w:rsid w:val="00ED688B"/>
    <w:rsid w:val="00ED6D90"/>
    <w:rsid w:val="00EE0FB6"/>
    <w:rsid w:val="00EE1231"/>
    <w:rsid w:val="00EE5196"/>
    <w:rsid w:val="00EE5857"/>
    <w:rsid w:val="00EE6434"/>
    <w:rsid w:val="00EF126E"/>
    <w:rsid w:val="00EF202F"/>
    <w:rsid w:val="00EF3B3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6D45"/>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naesb.org/pdf4/parliamentary051515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C59D-625D-42DC-8A76-E483E5BEA723}">
  <ds:schemaRefs>
    <ds:schemaRef ds:uri="http://schemas.openxmlformats.org/officeDocument/2006/bibliography"/>
  </ds:schemaRefs>
</ds:datastoreItem>
</file>

<file path=customXml/itemProps2.xml><?xml version="1.0" encoding="utf-8"?>
<ds:datastoreItem xmlns:ds="http://schemas.openxmlformats.org/officeDocument/2006/customXml" ds:itemID="{E824FF0E-354C-4271-8077-D7E80F93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7619</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2015-08-07T19:40:00Z</dcterms:created>
  <dcterms:modified xsi:type="dcterms:W3CDTF">2015-08-07T19:40:00Z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