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F002" w14:textId="77777777" w:rsidR="005377E0" w:rsidRDefault="00103A17">
      <w:pPr>
        <w:jc w:val="center"/>
      </w:pPr>
      <w:bookmarkStart w:id="0" w:name="_Hlk211517464"/>
      <w:r>
        <w:t>193 FERC ¶ 61,041</w:t>
      </w:r>
    </w:p>
    <w:bookmarkEnd w:id="0"/>
    <w:p w14:paraId="1614AE81" w14:textId="77777777" w:rsidR="009231E5" w:rsidRPr="00B61165" w:rsidRDefault="009231E5" w:rsidP="00C64C9C">
      <w:pPr>
        <w:jc w:val="center"/>
      </w:pPr>
      <w:r w:rsidRPr="00B61165">
        <w:t>DEPARTMENT OF ENERGY</w:t>
      </w:r>
    </w:p>
    <w:p w14:paraId="327745AF" w14:textId="77777777" w:rsidR="009231E5" w:rsidRPr="00B61165" w:rsidRDefault="009231E5" w:rsidP="00C64C9C">
      <w:pPr>
        <w:jc w:val="center"/>
      </w:pPr>
      <w:r w:rsidRPr="00B61165">
        <w:t>FEDERAL ENERGY REGULATORY COMMISSION</w:t>
      </w:r>
    </w:p>
    <w:p w14:paraId="24B9149B" w14:textId="77777777" w:rsidR="009231E5" w:rsidRPr="00B61165" w:rsidRDefault="009231E5" w:rsidP="00C64C9C">
      <w:pPr>
        <w:jc w:val="center"/>
      </w:pPr>
    </w:p>
    <w:p w14:paraId="6B584377" w14:textId="388E5537" w:rsidR="009231E5" w:rsidRPr="00B61165" w:rsidRDefault="009231E5" w:rsidP="00C64C9C">
      <w:pPr>
        <w:jc w:val="center"/>
      </w:pPr>
      <w:r w:rsidRPr="00B61165">
        <w:t xml:space="preserve">18 CFR Part </w:t>
      </w:r>
      <w:r w:rsidR="00073EB2">
        <w:t>284</w:t>
      </w:r>
    </w:p>
    <w:p w14:paraId="34211F2C" w14:textId="77777777" w:rsidR="009231E5" w:rsidRPr="00B61165" w:rsidRDefault="009231E5" w:rsidP="00C64C9C">
      <w:pPr>
        <w:jc w:val="center"/>
      </w:pPr>
    </w:p>
    <w:p w14:paraId="75B5A709" w14:textId="055B350A" w:rsidR="009231E5" w:rsidRPr="00B61165" w:rsidRDefault="009231E5" w:rsidP="00073EB2">
      <w:pPr>
        <w:jc w:val="center"/>
      </w:pPr>
      <w:r>
        <w:t xml:space="preserve">Docket No. </w:t>
      </w:r>
      <w:r w:rsidR="00073EB2">
        <w:t>RM96-1</w:t>
      </w:r>
      <w:r w:rsidR="005361D2">
        <w:t>-044</w:t>
      </w:r>
    </w:p>
    <w:p w14:paraId="54D5EC1F" w14:textId="77777777" w:rsidR="009231E5" w:rsidRDefault="009231E5" w:rsidP="00C64C9C">
      <w:pPr>
        <w:jc w:val="center"/>
      </w:pPr>
    </w:p>
    <w:p w14:paraId="181D5D63" w14:textId="77777777" w:rsidR="003D4B8D" w:rsidRPr="00B61165" w:rsidRDefault="003D4B8D" w:rsidP="003D4B8D">
      <w:pPr>
        <w:jc w:val="center"/>
      </w:pPr>
      <w:r w:rsidRPr="00D0524B">
        <w:t>Standards for Business Practices of Interstate Natural Gas Pipelines</w:t>
      </w:r>
    </w:p>
    <w:p w14:paraId="2713B628" w14:textId="77777777" w:rsidR="009231E5" w:rsidRPr="00B61165" w:rsidRDefault="009231E5" w:rsidP="00C64C9C">
      <w:pPr>
        <w:jc w:val="center"/>
      </w:pPr>
    </w:p>
    <w:p w14:paraId="46DB4551" w14:textId="01CF37BE" w:rsidR="004A62C1" w:rsidRDefault="004A62C1" w:rsidP="004A62C1">
      <w:pPr>
        <w:widowControl/>
        <w:jc w:val="center"/>
      </w:pPr>
      <w:r w:rsidRPr="004A62C1">
        <w:t>(Issued October 16, 2025)</w:t>
      </w:r>
    </w:p>
    <w:p w14:paraId="02CDEF00" w14:textId="77777777" w:rsidR="004A62C1" w:rsidRPr="004A62C1" w:rsidRDefault="004A62C1" w:rsidP="004A62C1">
      <w:pPr>
        <w:widowControl/>
      </w:pPr>
    </w:p>
    <w:p w14:paraId="15714FBA" w14:textId="77777777" w:rsidR="002715FE" w:rsidRPr="00B61165" w:rsidRDefault="002715FE" w:rsidP="002715FE">
      <w:pPr>
        <w:spacing w:line="480" w:lineRule="auto"/>
      </w:pPr>
      <w:r w:rsidRPr="00566EE8">
        <w:rPr>
          <w:b/>
          <w:bCs/>
        </w:rPr>
        <w:t>AGENCY</w:t>
      </w:r>
      <w:r w:rsidRPr="00B61165">
        <w:t>:  Federal Energy Regulatory Commission.</w:t>
      </w:r>
    </w:p>
    <w:p w14:paraId="370C4573" w14:textId="77777777" w:rsidR="002715FE" w:rsidRPr="00B61165" w:rsidRDefault="002715FE" w:rsidP="002715FE">
      <w:pPr>
        <w:spacing w:line="480" w:lineRule="auto"/>
      </w:pPr>
      <w:r w:rsidRPr="00566EE8">
        <w:rPr>
          <w:b/>
          <w:bCs/>
        </w:rPr>
        <w:t>ACTION</w:t>
      </w:r>
      <w:r w:rsidRPr="00B61165">
        <w:t xml:space="preserve">:  Notice of </w:t>
      </w:r>
      <w:r>
        <w:t>p</w:t>
      </w:r>
      <w:r w:rsidRPr="00B61165">
        <w:t xml:space="preserve">roposed </w:t>
      </w:r>
      <w:r>
        <w:t>r</w:t>
      </w:r>
      <w:r w:rsidRPr="00B61165">
        <w:t>ulemaking.</w:t>
      </w:r>
    </w:p>
    <w:p w14:paraId="6CD10D10" w14:textId="61F043C0" w:rsidR="002715FE" w:rsidRPr="00B61165" w:rsidRDefault="002715FE" w:rsidP="002715FE">
      <w:pPr>
        <w:spacing w:line="480" w:lineRule="auto"/>
      </w:pPr>
      <w:r w:rsidRPr="00566EE8">
        <w:rPr>
          <w:b/>
          <w:bCs/>
        </w:rPr>
        <w:t>SUMMARY</w:t>
      </w:r>
      <w:r w:rsidRPr="00B61165">
        <w:t xml:space="preserve">:  </w:t>
      </w:r>
      <w:r w:rsidRPr="00073EB2">
        <w:t xml:space="preserve">The Federal Energy Regulatory Commission </w:t>
      </w:r>
      <w:r w:rsidR="00DB07F3">
        <w:t xml:space="preserve">(Commission) </w:t>
      </w:r>
      <w:r w:rsidRPr="00073EB2">
        <w:t>proposes to amend its regulations to incorporate by reference</w:t>
      </w:r>
      <w:r>
        <w:t xml:space="preserve"> certain modifications to </w:t>
      </w:r>
      <w:r w:rsidRPr="00073EB2">
        <w:t xml:space="preserve">the latest </w:t>
      </w:r>
      <w:r w:rsidRPr="002C1791">
        <w:t>version (Version 4.0)</w:t>
      </w:r>
      <w:r w:rsidRPr="00073EB2">
        <w:t xml:space="preserve"> of Standards for Business Practices of Interstate Natural Gas Pipelines adopted by the Wholesale Gas Quadrant </w:t>
      </w:r>
      <w:r w:rsidR="004E03D7">
        <w:t xml:space="preserve">(WGQ) </w:t>
      </w:r>
      <w:r w:rsidRPr="00073EB2">
        <w:t>of the North American Energy Standards Board (NAESB).</w:t>
      </w:r>
      <w:r>
        <w:t xml:space="preserve">  NAESB’s revisions in Version 4.0 of the standards streamline the process for accessing publicly available gas-electric coordination data during extreme cold weather or emergency events.</w:t>
      </w:r>
    </w:p>
    <w:p w14:paraId="2AEF192C" w14:textId="68A19886" w:rsidR="002715FE" w:rsidRPr="00B61165" w:rsidRDefault="002715FE" w:rsidP="002715FE">
      <w:pPr>
        <w:spacing w:line="480" w:lineRule="auto"/>
      </w:pPr>
      <w:r w:rsidRPr="00566EE8">
        <w:rPr>
          <w:b/>
          <w:bCs/>
        </w:rPr>
        <w:t>DATES</w:t>
      </w:r>
      <w:r w:rsidRPr="00B61165">
        <w:t>:  Comments are due</w:t>
      </w:r>
      <w:r w:rsidRPr="00B61165">
        <w:rPr>
          <w:b/>
        </w:rPr>
        <w:t xml:space="preserve"> </w:t>
      </w:r>
      <w:r w:rsidRPr="00B3607A">
        <w:rPr>
          <w:b/>
        </w:rPr>
        <w:t>[</w:t>
      </w:r>
      <w:r>
        <w:rPr>
          <w:b/>
        </w:rPr>
        <w:t xml:space="preserve">60 </w:t>
      </w:r>
      <w:r w:rsidRPr="00F17DD2">
        <w:rPr>
          <w:b/>
        </w:rPr>
        <w:t xml:space="preserve">DAYS </w:t>
      </w:r>
      <w:r w:rsidRPr="00B3607A">
        <w:rPr>
          <w:b/>
        </w:rPr>
        <w:t>AFTER DATE OF PUBLICATION IN THE FEDERAL REGISTER]</w:t>
      </w:r>
      <w:r w:rsidRPr="00B3607A">
        <w:rPr>
          <w:bCs/>
        </w:rPr>
        <w:t>.</w:t>
      </w:r>
    </w:p>
    <w:p w14:paraId="31A5784A" w14:textId="77777777" w:rsidR="002715FE" w:rsidRDefault="002715FE" w:rsidP="002715FE">
      <w:pPr>
        <w:spacing w:line="480" w:lineRule="auto"/>
      </w:pPr>
      <w:r w:rsidRPr="00566EE8">
        <w:rPr>
          <w:b/>
          <w:bCs/>
        </w:rPr>
        <w:t>ADDRESSES</w:t>
      </w:r>
      <w:r w:rsidRPr="00B61165">
        <w:t xml:space="preserve">:  </w:t>
      </w:r>
      <w:r w:rsidRPr="007D6683">
        <w:t>Comments, identified by docket numb</w:t>
      </w:r>
      <w:r>
        <w:t xml:space="preserve">er, may be filed in the following ways.  </w:t>
      </w:r>
      <w:r w:rsidRPr="00C32965">
        <w:t>Elec</w:t>
      </w:r>
      <w:r>
        <w:t xml:space="preserve">tronic filing through </w:t>
      </w:r>
      <w:r w:rsidRPr="005060E4">
        <w:t>https://www.ferc.gov</w:t>
      </w:r>
      <w:r>
        <w:t>, is preferred.</w:t>
      </w:r>
    </w:p>
    <w:p w14:paraId="3404776A" w14:textId="66267DB4" w:rsidR="002715FE" w:rsidRDefault="002715FE" w:rsidP="002715FE">
      <w:pPr>
        <w:pStyle w:val="ListParagraph"/>
        <w:numPr>
          <w:ilvl w:val="0"/>
          <w:numId w:val="22"/>
        </w:numPr>
        <w:spacing w:line="480" w:lineRule="auto"/>
      </w:pPr>
      <w:r w:rsidRPr="004A564C">
        <w:t>Electronic Filing</w:t>
      </w:r>
      <w:r w:rsidRPr="00C32965">
        <w:t>:</w:t>
      </w:r>
      <w:r>
        <w:t xml:space="preserve"> Documents must be filed in acceptable native applications and print-to-PDF, but not in</w:t>
      </w:r>
      <w:r w:rsidRPr="007D6683">
        <w:t xml:space="preserve"> scanned </w:t>
      </w:r>
      <w:r>
        <w:t xml:space="preserve">or picture </w:t>
      </w:r>
      <w:r w:rsidRPr="007D6683">
        <w:t>format.</w:t>
      </w:r>
      <w:r w:rsidR="004A62C1">
        <w:br/>
      </w:r>
    </w:p>
    <w:p w14:paraId="4D284970" w14:textId="77777777" w:rsidR="002715FE" w:rsidRDefault="002715FE" w:rsidP="002715FE">
      <w:pPr>
        <w:pStyle w:val="ListParagraph"/>
        <w:numPr>
          <w:ilvl w:val="0"/>
          <w:numId w:val="22"/>
        </w:numPr>
        <w:spacing w:line="480" w:lineRule="auto"/>
      </w:pPr>
      <w:r w:rsidRPr="00C32965">
        <w:lastRenderedPageBreak/>
        <w:t>For</w:t>
      </w:r>
      <w:r w:rsidRPr="00E950E7">
        <w:t xml:space="preserve"> those unable to file electronically, comments may be filed </w:t>
      </w:r>
      <w:r>
        <w:t>by U.S. Postal Service mail or by hand (including courier) delivery.</w:t>
      </w:r>
    </w:p>
    <w:p w14:paraId="1D9621FC" w14:textId="77777777" w:rsidR="002715FE" w:rsidRDefault="002715FE" w:rsidP="002715FE">
      <w:pPr>
        <w:pStyle w:val="ListParagraph"/>
        <w:numPr>
          <w:ilvl w:val="1"/>
          <w:numId w:val="22"/>
        </w:numPr>
        <w:spacing w:line="480" w:lineRule="auto"/>
      </w:pPr>
      <w:r w:rsidRPr="004A564C">
        <w:t>Mail via U.S. Postal Service Only</w:t>
      </w:r>
      <w:r w:rsidRPr="00C32965">
        <w:t xml:space="preserve">: </w:t>
      </w:r>
      <w:r>
        <w:t xml:space="preserve">Addressed </w:t>
      </w:r>
      <w:r w:rsidRPr="00E950E7">
        <w:t>to: Federal Energy Regulatory Commission, Secretary of the Commission, 888 First Street, N.E., Washington, DC 20426.</w:t>
      </w:r>
    </w:p>
    <w:p w14:paraId="23A28149" w14:textId="77777777" w:rsidR="002715FE" w:rsidRDefault="002715FE" w:rsidP="002715FE">
      <w:pPr>
        <w:pStyle w:val="ListParagraph"/>
        <w:numPr>
          <w:ilvl w:val="1"/>
          <w:numId w:val="22"/>
        </w:numPr>
        <w:spacing w:line="480" w:lineRule="auto"/>
      </w:pPr>
      <w:r w:rsidRPr="004A564C">
        <w:t>Hand (including courier) delivery</w:t>
      </w:r>
      <w:r>
        <w:t>: D</w:t>
      </w:r>
      <w:r w:rsidRPr="00E950E7">
        <w:t>eliver to: Federal Energy Regulatory Commission, 12225 Wilkins Avenue, Rockville, M</w:t>
      </w:r>
      <w:r>
        <w:t>D</w:t>
      </w:r>
      <w:r w:rsidRPr="00E950E7">
        <w:t xml:space="preserve"> 20852.</w:t>
      </w:r>
    </w:p>
    <w:p w14:paraId="2C46A4F6" w14:textId="77777777" w:rsidR="002715FE" w:rsidRPr="00B61165" w:rsidRDefault="002715FE" w:rsidP="002715FE">
      <w:pPr>
        <w:spacing w:line="480" w:lineRule="auto"/>
      </w:pPr>
      <w:r w:rsidRPr="0016531B">
        <w:t xml:space="preserve">The Comment Procedures Section of this document contains </w:t>
      </w:r>
      <w:r>
        <w:t xml:space="preserve">more detailed </w:t>
      </w:r>
      <w:r w:rsidRPr="0016531B">
        <w:t>filing procedures.</w:t>
      </w:r>
    </w:p>
    <w:p w14:paraId="2D334A3C" w14:textId="77777777" w:rsidR="002715FE" w:rsidRPr="00566EE8" w:rsidRDefault="002715FE" w:rsidP="002715FE">
      <w:r w:rsidRPr="00566EE8">
        <w:rPr>
          <w:b/>
          <w:bCs/>
        </w:rPr>
        <w:t>FOR FURTHER INFORMATION CONTACT</w:t>
      </w:r>
      <w:r w:rsidRPr="00566EE8">
        <w:t>:</w:t>
      </w:r>
    </w:p>
    <w:p w14:paraId="23B3A39C" w14:textId="77777777" w:rsidR="002715FE" w:rsidRPr="00B61165" w:rsidRDefault="002715FE" w:rsidP="002715FE"/>
    <w:p w14:paraId="3D9859E9" w14:textId="77777777" w:rsidR="002715FE" w:rsidRDefault="002715FE" w:rsidP="002715FE">
      <w:r>
        <w:t>Jerry Chiang (Technical Issues)</w:t>
      </w:r>
    </w:p>
    <w:p w14:paraId="18BE0901" w14:textId="2F4033E5" w:rsidR="002715FE" w:rsidRDefault="002715FE" w:rsidP="002715FE">
      <w:r>
        <w:t xml:space="preserve">Office of </w:t>
      </w:r>
      <w:r w:rsidR="003A007B">
        <w:t>Technical Reporting and Economics</w:t>
      </w:r>
    </w:p>
    <w:p w14:paraId="4D6C182B" w14:textId="77777777" w:rsidR="002715FE" w:rsidRDefault="002715FE" w:rsidP="002715FE">
      <w:r>
        <w:t>Federal Energy Regulatory Commission</w:t>
      </w:r>
    </w:p>
    <w:p w14:paraId="46E81B4A" w14:textId="77777777" w:rsidR="002715FE" w:rsidRDefault="002715FE" w:rsidP="002715FE">
      <w:r>
        <w:t>888 First Street NE, Washington, DC 20426</w:t>
      </w:r>
    </w:p>
    <w:p w14:paraId="516BAE6A" w14:textId="77777777" w:rsidR="002715FE" w:rsidRDefault="002715FE" w:rsidP="002715FE">
      <w:r>
        <w:t>(202) 502-8786</w:t>
      </w:r>
    </w:p>
    <w:p w14:paraId="2B0EEBC1" w14:textId="77777777" w:rsidR="002715FE" w:rsidRDefault="002715FE" w:rsidP="002715FE">
      <w:r w:rsidRPr="005C6582">
        <w:rPr>
          <w:i/>
          <w:iCs/>
        </w:rPr>
        <w:t>jerry.chiang@ferc.gov</w:t>
      </w:r>
    </w:p>
    <w:p w14:paraId="76771D62" w14:textId="77777777" w:rsidR="002715FE" w:rsidRDefault="002715FE" w:rsidP="002715FE"/>
    <w:p w14:paraId="52AF2360" w14:textId="77777777" w:rsidR="002715FE" w:rsidRDefault="002715FE" w:rsidP="002715FE">
      <w:r>
        <w:t>Oscar F. Santillana (Technical Issues)</w:t>
      </w:r>
    </w:p>
    <w:p w14:paraId="23ECED92" w14:textId="77777777" w:rsidR="002715FE" w:rsidRDefault="002715FE" w:rsidP="002715FE">
      <w:r>
        <w:t>Office of Energy Market Regulation</w:t>
      </w:r>
    </w:p>
    <w:p w14:paraId="5362CFC2" w14:textId="77777777" w:rsidR="002715FE" w:rsidRDefault="002715FE" w:rsidP="002715FE">
      <w:r>
        <w:t>Federal Energy Regulatory Commission</w:t>
      </w:r>
    </w:p>
    <w:p w14:paraId="10C91787" w14:textId="77777777" w:rsidR="002715FE" w:rsidRDefault="002715FE" w:rsidP="002715FE">
      <w:r>
        <w:t>888 First Street NE, Washington, DC 20426</w:t>
      </w:r>
    </w:p>
    <w:p w14:paraId="0D98458D" w14:textId="77777777" w:rsidR="002715FE" w:rsidRDefault="002715FE" w:rsidP="002715FE">
      <w:r>
        <w:t>(202) 502-6392</w:t>
      </w:r>
    </w:p>
    <w:p w14:paraId="25B0EBD8" w14:textId="77777777" w:rsidR="002715FE" w:rsidRPr="005C6582" w:rsidRDefault="002715FE" w:rsidP="002715FE">
      <w:pPr>
        <w:rPr>
          <w:i/>
          <w:iCs/>
        </w:rPr>
      </w:pPr>
      <w:r w:rsidRPr="005C6582">
        <w:rPr>
          <w:i/>
          <w:iCs/>
        </w:rPr>
        <w:t>oscar.santillana@ferc.gov</w:t>
      </w:r>
    </w:p>
    <w:p w14:paraId="0F548B19" w14:textId="77777777" w:rsidR="002715FE" w:rsidRDefault="002715FE" w:rsidP="002715FE"/>
    <w:p w14:paraId="3968F874" w14:textId="14C98DC8" w:rsidR="002715FE" w:rsidRDefault="00E346EF" w:rsidP="002715FE">
      <w:r>
        <w:t>David Faerberg</w:t>
      </w:r>
      <w:r w:rsidR="002715FE">
        <w:t xml:space="preserve"> (Legal Issues)</w:t>
      </w:r>
    </w:p>
    <w:p w14:paraId="0B1040BA" w14:textId="77777777" w:rsidR="002715FE" w:rsidRDefault="002715FE" w:rsidP="002715FE">
      <w:r>
        <w:t>Office of the General Counsel</w:t>
      </w:r>
    </w:p>
    <w:p w14:paraId="098FD719" w14:textId="77777777" w:rsidR="002715FE" w:rsidRDefault="002715FE" w:rsidP="002715FE">
      <w:r>
        <w:t>Federal Energy Regulatory Commission</w:t>
      </w:r>
    </w:p>
    <w:p w14:paraId="6E3B7E0C" w14:textId="77777777" w:rsidR="002715FE" w:rsidRDefault="002715FE" w:rsidP="002715FE">
      <w:r>
        <w:t>888 First Street NE, Washington, DC 20426</w:t>
      </w:r>
    </w:p>
    <w:p w14:paraId="7B5F7363" w14:textId="053A7008" w:rsidR="002715FE" w:rsidRPr="002C77C5" w:rsidRDefault="002715FE" w:rsidP="002715FE">
      <w:pPr>
        <w:rPr>
          <w:lang w:val="de-DE"/>
        </w:rPr>
      </w:pPr>
      <w:r w:rsidRPr="002C77C5">
        <w:rPr>
          <w:lang w:val="de-DE"/>
        </w:rPr>
        <w:t>(202) 502-</w:t>
      </w:r>
      <w:r w:rsidR="00E346EF" w:rsidRPr="002C77C5">
        <w:rPr>
          <w:lang w:val="de-DE"/>
        </w:rPr>
        <w:t>8275</w:t>
      </w:r>
    </w:p>
    <w:p w14:paraId="3A19BD5E" w14:textId="47673846" w:rsidR="002715FE" w:rsidRPr="00D935CA" w:rsidRDefault="001B5A7D" w:rsidP="002715FE">
      <w:pPr>
        <w:rPr>
          <w:i/>
          <w:iCs/>
          <w:lang w:val="de-DE"/>
        </w:rPr>
      </w:pPr>
      <w:hyperlink r:id="rId12" w:history="1">
        <w:r w:rsidR="004A62C1" w:rsidRPr="00D935CA">
          <w:rPr>
            <w:rStyle w:val="Hyperlink"/>
            <w:i/>
            <w:iCs/>
            <w:color w:val="auto"/>
            <w:u w:val="none"/>
            <w:lang w:val="de-DE"/>
          </w:rPr>
          <w:t>david.faerberg@ferc.gov</w:t>
        </w:r>
      </w:hyperlink>
      <w:r w:rsidR="004A62C1" w:rsidRPr="00D935CA">
        <w:rPr>
          <w:i/>
          <w:iCs/>
          <w:lang w:val="de-DE"/>
        </w:rPr>
        <w:br/>
      </w:r>
    </w:p>
    <w:p w14:paraId="26FF8F50" w14:textId="77777777" w:rsidR="00A37445" w:rsidRPr="002C77C5" w:rsidRDefault="00A37445" w:rsidP="002715FE">
      <w:pPr>
        <w:rPr>
          <w:lang w:val="de-DE"/>
        </w:rPr>
      </w:pPr>
    </w:p>
    <w:p w14:paraId="502DF27E" w14:textId="50A07DED" w:rsidR="009231E5" w:rsidRPr="002C77C5" w:rsidRDefault="002715FE" w:rsidP="00C64C9C">
      <w:pPr>
        <w:rPr>
          <w:lang w:val="de-DE"/>
        </w:rPr>
        <w:sectPr w:rsidR="009231E5" w:rsidRPr="002C77C5" w:rsidSect="009231E5">
          <w:headerReference w:type="even" r:id="rId13"/>
          <w:headerReference w:type="default" r:id="rId14"/>
          <w:headerReference w:type="first" r:id="rId15"/>
          <w:pgSz w:w="12240" w:h="15840"/>
          <w:pgMar w:top="1440" w:right="1440" w:bottom="1440" w:left="1440" w:header="720" w:footer="720" w:gutter="0"/>
          <w:pgNumType w:fmt="lowerRoman" w:start="1"/>
          <w:cols w:space="720"/>
          <w:titlePg/>
          <w:docGrid w:linePitch="360"/>
        </w:sectPr>
      </w:pPr>
      <w:r w:rsidRPr="002C77C5">
        <w:rPr>
          <w:b/>
          <w:bCs/>
          <w:lang w:val="de-DE"/>
        </w:rPr>
        <w:lastRenderedPageBreak/>
        <w:t>SUPPLEMENTARY INFORMATION</w:t>
      </w:r>
      <w:r w:rsidRPr="002C77C5">
        <w:rPr>
          <w:lang w:val="de-DE"/>
        </w:rPr>
        <w:t>:</w:t>
      </w:r>
    </w:p>
    <w:p w14:paraId="4BEAB81F" w14:textId="77777777" w:rsidR="00103A17" w:rsidRDefault="00103A17" w:rsidP="00103A17">
      <w:pPr>
        <w:jc w:val="center"/>
      </w:pPr>
      <w:r>
        <w:lastRenderedPageBreak/>
        <w:t>193 FERC ¶ 61,041</w:t>
      </w:r>
    </w:p>
    <w:p w14:paraId="0DBCBBB8" w14:textId="122096EC" w:rsidR="009231E5" w:rsidRPr="00B61165" w:rsidRDefault="009231E5" w:rsidP="00C64C9C">
      <w:pPr>
        <w:jc w:val="center"/>
      </w:pPr>
      <w:r w:rsidRPr="00B61165">
        <w:t>UNITED STATES OF AMERICA</w:t>
      </w:r>
    </w:p>
    <w:p w14:paraId="1C7A438F" w14:textId="77777777" w:rsidR="009231E5" w:rsidRPr="00B61165" w:rsidRDefault="009231E5" w:rsidP="00C64C9C">
      <w:pPr>
        <w:jc w:val="center"/>
      </w:pPr>
      <w:r w:rsidRPr="00B61165">
        <w:t>FEDERAL ENERGY REGULATORY COMMISSION</w:t>
      </w:r>
    </w:p>
    <w:p w14:paraId="197E83E4" w14:textId="77777777" w:rsidR="009231E5" w:rsidRPr="00B61165" w:rsidRDefault="009231E5" w:rsidP="00C64C9C">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8"/>
        <w:gridCol w:w="1537"/>
        <w:gridCol w:w="1895"/>
      </w:tblGrid>
      <w:tr w:rsidR="009231E5" w:rsidRPr="00B61165" w14:paraId="670D3285" w14:textId="77777777" w:rsidTr="004A62C1">
        <w:tc>
          <w:tcPr>
            <w:tcW w:w="5928" w:type="dxa"/>
          </w:tcPr>
          <w:p w14:paraId="586D9CC8" w14:textId="77777777" w:rsidR="005A0AD3" w:rsidRPr="005A0AD3" w:rsidRDefault="005A0AD3" w:rsidP="005A0AD3">
            <w:r w:rsidRPr="005A0AD3">
              <w:t>Standards for Business Practices of</w:t>
            </w:r>
          </w:p>
          <w:p w14:paraId="7A2DACC0" w14:textId="00247AE7" w:rsidR="009231E5" w:rsidRPr="00B61165" w:rsidRDefault="005A0AD3" w:rsidP="005A0AD3">
            <w:r w:rsidRPr="005A0AD3">
              <w:t xml:space="preserve">  Interstate Natural Gas Pipelines</w:t>
            </w:r>
          </w:p>
        </w:tc>
        <w:tc>
          <w:tcPr>
            <w:tcW w:w="1537" w:type="dxa"/>
            <w:tcMar>
              <w:left w:w="72" w:type="dxa"/>
            </w:tcMar>
          </w:tcPr>
          <w:p w14:paraId="45493224" w14:textId="77777777" w:rsidR="009231E5" w:rsidRPr="00B61165" w:rsidRDefault="009231E5" w:rsidP="00C64C9C">
            <w:r>
              <w:t>Docket No.</w:t>
            </w:r>
          </w:p>
        </w:tc>
        <w:tc>
          <w:tcPr>
            <w:tcW w:w="1895" w:type="dxa"/>
            <w:tcMar>
              <w:left w:w="144" w:type="dxa"/>
            </w:tcMar>
          </w:tcPr>
          <w:p w14:paraId="24157A9A" w14:textId="01DAD8EE" w:rsidR="009231E5" w:rsidRPr="00B61165" w:rsidRDefault="002715FE" w:rsidP="00C64C9C">
            <w:r w:rsidRPr="002715FE">
              <w:t>RM96-1-044</w:t>
            </w:r>
          </w:p>
        </w:tc>
      </w:tr>
    </w:tbl>
    <w:p w14:paraId="00580A96" w14:textId="77777777" w:rsidR="009231E5" w:rsidRPr="00B61165" w:rsidRDefault="009231E5" w:rsidP="00C64C9C">
      <w:pPr>
        <w:jc w:val="center"/>
      </w:pPr>
    </w:p>
    <w:p w14:paraId="6A2C0EA3" w14:textId="77777777" w:rsidR="009231E5" w:rsidRPr="00B61165" w:rsidRDefault="009231E5" w:rsidP="00C64C9C">
      <w:pPr>
        <w:jc w:val="center"/>
      </w:pPr>
      <w:r w:rsidRPr="00B61165">
        <w:t>NOTICE OF PROPOSED RULEMAKING</w:t>
      </w:r>
    </w:p>
    <w:p w14:paraId="373A66DF" w14:textId="77777777" w:rsidR="009231E5" w:rsidRPr="00B61165" w:rsidRDefault="009231E5" w:rsidP="00C64C9C"/>
    <w:p w14:paraId="568942D1" w14:textId="155C6DE3" w:rsidR="009231E5" w:rsidRDefault="004A62C1" w:rsidP="004A62C1">
      <w:pPr>
        <w:widowControl/>
        <w:jc w:val="center"/>
      </w:pPr>
      <w:r w:rsidRPr="004A62C1">
        <w:t>(Issued October 16, 2025)</w:t>
      </w:r>
    </w:p>
    <w:p w14:paraId="433512FE" w14:textId="77777777" w:rsidR="004A62C1" w:rsidRPr="004A62C1" w:rsidRDefault="004A62C1" w:rsidP="004A62C1">
      <w:pPr>
        <w:widowControl/>
      </w:pPr>
    </w:p>
    <w:p w14:paraId="0D9B0770" w14:textId="77777777" w:rsidR="009231E5" w:rsidRDefault="009231E5" w:rsidP="00C64C9C">
      <w:pPr>
        <w:jc w:val="center"/>
      </w:pPr>
      <w:r>
        <w:t>TABLE OF CONTENTS</w:t>
      </w:r>
    </w:p>
    <w:p w14:paraId="0F791E8B" w14:textId="77777777" w:rsidR="009231E5" w:rsidRDefault="009231E5" w:rsidP="00C64C9C"/>
    <w:p w14:paraId="34957F95" w14:textId="77777777" w:rsidR="009231E5" w:rsidRDefault="009231E5" w:rsidP="00C64C9C">
      <w:pPr>
        <w:tabs>
          <w:tab w:val="right" w:pos="9360"/>
        </w:tabs>
      </w:pPr>
      <w:r>
        <w:tab/>
      </w:r>
      <w:r>
        <w:rPr>
          <w:u w:val="single"/>
        </w:rPr>
        <w:t>Paragraph Numbers</w:t>
      </w:r>
    </w:p>
    <w:p w14:paraId="664C3CBC" w14:textId="77777777" w:rsidR="009231E5" w:rsidRDefault="009231E5" w:rsidP="00C64C9C">
      <w:pPr>
        <w:tabs>
          <w:tab w:val="right" w:pos="9360"/>
        </w:tabs>
      </w:pPr>
      <w:bookmarkStart w:id="1" w:name="_Start_TOC"/>
      <w:bookmarkEnd w:id="1"/>
    </w:p>
    <w:p w14:paraId="35E80ECD" w14:textId="01C66F16" w:rsidR="00B83E15" w:rsidRDefault="00B83E15" w:rsidP="00B83E15">
      <w:pPr>
        <w:pStyle w:val="myTOC1"/>
      </w:pPr>
      <w:r>
        <w:t>I. Overview</w:t>
      </w:r>
      <w:r>
        <w:tab/>
      </w:r>
      <w:hyperlink w:anchor="_bmk1" w:history="1">
        <w:r>
          <w:rPr>
            <w:rStyle w:val="Hyperlink"/>
            <w:rFonts w:eastAsiaTheme="minorHAnsi"/>
            <w:szCs w:val="22"/>
          </w:rPr>
          <w:t>1.</w:t>
        </w:r>
      </w:hyperlink>
    </w:p>
    <w:p w14:paraId="2375DE11" w14:textId="05F3F7D4" w:rsidR="00B83E15" w:rsidRDefault="00B83E15" w:rsidP="00B83E15">
      <w:pPr>
        <w:pStyle w:val="myTOC1"/>
      </w:pPr>
      <w:r>
        <w:t>II. Background</w:t>
      </w:r>
      <w:r>
        <w:tab/>
      </w:r>
      <w:hyperlink w:anchor="_bmk2" w:history="1">
        <w:r>
          <w:rPr>
            <w:rStyle w:val="Hyperlink"/>
            <w:rFonts w:eastAsiaTheme="minorHAnsi"/>
            <w:szCs w:val="22"/>
          </w:rPr>
          <w:t>3.</w:t>
        </w:r>
      </w:hyperlink>
    </w:p>
    <w:p w14:paraId="0BAF79C8" w14:textId="75C64471" w:rsidR="00B83E15" w:rsidRDefault="00B83E15" w:rsidP="00B83E15">
      <w:pPr>
        <w:pStyle w:val="myTOC1"/>
      </w:pPr>
      <w:r>
        <w:t>III. Discussion</w:t>
      </w:r>
      <w:r>
        <w:tab/>
      </w:r>
      <w:hyperlink w:anchor="_bmk3" w:history="1">
        <w:r>
          <w:rPr>
            <w:rStyle w:val="Hyperlink"/>
            <w:rFonts w:eastAsiaTheme="minorHAnsi"/>
            <w:szCs w:val="22"/>
          </w:rPr>
          <w:t>9.</w:t>
        </w:r>
      </w:hyperlink>
    </w:p>
    <w:p w14:paraId="17C5EF23" w14:textId="7135CF1C" w:rsidR="00B83E15" w:rsidRDefault="00B83E15" w:rsidP="00B83E15">
      <w:pPr>
        <w:pStyle w:val="myTOC2"/>
      </w:pPr>
      <w:r>
        <w:t>A. Modifications to Version 4.0 of Business Practice Standards</w:t>
      </w:r>
      <w:r>
        <w:tab/>
      </w:r>
      <w:hyperlink w:anchor="_bmk4" w:history="1">
        <w:r>
          <w:rPr>
            <w:rStyle w:val="Hyperlink"/>
            <w:rFonts w:eastAsiaTheme="minorHAnsi"/>
            <w:szCs w:val="22"/>
          </w:rPr>
          <w:t>11.</w:t>
        </w:r>
      </w:hyperlink>
    </w:p>
    <w:p w14:paraId="26A0D0E2" w14:textId="0FA6E7F6" w:rsidR="00B83E15" w:rsidRDefault="00B83E15" w:rsidP="00B83E15">
      <w:pPr>
        <w:pStyle w:val="myTOC3"/>
      </w:pPr>
      <w:r>
        <w:t>1. WGQ Additional Standards</w:t>
      </w:r>
      <w:r>
        <w:tab/>
      </w:r>
      <w:hyperlink w:anchor="_bmk5" w:history="1">
        <w:r>
          <w:rPr>
            <w:rStyle w:val="Hyperlink"/>
            <w:rFonts w:eastAsiaTheme="minorHAnsi"/>
            <w:szCs w:val="22"/>
          </w:rPr>
          <w:t>12.</w:t>
        </w:r>
      </w:hyperlink>
    </w:p>
    <w:p w14:paraId="2B8B8B43" w14:textId="5133CE7F" w:rsidR="00B83E15" w:rsidRDefault="00B83E15" w:rsidP="00B83E15">
      <w:pPr>
        <w:pStyle w:val="myTOC3"/>
      </w:pPr>
      <w:r>
        <w:t>2. WGQ Quadrant Electronic Delivery Mechanism Standards</w:t>
      </w:r>
      <w:r>
        <w:tab/>
      </w:r>
      <w:hyperlink w:anchor="_bmk6" w:history="1">
        <w:r>
          <w:rPr>
            <w:rStyle w:val="Hyperlink"/>
            <w:rFonts w:eastAsiaTheme="minorHAnsi"/>
            <w:szCs w:val="22"/>
          </w:rPr>
          <w:t>13.</w:t>
        </w:r>
      </w:hyperlink>
    </w:p>
    <w:p w14:paraId="5A793E44" w14:textId="2778B11E" w:rsidR="00B83E15" w:rsidRDefault="00B83E15" w:rsidP="00B83E15">
      <w:pPr>
        <w:pStyle w:val="myTOC3"/>
      </w:pPr>
      <w:r>
        <w:t>3. WGQ Capacity Release Related Standards</w:t>
      </w:r>
      <w:r>
        <w:tab/>
      </w:r>
      <w:hyperlink w:anchor="_bmk7" w:history="1">
        <w:r>
          <w:rPr>
            <w:rStyle w:val="Hyperlink"/>
            <w:rFonts w:eastAsiaTheme="minorHAnsi"/>
            <w:szCs w:val="22"/>
          </w:rPr>
          <w:t>14.</w:t>
        </w:r>
      </w:hyperlink>
    </w:p>
    <w:p w14:paraId="71D862AF" w14:textId="176851D6" w:rsidR="00B83E15" w:rsidRDefault="00B83E15" w:rsidP="00B83E15">
      <w:pPr>
        <w:pStyle w:val="myTOC2"/>
      </w:pPr>
      <w:r>
        <w:t>B. Proposed Implementation Procedures</w:t>
      </w:r>
      <w:r>
        <w:tab/>
      </w:r>
      <w:hyperlink w:anchor="_bmk8" w:history="1">
        <w:r>
          <w:rPr>
            <w:rStyle w:val="Hyperlink"/>
            <w:rFonts w:eastAsiaTheme="minorHAnsi"/>
            <w:szCs w:val="22"/>
          </w:rPr>
          <w:t>15.</w:t>
        </w:r>
      </w:hyperlink>
    </w:p>
    <w:p w14:paraId="708468FF" w14:textId="1C9CAEF1" w:rsidR="00B83E15" w:rsidRDefault="00B83E15" w:rsidP="00B83E15">
      <w:pPr>
        <w:pStyle w:val="myTOC1"/>
      </w:pPr>
      <w:r>
        <w:t>IV. Notice of Use of Voluntary Consensus Standards</w:t>
      </w:r>
      <w:r>
        <w:tab/>
      </w:r>
      <w:hyperlink w:anchor="_bmk9" w:history="1">
        <w:r>
          <w:rPr>
            <w:rStyle w:val="Hyperlink"/>
            <w:rFonts w:eastAsiaTheme="minorHAnsi"/>
            <w:szCs w:val="22"/>
          </w:rPr>
          <w:t>23.</w:t>
        </w:r>
      </w:hyperlink>
    </w:p>
    <w:p w14:paraId="2E4A1522" w14:textId="278DBC1E" w:rsidR="00B83E15" w:rsidRDefault="00B83E15" w:rsidP="00B83E15">
      <w:pPr>
        <w:pStyle w:val="myTOC1"/>
      </w:pPr>
      <w:r>
        <w:t>V. Incorporation by Reference</w:t>
      </w:r>
      <w:r>
        <w:tab/>
      </w:r>
      <w:hyperlink w:anchor="_bmk10" w:history="1">
        <w:r>
          <w:rPr>
            <w:rStyle w:val="Hyperlink"/>
            <w:rFonts w:eastAsiaTheme="minorHAnsi"/>
            <w:szCs w:val="22"/>
          </w:rPr>
          <w:t>24.</w:t>
        </w:r>
      </w:hyperlink>
    </w:p>
    <w:p w14:paraId="0AABA0EB" w14:textId="055B497E" w:rsidR="00B83E15" w:rsidRDefault="00B83E15" w:rsidP="00B83E15">
      <w:pPr>
        <w:pStyle w:val="myTOC1"/>
      </w:pPr>
      <w:r>
        <w:t>VI. Information Collection Statement</w:t>
      </w:r>
      <w:r>
        <w:tab/>
      </w:r>
      <w:hyperlink w:anchor="_bmk11" w:history="1">
        <w:r>
          <w:rPr>
            <w:rStyle w:val="Hyperlink"/>
            <w:rFonts w:eastAsiaTheme="minorHAnsi"/>
            <w:szCs w:val="22"/>
          </w:rPr>
          <w:t>31.</w:t>
        </w:r>
      </w:hyperlink>
    </w:p>
    <w:p w14:paraId="2DD375E5" w14:textId="6C9E0329" w:rsidR="00B83E15" w:rsidRDefault="00B83E15" w:rsidP="00B83E15">
      <w:pPr>
        <w:pStyle w:val="myTOC1"/>
      </w:pPr>
      <w:r>
        <w:t>VII. Environmental Analysis</w:t>
      </w:r>
      <w:r>
        <w:tab/>
      </w:r>
      <w:hyperlink w:anchor="_bmk12" w:history="1">
        <w:r>
          <w:rPr>
            <w:rStyle w:val="Hyperlink"/>
            <w:rFonts w:eastAsiaTheme="minorHAnsi"/>
            <w:szCs w:val="22"/>
          </w:rPr>
          <w:t>38.</w:t>
        </w:r>
      </w:hyperlink>
    </w:p>
    <w:p w14:paraId="55645D5F" w14:textId="426E0935" w:rsidR="00B83E15" w:rsidRDefault="00B83E15" w:rsidP="00B83E15">
      <w:pPr>
        <w:pStyle w:val="myTOC1"/>
      </w:pPr>
      <w:r>
        <w:t>VIII. Regulatory Flexibility Act</w:t>
      </w:r>
      <w:r>
        <w:tab/>
      </w:r>
      <w:hyperlink w:anchor="_bmk13" w:history="1">
        <w:r>
          <w:rPr>
            <w:rStyle w:val="Hyperlink"/>
            <w:rFonts w:eastAsiaTheme="minorHAnsi"/>
            <w:szCs w:val="22"/>
          </w:rPr>
          <w:t>39.</w:t>
        </w:r>
      </w:hyperlink>
    </w:p>
    <w:p w14:paraId="10D8605E" w14:textId="2EFB93C5" w:rsidR="00B83E15" w:rsidRDefault="00B83E15" w:rsidP="00B83E15">
      <w:pPr>
        <w:pStyle w:val="myTOC1"/>
      </w:pPr>
      <w:r>
        <w:t>IX. Comment Procedures</w:t>
      </w:r>
      <w:r>
        <w:tab/>
      </w:r>
      <w:hyperlink w:anchor="_bmk14" w:history="1">
        <w:r>
          <w:rPr>
            <w:rStyle w:val="Hyperlink"/>
            <w:rFonts w:eastAsiaTheme="minorHAnsi"/>
            <w:szCs w:val="22"/>
          </w:rPr>
          <w:t>42.</w:t>
        </w:r>
      </w:hyperlink>
    </w:p>
    <w:p w14:paraId="4B23214F" w14:textId="152BE7B4" w:rsidR="00B83E15" w:rsidRPr="00B83E15" w:rsidRDefault="00B83E15" w:rsidP="00B83E15">
      <w:pPr>
        <w:pStyle w:val="myTOC1"/>
      </w:pPr>
      <w:r>
        <w:t>X. Document Availability</w:t>
      </w:r>
      <w:r>
        <w:tab/>
      </w:r>
      <w:hyperlink w:anchor="_bmk15" w:history="1">
        <w:r>
          <w:rPr>
            <w:rStyle w:val="Hyperlink"/>
            <w:rFonts w:eastAsiaTheme="minorHAnsi"/>
            <w:szCs w:val="22"/>
          </w:rPr>
          <w:t>45.</w:t>
        </w:r>
      </w:hyperlink>
    </w:p>
    <w:p w14:paraId="1B82B84F" w14:textId="77777777" w:rsidR="002715FE" w:rsidRDefault="002715FE" w:rsidP="002715FE">
      <w:pPr>
        <w:pStyle w:val="Heading1"/>
        <w:numPr>
          <w:ilvl w:val="0"/>
          <w:numId w:val="0"/>
        </w:numPr>
      </w:pPr>
    </w:p>
    <w:p w14:paraId="7EB15EF3" w14:textId="02448811" w:rsidR="002715FE" w:rsidRPr="002715FE" w:rsidRDefault="00103A17" w:rsidP="002715FE">
      <w:pPr>
        <w:pStyle w:val="FERCparanumber"/>
        <w:numPr>
          <w:ilvl w:val="0"/>
          <w:numId w:val="0"/>
        </w:numPr>
      </w:pPr>
      <w:r>
        <w:br/>
      </w:r>
    </w:p>
    <w:p w14:paraId="2BF951A5" w14:textId="03DB9F81" w:rsidR="005A0AD3" w:rsidRDefault="005A0AD3" w:rsidP="009231E5">
      <w:pPr>
        <w:pStyle w:val="Heading1"/>
      </w:pPr>
      <w:bookmarkStart w:id="2" w:name="_bmk1"/>
      <w:r>
        <w:lastRenderedPageBreak/>
        <w:t>O</w:t>
      </w:r>
      <w:bookmarkEnd w:id="2"/>
      <w:r>
        <w:t>verview</w:t>
      </w:r>
    </w:p>
    <w:p w14:paraId="58F060C4" w14:textId="1EBDFACF" w:rsidR="00EA2A19" w:rsidRDefault="002715FE" w:rsidP="002715FE">
      <w:pPr>
        <w:pStyle w:val="FERCparanumber"/>
      </w:pPr>
      <w:r>
        <w:t xml:space="preserve">The </w:t>
      </w:r>
      <w:r w:rsidRPr="001D3508">
        <w:t>Federal</w:t>
      </w:r>
      <w:r>
        <w:t xml:space="preserve"> </w:t>
      </w:r>
      <w:r w:rsidRPr="00512E5E">
        <w:t>Energy</w:t>
      </w:r>
      <w:r>
        <w:t xml:space="preserve"> Regulatory Commission (Commission) proposes to amend its regulations at 18 CFR 284.12 to incorporate by reference the latest modifications to </w:t>
      </w:r>
      <w:r w:rsidRPr="0005159D">
        <w:t>Version 4.0</w:t>
      </w:r>
      <w:r>
        <w:t xml:space="preserve"> of Standards for Business Practices of Interstate Natural Gas Pipelines adopted by</w:t>
      </w:r>
      <w:r w:rsidRPr="00E469E6">
        <w:t xml:space="preserve"> the Wholesale Gas Quadrant</w:t>
      </w:r>
      <w:r>
        <w:t xml:space="preserve"> (WGQ) of the</w:t>
      </w:r>
      <w:r w:rsidRPr="00E469E6">
        <w:t xml:space="preserve"> North American Energy Standards Board (NAESB)</w:t>
      </w:r>
      <w:r>
        <w:t xml:space="preserve"> applicable to interstate natural gas pipelines.  </w:t>
      </w:r>
      <w:r w:rsidR="00BD074B">
        <w:t xml:space="preserve">The </w:t>
      </w:r>
      <w:r w:rsidR="00763FBF">
        <w:t>incorporation by reference</w:t>
      </w:r>
      <w:r w:rsidR="00BD074B">
        <w:t xml:space="preserve"> of these standards </w:t>
      </w:r>
      <w:r w:rsidR="00763FBF">
        <w:t>in</w:t>
      </w:r>
      <w:r w:rsidR="00B267BB">
        <w:t>to the Commission</w:t>
      </w:r>
      <w:r w:rsidR="00AF38A1">
        <w:t>’s</w:t>
      </w:r>
      <w:r w:rsidR="00B267BB">
        <w:t xml:space="preserve"> regulations would</w:t>
      </w:r>
      <w:r w:rsidR="002F0AE4">
        <w:t xml:space="preserve"> improve the coordination between </w:t>
      </w:r>
      <w:r w:rsidR="007D1716">
        <w:t xml:space="preserve">the natural gas pipelines and electric </w:t>
      </w:r>
      <w:r w:rsidR="00740E8F">
        <w:t>utilities</w:t>
      </w:r>
      <w:r w:rsidR="00114C7D">
        <w:t>.  Such coordination is</w:t>
      </w:r>
      <w:r w:rsidR="00A84CE4">
        <w:t xml:space="preserve"> essential to </w:t>
      </w:r>
      <w:r w:rsidR="00B01106">
        <w:t xml:space="preserve">maintaining reliability </w:t>
      </w:r>
      <w:r w:rsidR="00251762">
        <w:t xml:space="preserve">for both the </w:t>
      </w:r>
      <w:r w:rsidR="00E64568">
        <w:t xml:space="preserve">natural gas </w:t>
      </w:r>
      <w:proofErr w:type="gramStart"/>
      <w:r w:rsidR="00E64568">
        <w:t xml:space="preserve">pipeline </w:t>
      </w:r>
      <w:r w:rsidR="005D1D93">
        <w:t xml:space="preserve"> network</w:t>
      </w:r>
      <w:proofErr w:type="gramEnd"/>
      <w:r w:rsidR="005D1D93">
        <w:t xml:space="preserve"> </w:t>
      </w:r>
      <w:r w:rsidR="00FE7719">
        <w:t xml:space="preserve">system </w:t>
      </w:r>
      <w:r w:rsidR="00E64568">
        <w:t xml:space="preserve">and </w:t>
      </w:r>
      <w:r w:rsidR="008815DA">
        <w:t xml:space="preserve">the </w:t>
      </w:r>
      <w:r w:rsidR="004B4A44">
        <w:t>bulk electric system</w:t>
      </w:r>
      <w:r w:rsidR="00251762">
        <w:t xml:space="preserve">, especially during </w:t>
      </w:r>
      <w:r w:rsidR="00EA2A19">
        <w:t>periods when both systems have coincident peak requirements.</w:t>
      </w:r>
    </w:p>
    <w:p w14:paraId="1128A051" w14:textId="323E9D66" w:rsidR="002715FE" w:rsidRPr="005A0AD3" w:rsidRDefault="002715FE" w:rsidP="002715FE">
      <w:pPr>
        <w:pStyle w:val="FERCparanumber"/>
      </w:pPr>
      <w:r w:rsidRPr="00932257">
        <w:t xml:space="preserve">NAESB </w:t>
      </w:r>
      <w:r w:rsidRPr="000109CB">
        <w:t>is an American National Standards Institute</w:t>
      </w:r>
      <w:r>
        <w:t>-</w:t>
      </w:r>
      <w:r w:rsidRPr="000109CB">
        <w:t>accredited, non-profit standards development organization formed for the purpose of developing voluntary standards and model business practices that promote more competitive and efficient natural gas and electric market</w:t>
      </w:r>
      <w:r>
        <w:t>s</w:t>
      </w:r>
      <w:r w:rsidRPr="00932257">
        <w:t>.</w:t>
      </w:r>
      <w:r>
        <w:t xml:space="preserve">  </w:t>
      </w:r>
      <w:r w:rsidRPr="005064EA">
        <w:t xml:space="preserve">On December </w:t>
      </w:r>
      <w:r w:rsidR="00517AFF" w:rsidRPr="005064EA">
        <w:t>4</w:t>
      </w:r>
      <w:r w:rsidRPr="005064EA">
        <w:t>, 2024</w:t>
      </w:r>
      <w:r>
        <w:t xml:space="preserve">, NAESB filed </w:t>
      </w:r>
      <w:r w:rsidR="00C964D7">
        <w:t>a</w:t>
      </w:r>
      <w:r>
        <w:t xml:space="preserve"> </w:t>
      </w:r>
      <w:r w:rsidR="008C7BAD">
        <w:t>report</w:t>
      </w:r>
      <w:r w:rsidR="00F25C7F">
        <w:t xml:space="preserve"> </w:t>
      </w:r>
      <w:r w:rsidR="008C7BAD">
        <w:t>informing</w:t>
      </w:r>
      <w:r w:rsidR="008D47C4">
        <w:t xml:space="preserve"> </w:t>
      </w:r>
      <w:r w:rsidR="00E0609D">
        <w:t xml:space="preserve">the </w:t>
      </w:r>
      <w:r w:rsidR="008D47C4">
        <w:t xml:space="preserve">Commission </w:t>
      </w:r>
      <w:r>
        <w:t xml:space="preserve">that it had </w:t>
      </w:r>
      <w:r w:rsidRPr="0073127E">
        <w:t>modified Version 4.0 of the business practice standards (Informational Report).</w:t>
      </w:r>
      <w:r w:rsidRPr="0073127E">
        <w:rPr>
          <w:rStyle w:val="FootnoteReference"/>
        </w:rPr>
        <w:footnoteReference w:id="2"/>
      </w:r>
      <w:r>
        <w:t xml:space="preserve">  </w:t>
      </w:r>
      <w:r w:rsidR="003B3B83">
        <w:t>T</w:t>
      </w:r>
      <w:r w:rsidRPr="00AA3203">
        <w:t>hese</w:t>
      </w:r>
      <w:r>
        <w:t xml:space="preserve"> revisions to the</w:t>
      </w:r>
      <w:r w:rsidRPr="00AA3203">
        <w:t xml:space="preserve"> standards</w:t>
      </w:r>
      <w:r w:rsidR="0024453D">
        <w:t xml:space="preserve"> </w:t>
      </w:r>
      <w:r w:rsidRPr="00AA3203">
        <w:t>w</w:t>
      </w:r>
      <w:r w:rsidR="00F64F87">
        <w:t>ould</w:t>
      </w:r>
      <w:r w:rsidRPr="00AA3203">
        <w:t xml:space="preserve"> </w:t>
      </w:r>
      <w:r>
        <w:t xml:space="preserve">improve </w:t>
      </w:r>
      <w:r w:rsidRPr="008D69A8">
        <w:rPr>
          <w:snapToGrid w:val="0"/>
          <w:color w:val="000000"/>
        </w:rPr>
        <w:t xml:space="preserve">the reliability of the </w:t>
      </w:r>
      <w:r w:rsidR="00254D3A">
        <w:rPr>
          <w:snapToGrid w:val="0"/>
          <w:color w:val="000000"/>
        </w:rPr>
        <w:t>interstate</w:t>
      </w:r>
      <w:r w:rsidRPr="008D69A8">
        <w:rPr>
          <w:snapToGrid w:val="0"/>
          <w:color w:val="000000"/>
        </w:rPr>
        <w:t xml:space="preserve"> natural gas infrastructure </w:t>
      </w:r>
      <w:r w:rsidR="007E1D0A">
        <w:rPr>
          <w:snapToGrid w:val="0"/>
          <w:color w:val="000000"/>
        </w:rPr>
        <w:t xml:space="preserve">to </w:t>
      </w:r>
      <w:r w:rsidRPr="008D69A8">
        <w:rPr>
          <w:snapToGrid w:val="0"/>
          <w:color w:val="000000"/>
        </w:rPr>
        <w:t xml:space="preserve">support the bulk electric system and improve </w:t>
      </w:r>
      <w:r w:rsidRPr="008D69A8">
        <w:rPr>
          <w:snapToGrid w:val="0"/>
          <w:color w:val="000000"/>
        </w:rPr>
        <w:lastRenderedPageBreak/>
        <w:t>communication</w:t>
      </w:r>
      <w:r>
        <w:rPr>
          <w:snapToGrid w:val="0"/>
          <w:color w:val="000000"/>
        </w:rPr>
        <w:t xml:space="preserve"> among gas and electric market participants</w:t>
      </w:r>
      <w:r w:rsidRPr="008D69A8">
        <w:rPr>
          <w:snapToGrid w:val="0"/>
          <w:color w:val="000000"/>
        </w:rPr>
        <w:t xml:space="preserve"> </w:t>
      </w:r>
      <w:r w:rsidR="003B3B83">
        <w:rPr>
          <w:snapToGrid w:val="0"/>
          <w:color w:val="000000"/>
        </w:rPr>
        <w:t>to</w:t>
      </w:r>
      <w:r w:rsidRPr="008D69A8">
        <w:rPr>
          <w:snapToGrid w:val="0"/>
          <w:color w:val="000000"/>
        </w:rPr>
        <w:t xml:space="preserve"> enhance situational awareness</w:t>
      </w:r>
      <w:r w:rsidRPr="008D69A8" w:rsidDel="00B75D41">
        <w:rPr>
          <w:snapToGrid w:val="0"/>
          <w:color w:val="000000"/>
        </w:rPr>
        <w:t xml:space="preserve"> </w:t>
      </w:r>
      <w:r w:rsidRPr="008D69A8">
        <w:rPr>
          <w:snapToGrid w:val="0"/>
          <w:color w:val="000000"/>
        </w:rPr>
        <w:t>during extreme cold weather events</w:t>
      </w:r>
      <w:r>
        <w:t>.</w:t>
      </w:r>
      <w:bookmarkStart w:id="3" w:name="_Ref210999961"/>
      <w:r w:rsidRPr="009A3DEC">
        <w:rPr>
          <w:rStyle w:val="FootnoteReference"/>
        </w:rPr>
        <w:footnoteReference w:id="3"/>
      </w:r>
      <w:bookmarkEnd w:id="3"/>
    </w:p>
    <w:p w14:paraId="724B891C" w14:textId="2871ACA7" w:rsidR="009231E5" w:rsidRPr="00B61165" w:rsidRDefault="009231E5" w:rsidP="009231E5">
      <w:pPr>
        <w:pStyle w:val="Heading1"/>
      </w:pPr>
      <w:bookmarkStart w:id="4" w:name="_bmk2"/>
      <w:r w:rsidRPr="00F86749">
        <w:t>B</w:t>
      </w:r>
      <w:bookmarkEnd w:id="4"/>
      <w:r w:rsidRPr="00F86749">
        <w:t>ackground</w:t>
      </w:r>
    </w:p>
    <w:p w14:paraId="7CF43D81" w14:textId="4C11D8DD" w:rsidR="002715FE" w:rsidRDefault="002715FE" w:rsidP="002715FE">
      <w:pPr>
        <w:pStyle w:val="FERCparanumber"/>
      </w:pPr>
      <w:r>
        <w:t xml:space="preserve">Since 1996, the Commission has </w:t>
      </w:r>
      <w:r w:rsidR="00674C01">
        <w:t xml:space="preserve">incorporated by reference </w:t>
      </w:r>
      <w:r>
        <w:t>in its regulations NAESB’s business practice standards and communication methodologies of interstate natural gas pipelines to create a more integrated and efficient pipeline network system.  These regulations have been promulgated in the Order No. 587 series of orders,</w:t>
      </w:r>
      <w:r w:rsidRPr="00932257">
        <w:rPr>
          <w:rStyle w:val="FootnoteReference"/>
        </w:rPr>
        <w:footnoteReference w:id="4"/>
      </w:r>
      <w:r>
        <w:t xml:space="preserve"> wherein the Commission</w:t>
      </w:r>
      <w:r w:rsidR="009B0D29">
        <w:t xml:space="preserve"> has</w:t>
      </w:r>
      <w:r>
        <w:t xml:space="preserve"> incorporated by reference the standards for interstate natural gas pipeline business practices and electronic communications developed by NAESB’s WGQ.  Upon incorporation by reference, these revisions to the standards will modify the currently incorporated </w:t>
      </w:r>
      <w:r w:rsidRPr="00BD143D">
        <w:t>version (Version 4.0) of</w:t>
      </w:r>
      <w:r>
        <w:t xml:space="preserve"> </w:t>
      </w:r>
      <w:r w:rsidR="00883CA5">
        <w:t>NAESB</w:t>
      </w:r>
      <w:r w:rsidR="00304DFC">
        <w:t>’s</w:t>
      </w:r>
      <w:r>
        <w:t xml:space="preserve"> business practice standards.</w:t>
      </w:r>
    </w:p>
    <w:p w14:paraId="11676FFC" w14:textId="61A7B5E0" w:rsidR="00EB62B9" w:rsidRDefault="00ED622B" w:rsidP="00EB62B9">
      <w:pPr>
        <w:pStyle w:val="FERCparanumber"/>
      </w:pPr>
      <w:r>
        <w:t xml:space="preserve">On July 25, 2022, </w:t>
      </w:r>
      <w:r w:rsidR="00AC66BB">
        <w:t>then-</w:t>
      </w:r>
      <w:r>
        <w:t xml:space="preserve">Chairman Richard Glick of </w:t>
      </w:r>
      <w:r w:rsidR="003B0057">
        <w:t xml:space="preserve">the Commission and </w:t>
      </w:r>
      <w:r w:rsidR="00856A88">
        <w:t>Jim Robb</w:t>
      </w:r>
      <w:r w:rsidR="00ED48BA">
        <w:t xml:space="preserve">, President and CEO of the </w:t>
      </w:r>
      <w:r w:rsidR="001031D2">
        <w:t>NERC</w:t>
      </w:r>
      <w:r w:rsidR="00ED48BA">
        <w:t xml:space="preserve">, </w:t>
      </w:r>
      <w:r w:rsidR="00137C06">
        <w:t>sent a letter to NAES</w:t>
      </w:r>
      <w:r w:rsidR="000D3380">
        <w:t>B</w:t>
      </w:r>
      <w:r w:rsidR="00137C06">
        <w:t xml:space="preserve"> </w:t>
      </w:r>
      <w:r w:rsidR="00ED48BA">
        <w:t>request</w:t>
      </w:r>
      <w:r w:rsidR="00137C06">
        <w:t>ing</w:t>
      </w:r>
      <w:r w:rsidR="00ED48BA">
        <w:t xml:space="preserve"> NAESB </w:t>
      </w:r>
      <w:r w:rsidR="00F46CC7">
        <w:t xml:space="preserve">convene a </w:t>
      </w:r>
      <w:r w:rsidR="00F46CC7">
        <w:lastRenderedPageBreak/>
        <w:t xml:space="preserve">forum </w:t>
      </w:r>
      <w:r w:rsidR="00840468">
        <w:t>“</w:t>
      </w:r>
      <w:r w:rsidR="00F46CC7">
        <w:t xml:space="preserve">to identify actions </w:t>
      </w:r>
      <w:r w:rsidR="00AD0212">
        <w:t xml:space="preserve">that will improve the </w:t>
      </w:r>
      <w:r w:rsidR="00B34747">
        <w:t>reliability</w:t>
      </w:r>
      <w:r w:rsidR="00EE6071">
        <w:t xml:space="preserve"> of the </w:t>
      </w:r>
      <w:r w:rsidR="00AD0212">
        <w:t xml:space="preserve">natural gas infrastructure system </w:t>
      </w:r>
      <w:r w:rsidR="00B72F0E">
        <w:t xml:space="preserve">as necessary to support </w:t>
      </w:r>
      <w:r w:rsidR="00EE6071">
        <w:t xml:space="preserve">the </w:t>
      </w:r>
      <w:r w:rsidR="00740066">
        <w:t>bulk electric system</w:t>
      </w:r>
      <w:r w:rsidR="001C2565">
        <w:t xml:space="preserve"> and to address recurring challenges </w:t>
      </w:r>
      <w:r w:rsidR="00D828FF">
        <w:t xml:space="preserve">stemming from </w:t>
      </w:r>
      <w:r w:rsidR="00E959BB">
        <w:t xml:space="preserve">natural gas-electric </w:t>
      </w:r>
      <w:r w:rsidR="005B50E1">
        <w:t xml:space="preserve">infrastructure </w:t>
      </w:r>
      <w:r w:rsidR="00D14DCC">
        <w:t>interdependency</w:t>
      </w:r>
      <w:r w:rsidR="00EE6071">
        <w:t>.</w:t>
      </w:r>
      <w:r w:rsidR="00840468">
        <w:t>”</w:t>
      </w:r>
      <w:r w:rsidR="00EE6071">
        <w:rPr>
          <w:rStyle w:val="FootnoteReference"/>
        </w:rPr>
        <w:footnoteReference w:id="5"/>
      </w:r>
      <w:r w:rsidR="00137C06">
        <w:t xml:space="preserve">  </w:t>
      </w:r>
    </w:p>
    <w:p w14:paraId="258E3D22" w14:textId="35ED6205" w:rsidR="00EB62B9" w:rsidRDefault="00EB62B9" w:rsidP="00EB62B9">
      <w:pPr>
        <w:pStyle w:val="FERCparanumber"/>
      </w:pPr>
      <w:r>
        <w:t xml:space="preserve">In response to </w:t>
      </w:r>
      <w:r w:rsidR="00226EC8">
        <w:t xml:space="preserve">that </w:t>
      </w:r>
      <w:r>
        <w:t xml:space="preserve">letter, NAESB convened a Gas-Electric Harmonization </w:t>
      </w:r>
      <w:r w:rsidR="00212D59">
        <w:t>Forum</w:t>
      </w:r>
      <w:r>
        <w:t xml:space="preserve"> to consider issues related to the </w:t>
      </w:r>
      <w:r w:rsidRPr="00180674">
        <w:t>challenges stemming from natural gas-electric interdependency.</w:t>
      </w:r>
      <w:r>
        <w:t xml:space="preserve">  O</w:t>
      </w:r>
      <w:r w:rsidRPr="005F58B3">
        <w:t>ver 700 individuals representing more than 370 different organizations from all segments of the natural gas and electric markets participated in the G</w:t>
      </w:r>
      <w:r>
        <w:t>as-</w:t>
      </w:r>
      <w:r w:rsidRPr="005F58B3">
        <w:t>E</w:t>
      </w:r>
      <w:r>
        <w:t xml:space="preserve">lectric </w:t>
      </w:r>
      <w:r w:rsidRPr="005F58B3">
        <w:t>H</w:t>
      </w:r>
      <w:r>
        <w:t>armonization</w:t>
      </w:r>
      <w:r w:rsidRPr="005F58B3">
        <w:t xml:space="preserve"> Forum.  </w:t>
      </w:r>
      <w:r>
        <w:t xml:space="preserve">NAESB released its Gas-Electric Harmonization Forum Report on July 28, 2023, </w:t>
      </w:r>
      <w:r w:rsidR="00C67198">
        <w:t xml:space="preserve">which </w:t>
      </w:r>
      <w:r>
        <w:t xml:space="preserve">identified 20 recommendations for consideration to improve the reliability of natural gas infrastructure as necessary to support the bulk electric system and to address the recurring challenges stemming from natural gas-electric interdependency.  </w:t>
      </w:r>
    </w:p>
    <w:p w14:paraId="1433E33C" w14:textId="07D15E0B" w:rsidR="00E32505" w:rsidRDefault="005B4233" w:rsidP="00C64C9C">
      <w:pPr>
        <w:pStyle w:val="FERCparanumber"/>
      </w:pPr>
      <w:r>
        <w:t>On</w:t>
      </w:r>
      <w:r w:rsidR="005C3E9B">
        <w:t xml:space="preserve"> </w:t>
      </w:r>
      <w:r w:rsidR="00D40EE2">
        <w:t>November 7</w:t>
      </w:r>
      <w:r w:rsidR="00ED373E">
        <w:t xml:space="preserve">, </w:t>
      </w:r>
      <w:r w:rsidR="007F40B6">
        <w:t xml:space="preserve">2023, </w:t>
      </w:r>
      <w:r w:rsidR="00FB5A0E">
        <w:t xml:space="preserve">as updated on February 28, 2024, </w:t>
      </w:r>
      <w:r w:rsidR="007F40B6">
        <w:t>the Commission</w:t>
      </w:r>
      <w:r w:rsidR="00196388">
        <w:t xml:space="preserve">, </w:t>
      </w:r>
      <w:r w:rsidR="00A379C5">
        <w:t>NERC</w:t>
      </w:r>
      <w:r w:rsidR="00E66D7B">
        <w:t xml:space="preserve">, and various regional entities published a report on </w:t>
      </w:r>
      <w:r w:rsidR="005B5F74">
        <w:t xml:space="preserve">the performance of the bulk power system during </w:t>
      </w:r>
      <w:r w:rsidR="00A15A25">
        <w:t>Winter Storm Elliot</w:t>
      </w:r>
      <w:r w:rsidR="000016C3">
        <w:t xml:space="preserve"> in December of </w:t>
      </w:r>
      <w:r w:rsidR="00FD0302">
        <w:t>2022.</w:t>
      </w:r>
      <w:bookmarkStart w:id="6" w:name="_Ref187997112"/>
      <w:r w:rsidR="00CA1053" w:rsidRPr="00CA1053">
        <w:rPr>
          <w:b/>
          <w:vertAlign w:val="superscript"/>
        </w:rPr>
        <w:footnoteReference w:id="6"/>
      </w:r>
      <w:bookmarkEnd w:id="6"/>
      <w:r w:rsidR="00CA1053" w:rsidRPr="00CA1053">
        <w:t xml:space="preserve"> </w:t>
      </w:r>
      <w:r w:rsidR="00FD0302">
        <w:t xml:space="preserve"> </w:t>
      </w:r>
      <w:r w:rsidR="003350B2">
        <w:t xml:space="preserve">The report </w:t>
      </w:r>
      <w:r w:rsidR="00162CCD">
        <w:t xml:space="preserve">looked at the </w:t>
      </w:r>
      <w:r w:rsidR="00065E46">
        <w:t xml:space="preserve">cold </w:t>
      </w:r>
      <w:r w:rsidR="00065E46">
        <w:lastRenderedPageBreak/>
        <w:t xml:space="preserve">weather event </w:t>
      </w:r>
      <w:r w:rsidR="00BF27AC">
        <w:t xml:space="preserve">that occurred </w:t>
      </w:r>
      <w:r w:rsidR="00DC2D61">
        <w:t xml:space="preserve">between </w:t>
      </w:r>
      <w:r w:rsidR="0074184A">
        <w:t>December 21 and December 26, 2022</w:t>
      </w:r>
      <w:r w:rsidR="00BF27AC">
        <w:t xml:space="preserve"> (Winter Storm Elliott)</w:t>
      </w:r>
      <w:r w:rsidR="006F5408">
        <w:t>,</w:t>
      </w:r>
      <w:r w:rsidR="0074184A">
        <w:t xml:space="preserve"> in which </w:t>
      </w:r>
      <w:r w:rsidR="00037D95">
        <w:t xml:space="preserve">unplanned cold-weather outages </w:t>
      </w:r>
      <w:r w:rsidR="00A56876">
        <w:t xml:space="preserve">significantly jeopardized grid reliability.  </w:t>
      </w:r>
      <w:r w:rsidR="00B460DE">
        <w:t xml:space="preserve">Part of this analysis looked at how the events </w:t>
      </w:r>
      <w:r w:rsidR="00595F70">
        <w:t xml:space="preserve">affected </w:t>
      </w:r>
      <w:r w:rsidR="00B460DE">
        <w:t xml:space="preserve">the interrelation between transportation on natural gas pipelines </w:t>
      </w:r>
      <w:r w:rsidR="00595F70">
        <w:t>and generator outages</w:t>
      </w:r>
      <w:r w:rsidR="00F8281D">
        <w:t>.</w:t>
      </w:r>
      <w:r w:rsidR="00595F70">
        <w:t xml:space="preserve"> </w:t>
      </w:r>
      <w:r w:rsidR="00F8281D">
        <w:t xml:space="preserve"> </w:t>
      </w:r>
      <w:r w:rsidR="00690B52">
        <w:t xml:space="preserve">The </w:t>
      </w:r>
      <w:r w:rsidR="00734A64">
        <w:t>Winter Storm Elliot Report included several recommendations concerning natural gas-electric coordination</w:t>
      </w:r>
      <w:r w:rsidR="00D40EE2">
        <w:t xml:space="preserve">. </w:t>
      </w:r>
      <w:r w:rsidR="00734A64">
        <w:t xml:space="preserve"> </w:t>
      </w:r>
      <w:r w:rsidR="0093778B">
        <w:t xml:space="preserve">Specifically, </w:t>
      </w:r>
      <w:r w:rsidR="00F8281D">
        <w:t xml:space="preserve">to help improve the interrelation between natural gas pipelines and </w:t>
      </w:r>
      <w:r w:rsidR="00021A3B">
        <w:t>the electric system</w:t>
      </w:r>
      <w:r w:rsidR="001D40B5">
        <w:t xml:space="preserve">, the report recommended </w:t>
      </w:r>
      <w:r w:rsidR="001D6183">
        <w:t xml:space="preserve">that </w:t>
      </w:r>
      <w:r w:rsidR="00D34ED4">
        <w:t xml:space="preserve">NAESB </w:t>
      </w:r>
      <w:r w:rsidR="00E65E80">
        <w:t>“</w:t>
      </w:r>
      <w:r w:rsidR="00FD0302" w:rsidRPr="00FD0302">
        <w:t>convene natural gas infrastructure entities, electric grid operators, and LDCs</w:t>
      </w:r>
      <w:r w:rsidR="00313356">
        <w:t xml:space="preserve"> (local distribution companies)</w:t>
      </w:r>
      <w:r w:rsidR="00FD0302" w:rsidRPr="00FD0302">
        <w:t xml:space="preserve"> to identify improvements in communication during extreme cold weather events to enhance situational awareness.</w:t>
      </w:r>
      <w:r w:rsidR="00E65E80">
        <w:t>”</w:t>
      </w:r>
      <w:r w:rsidR="00D34ED4">
        <w:rPr>
          <w:rStyle w:val="FootnoteReference"/>
        </w:rPr>
        <w:footnoteReference w:id="7"/>
      </w:r>
    </w:p>
    <w:p w14:paraId="4B4562B5" w14:textId="2D321B57" w:rsidR="007D6740" w:rsidRDefault="007D6740" w:rsidP="005064EA">
      <w:pPr>
        <w:pStyle w:val="FERCparanumber"/>
        <w:tabs>
          <w:tab w:val="left" w:pos="2610"/>
        </w:tabs>
      </w:pPr>
      <w:r w:rsidRPr="007D6740">
        <w:t>In response</w:t>
      </w:r>
      <w:r w:rsidR="004D2F39">
        <w:t xml:space="preserve"> to the Winter Storm Elliot </w:t>
      </w:r>
      <w:r w:rsidR="00D9026D">
        <w:t>Report</w:t>
      </w:r>
      <w:r w:rsidR="004D2F39">
        <w:t xml:space="preserve">, </w:t>
      </w:r>
      <w:r w:rsidR="004E7163" w:rsidRPr="004E7163">
        <w:t>the NAESB Board of Directors created a jointly assigned annual plan item as part of the WGQ, Wholesale Electric Quadrant (WEQ), and Retail Market Quadrant (RMQ) 2024 Annual Plans</w:t>
      </w:r>
      <w:r w:rsidR="00A41557">
        <w:t>.</w:t>
      </w:r>
      <w:r w:rsidR="004E7163" w:rsidRPr="004E7163">
        <w:t xml:space="preserve">  </w:t>
      </w:r>
      <w:r w:rsidR="009951F3">
        <w:t xml:space="preserve">The Annual Plan </w:t>
      </w:r>
      <w:r w:rsidR="009951F3" w:rsidRPr="009951F3">
        <w:t>directed the Joint WGQ, WEQ, and RMQ Business Practices Subcommittees to review and modify the NAESB Gas/Electric Coordination Business Practice Standards, and any corresponding standards, that could improve communications among gas and electric market participants and enhance situational awareness during extreme weather events without endangering sensitive commercial information</w:t>
      </w:r>
      <w:r w:rsidR="00A4299C">
        <w:t xml:space="preserve">.  </w:t>
      </w:r>
      <w:r w:rsidR="003736D9" w:rsidRPr="003736D9">
        <w:t xml:space="preserve">Between January and </w:t>
      </w:r>
      <w:r w:rsidR="00103A17">
        <w:br/>
      </w:r>
      <w:r w:rsidR="003736D9" w:rsidRPr="003736D9">
        <w:t xml:space="preserve">July 2024, the Joint WGQ, WEQ, and RMQ </w:t>
      </w:r>
      <w:r w:rsidR="00A14372" w:rsidRPr="009951F3">
        <w:t>Business Practices Subcommittees</w:t>
      </w:r>
      <w:r w:rsidR="003736D9" w:rsidRPr="003736D9" w:rsidDel="00712FE3">
        <w:t xml:space="preserve"> </w:t>
      </w:r>
      <w:r w:rsidR="003736D9" w:rsidRPr="003736D9">
        <w:t xml:space="preserve">held </w:t>
      </w:r>
      <w:r w:rsidR="00103A17">
        <w:br/>
      </w:r>
      <w:r w:rsidR="003736D9" w:rsidRPr="003736D9">
        <w:t xml:space="preserve">ten meetings to identify and evaluate possible areas of standards development.  </w:t>
      </w:r>
      <w:r w:rsidR="00A37BBC">
        <w:t xml:space="preserve">NAESB </w:t>
      </w:r>
      <w:r w:rsidR="00A37BBC">
        <w:lastRenderedPageBreak/>
        <w:t xml:space="preserve">states that </w:t>
      </w:r>
      <w:r w:rsidR="00162383">
        <w:t>“</w:t>
      </w:r>
      <w:r w:rsidR="00A37BBC">
        <w:t>o</w:t>
      </w:r>
      <w:r w:rsidR="003736D9" w:rsidRPr="003736D9">
        <w:t>n July</w:t>
      </w:r>
      <w:r w:rsidR="00282E83">
        <w:t> </w:t>
      </w:r>
      <w:r w:rsidR="003736D9" w:rsidRPr="003736D9">
        <w:t>19, 2024, the joint subcommittees voted out a recommendation proposing new and revised WGQ Business Practice Standards</w:t>
      </w:r>
      <w:r w:rsidR="009D5EC9">
        <w:t>.</w:t>
      </w:r>
      <w:r w:rsidR="002A5B4C">
        <w:t>”  NAESB further states that “</w:t>
      </w:r>
      <w:r w:rsidR="00EE112E">
        <w:t>[o</w:t>
      </w:r>
      <w:r w:rsidR="00924DCA">
        <w:t>]</w:t>
      </w:r>
      <w:r w:rsidR="00EE112E">
        <w:t>n</w:t>
      </w:r>
      <w:r w:rsidR="00924DCA">
        <w:t xml:space="preserve"> </w:t>
      </w:r>
      <w:r w:rsidR="00910E46">
        <w:t>October</w:t>
      </w:r>
      <w:r w:rsidR="002B3941">
        <w:t xml:space="preserve"> 24, 20</w:t>
      </w:r>
      <w:r w:rsidR="00D27BF9">
        <w:t>24, the</w:t>
      </w:r>
      <w:r w:rsidR="006108B0">
        <w:t xml:space="preserve"> NAESB W</w:t>
      </w:r>
      <w:r w:rsidR="00CD64E7">
        <w:t>GQ Executive Committee</w:t>
      </w:r>
      <w:r w:rsidR="002A5B4C">
        <w:t xml:space="preserve"> </w:t>
      </w:r>
      <w:r w:rsidR="00CD64E7">
        <w:t>voted to approve the recommendation with super majority</w:t>
      </w:r>
      <w:r w:rsidR="002A5B4C">
        <w:t xml:space="preserve"> support</w:t>
      </w:r>
      <w:r w:rsidR="00CD64E7">
        <w:t xml:space="preserve">. </w:t>
      </w:r>
      <w:r w:rsidR="00950D3D">
        <w:t xml:space="preserve"> </w:t>
      </w:r>
      <w:r w:rsidR="00CD64E7">
        <w:t>NAESB WGQ membership subsequently ratified the new and revised standards on November 25, 2024.</w:t>
      </w:r>
      <w:r w:rsidR="477C1FFC">
        <w:t>”</w:t>
      </w:r>
      <w:r w:rsidR="00CD64E7">
        <w:rPr>
          <w:rStyle w:val="FootnoteReference"/>
        </w:rPr>
        <w:footnoteReference w:id="8"/>
      </w:r>
      <w:r>
        <w:t xml:space="preserve"> </w:t>
      </w:r>
    </w:p>
    <w:p w14:paraId="0EEAC2E1" w14:textId="2DE5EEDF" w:rsidR="002715FE" w:rsidRPr="005F237A" w:rsidRDefault="002715FE" w:rsidP="00C64C9C">
      <w:pPr>
        <w:pStyle w:val="FERCparanumber"/>
      </w:pPr>
      <w:r w:rsidRPr="00DF0D3D">
        <w:t>On</w:t>
      </w:r>
      <w:r w:rsidRPr="00DF0D3D" w:rsidDel="007365B1">
        <w:t xml:space="preserve"> </w:t>
      </w:r>
      <w:r w:rsidR="008020BB">
        <w:t>December 4</w:t>
      </w:r>
      <w:r w:rsidRPr="00DF0D3D">
        <w:t>, 2024,</w:t>
      </w:r>
      <w:r w:rsidRPr="00DA14EC">
        <w:t xml:space="preserve"> NAESB</w:t>
      </w:r>
      <w:r w:rsidR="00B6658B">
        <w:t xml:space="preserve"> filed its</w:t>
      </w:r>
      <w:r w:rsidR="00CD4579">
        <w:t xml:space="preserve"> Informational Report</w:t>
      </w:r>
      <w:r w:rsidRPr="00DA14EC">
        <w:t xml:space="preserve"> informing the Commission that it had </w:t>
      </w:r>
      <w:r>
        <w:t>modified Version 4.0 of the NAESB WGQ B</w:t>
      </w:r>
      <w:r w:rsidRPr="00DA14EC">
        <w:t xml:space="preserve">usiness </w:t>
      </w:r>
      <w:r>
        <w:t>P</w:t>
      </w:r>
      <w:r w:rsidRPr="00DA14EC">
        <w:t xml:space="preserve">ractice </w:t>
      </w:r>
      <w:r>
        <w:t>S</w:t>
      </w:r>
      <w:r w:rsidRPr="00DA14EC">
        <w:t xml:space="preserve">tandards applicable to interstate natural gas pipelines.  </w:t>
      </w:r>
      <w:r w:rsidRPr="005F237A">
        <w:t xml:space="preserve">The NAESB Informational Report identifies </w:t>
      </w:r>
      <w:r w:rsidRPr="008E3155">
        <w:rPr>
          <w:snapToGrid w:val="0"/>
        </w:rPr>
        <w:t>three modifications</w:t>
      </w:r>
      <w:r w:rsidRPr="005F237A">
        <w:t xml:space="preserve"> to the WGQ Version 4.0 </w:t>
      </w:r>
      <w:r>
        <w:t>standards</w:t>
      </w:r>
      <w:bookmarkStart w:id="7" w:name="_Hlk184049671"/>
      <w:r w:rsidR="00076BB5">
        <w:t>, which</w:t>
      </w:r>
      <w:r w:rsidR="0065655C">
        <w:t xml:space="preserve"> include</w:t>
      </w:r>
      <w:r w:rsidRPr="00B77130">
        <w:t xml:space="preserve"> </w:t>
      </w:r>
      <w:r w:rsidR="0065655C">
        <w:t>one revised</w:t>
      </w:r>
      <w:r w:rsidRPr="00B77130">
        <w:t xml:space="preserve"> standard</w:t>
      </w:r>
      <w:bookmarkEnd w:id="7"/>
      <w:r w:rsidR="005F2B8A">
        <w:t xml:space="preserve"> and </w:t>
      </w:r>
      <w:r w:rsidR="005F2B8A" w:rsidRPr="00B77130">
        <w:t>two new standards</w:t>
      </w:r>
      <w:r>
        <w:t xml:space="preserve">, and </w:t>
      </w:r>
      <w:r w:rsidR="00C82C05">
        <w:t>discusses</w:t>
      </w:r>
      <w:r>
        <w:t xml:space="preserve"> </w:t>
      </w:r>
      <w:r w:rsidR="0065655C">
        <w:t xml:space="preserve">the </w:t>
      </w:r>
      <w:r>
        <w:t>deliberations that led to the changes</w:t>
      </w:r>
      <w:r w:rsidRPr="009A3DEC">
        <w:t>.</w:t>
      </w:r>
      <w:r w:rsidR="00E93B98">
        <w:t xml:space="preserve">  </w:t>
      </w:r>
      <w:r w:rsidR="00C44B7A">
        <w:t>The</w:t>
      </w:r>
      <w:r w:rsidR="00E93B98">
        <w:t xml:space="preserve"> revision </w:t>
      </w:r>
      <w:r w:rsidR="00E93B98" w:rsidRPr="00E77CD6" w:rsidDel="00FF78A3">
        <w:t>create</w:t>
      </w:r>
      <w:r w:rsidR="00E93B98" w:rsidDel="00FF78A3">
        <w:t>s</w:t>
      </w:r>
      <w:r w:rsidR="00E93B98" w:rsidRPr="00E77CD6" w:rsidDel="00FF78A3">
        <w:t xml:space="preserve"> a central location on </w:t>
      </w:r>
      <w:r w:rsidR="00E93B98">
        <w:t xml:space="preserve">pipeline </w:t>
      </w:r>
      <w:r w:rsidR="00E93B98" w:rsidRPr="00E77CD6" w:rsidDel="00FF78A3">
        <w:t>Informational Postings Web site</w:t>
      </w:r>
      <w:r w:rsidR="00E93B98">
        <w:t>s</w:t>
      </w:r>
      <w:r w:rsidR="00E93B98" w:rsidRPr="00E77CD6" w:rsidDel="00FF78A3">
        <w:t xml:space="preserve"> where transportation service provider</w:t>
      </w:r>
      <w:r w:rsidR="00E93B98">
        <w:t>s</w:t>
      </w:r>
      <w:r w:rsidR="00E93B98" w:rsidRPr="00E77CD6" w:rsidDel="00FF78A3">
        <w:t xml:space="preserve"> can post publicly available data, including scheduled quantity information</w:t>
      </w:r>
      <w:r w:rsidR="005C6201">
        <w:t xml:space="preserve">.  </w:t>
      </w:r>
      <w:r w:rsidR="0038737C">
        <w:t xml:space="preserve">This revision </w:t>
      </w:r>
      <w:r w:rsidR="00A26C4C">
        <w:t xml:space="preserve">establishes </w:t>
      </w:r>
      <w:r w:rsidR="00CA3A70">
        <w:t>a new information posting</w:t>
      </w:r>
      <w:r w:rsidR="001267F2">
        <w:t xml:space="preserve"> category</w:t>
      </w:r>
      <w:r w:rsidR="00647BC5">
        <w:t>, “Gas</w:t>
      </w:r>
      <w:r w:rsidR="00277E9F">
        <w:t xml:space="preserve"> </w:t>
      </w:r>
      <w:r w:rsidR="00647BC5">
        <w:t xml:space="preserve">Electric Coordination,” </w:t>
      </w:r>
      <w:r w:rsidR="00DC4CBC">
        <w:t xml:space="preserve">for use, when applicable, </w:t>
      </w:r>
      <w:r w:rsidR="003F674D">
        <w:t>by a transportation service provider</w:t>
      </w:r>
      <w:r w:rsidR="00E93B98" w:rsidDel="00FF78A3">
        <w:t xml:space="preserve"> </w:t>
      </w:r>
      <w:r w:rsidR="00E93B98">
        <w:t>to</w:t>
      </w:r>
      <w:r w:rsidR="00E93B98" w:rsidRPr="00EA1751" w:rsidDel="00FF78A3">
        <w:t xml:space="preserve"> help streamline the process for </w:t>
      </w:r>
      <w:r w:rsidR="008C36B8">
        <w:t xml:space="preserve">Regional </w:t>
      </w:r>
      <w:r w:rsidR="00E93B98" w:rsidRPr="00F53983" w:rsidDel="00FF78A3">
        <w:t>Transmission Organizations</w:t>
      </w:r>
      <w:r w:rsidR="00E93B98" w:rsidDel="00FF78A3">
        <w:t>/</w:t>
      </w:r>
      <w:r w:rsidR="00E93B98" w:rsidRPr="00F53983" w:rsidDel="00FF78A3">
        <w:t>Independent System Operators</w:t>
      </w:r>
      <w:r w:rsidR="00E93B98" w:rsidDel="00FF78A3">
        <w:t xml:space="preserve"> (RTO/</w:t>
      </w:r>
      <w:r w:rsidR="00E93B98" w:rsidRPr="00EA1751" w:rsidDel="00FF78A3">
        <w:t>ISO</w:t>
      </w:r>
      <w:r w:rsidR="00E93B98" w:rsidDel="00FF78A3">
        <w:t>)</w:t>
      </w:r>
      <w:r w:rsidR="00E93B98" w:rsidRPr="00EA1751" w:rsidDel="00FF78A3">
        <w:t xml:space="preserve"> and other parties accessing this data during extreme weather or emergency events.</w:t>
      </w:r>
      <w:r w:rsidR="00E40D90">
        <w:t xml:space="preserve">  </w:t>
      </w:r>
      <w:r w:rsidR="00682157">
        <w:t xml:space="preserve">One new standard </w:t>
      </w:r>
      <w:r w:rsidR="00D35D93">
        <w:t>facilitate</w:t>
      </w:r>
      <w:r w:rsidR="00BE5CF9">
        <w:t>s</w:t>
      </w:r>
      <w:r w:rsidR="00D35D93">
        <w:t xml:space="preserve"> the </w:t>
      </w:r>
      <w:r w:rsidR="00C15628">
        <w:t>posting</w:t>
      </w:r>
      <w:r w:rsidR="00C31375">
        <w:t xml:space="preserve"> </w:t>
      </w:r>
      <w:r w:rsidR="007D6B0A">
        <w:t xml:space="preserve">of </w:t>
      </w:r>
      <w:r w:rsidR="00AA0D56">
        <w:t xml:space="preserve">applicable </w:t>
      </w:r>
      <w:r w:rsidR="00AE52EB">
        <w:t xml:space="preserve">scheduled quantity information </w:t>
      </w:r>
      <w:r w:rsidR="008F28AA">
        <w:t xml:space="preserve">for power plants </w:t>
      </w:r>
      <w:r w:rsidR="00FB39F2">
        <w:t xml:space="preserve">that are directly connected to the pipeline </w:t>
      </w:r>
      <w:r w:rsidR="00141053">
        <w:t xml:space="preserve">as part of the </w:t>
      </w:r>
      <w:r w:rsidR="0064221A">
        <w:t xml:space="preserve">“Gas Electric Coordination” category.  </w:t>
      </w:r>
      <w:r w:rsidR="002A2669">
        <w:t xml:space="preserve">The second new standard </w:t>
      </w:r>
      <w:r w:rsidR="000F2039">
        <w:t xml:space="preserve">supports the inclusion of </w:t>
      </w:r>
      <w:r w:rsidR="00436BCE">
        <w:t xml:space="preserve">the </w:t>
      </w:r>
      <w:r w:rsidR="00C44B7A">
        <w:t xml:space="preserve">geographic information </w:t>
      </w:r>
      <w:r w:rsidR="00A23D81">
        <w:t xml:space="preserve">of impacted </w:t>
      </w:r>
      <w:r w:rsidR="00C44B7A">
        <w:lastRenderedPageBreak/>
        <w:t xml:space="preserve">area(s), </w:t>
      </w:r>
      <w:r w:rsidR="00002946">
        <w:t xml:space="preserve">location(s), </w:t>
      </w:r>
      <w:r w:rsidR="00C44B7A">
        <w:t>and/or pipeline facilit</w:t>
      </w:r>
      <w:r w:rsidR="005C1C6D">
        <w:t>y</w:t>
      </w:r>
      <w:r w:rsidR="00C44B7A">
        <w:t>(</w:t>
      </w:r>
      <w:proofErr w:type="spellStart"/>
      <w:r w:rsidR="00C44B7A">
        <w:t>ies</w:t>
      </w:r>
      <w:proofErr w:type="spellEnd"/>
      <w:r w:rsidR="00C44B7A">
        <w:t xml:space="preserve">) </w:t>
      </w:r>
      <w:r w:rsidR="00AC6DA8">
        <w:t xml:space="preserve">by a transportation service provider </w:t>
      </w:r>
      <w:r w:rsidR="00826028">
        <w:t>when issuing a critical notice.</w:t>
      </w:r>
      <w:r w:rsidR="00BC67B5" w:rsidRPr="001E2DC5">
        <w:t xml:space="preserve">  </w:t>
      </w:r>
      <w:r w:rsidR="00D0454A">
        <w:t>P</w:t>
      </w:r>
      <w:r w:rsidR="00EF4777" w:rsidRPr="001E2DC5">
        <w:t xml:space="preserve">ipelines </w:t>
      </w:r>
      <w:r w:rsidR="003E413D">
        <w:t>are currently required to</w:t>
      </w:r>
      <w:r w:rsidR="003E413D" w:rsidRPr="001E2DC5">
        <w:t xml:space="preserve"> </w:t>
      </w:r>
      <w:r w:rsidR="00EF4777" w:rsidRPr="001E2DC5">
        <w:t xml:space="preserve">make </w:t>
      </w:r>
      <w:r w:rsidR="00EF4777" w:rsidRPr="00072373">
        <w:t>th</w:t>
      </w:r>
      <w:r w:rsidR="00E426A2" w:rsidRPr="00072373">
        <w:t xml:space="preserve">is </w:t>
      </w:r>
      <w:r w:rsidR="00EF4777" w:rsidRPr="00072373">
        <w:t>information</w:t>
      </w:r>
      <w:r w:rsidR="00EF4777" w:rsidRPr="001E2DC5">
        <w:t xml:space="preserve"> available through </w:t>
      </w:r>
      <w:r w:rsidR="000711B6">
        <w:t xml:space="preserve">computer-to-computer </w:t>
      </w:r>
      <w:r w:rsidR="00EF4777" w:rsidRPr="001E2DC5">
        <w:t>electronic data interchang</w:t>
      </w:r>
      <w:r w:rsidR="007E7002" w:rsidRPr="001E2DC5">
        <w:t>e</w:t>
      </w:r>
      <w:r w:rsidR="000711B6">
        <w:t xml:space="preserve"> in addition to other batch file downloadable formats they may provide</w:t>
      </w:r>
      <w:r w:rsidR="007E7002" w:rsidRPr="001E2DC5">
        <w:t>.</w:t>
      </w:r>
      <w:r w:rsidR="00D0454A" w:rsidRPr="001E2DC5">
        <w:rPr>
          <w:rStyle w:val="FootnoteReference"/>
        </w:rPr>
        <w:footnoteReference w:id="9"/>
      </w:r>
      <w:r w:rsidR="00481283">
        <w:t xml:space="preserve"> </w:t>
      </w:r>
    </w:p>
    <w:p w14:paraId="5F42FC37" w14:textId="77777777" w:rsidR="002715FE" w:rsidRPr="00B61165" w:rsidRDefault="002715FE" w:rsidP="002715FE">
      <w:pPr>
        <w:pStyle w:val="Heading1"/>
      </w:pPr>
      <w:bookmarkStart w:id="8" w:name="_bmk3"/>
      <w:r w:rsidRPr="00F86749">
        <w:t>D</w:t>
      </w:r>
      <w:bookmarkEnd w:id="8"/>
      <w:r w:rsidRPr="00F86749">
        <w:t>iscussion</w:t>
      </w:r>
    </w:p>
    <w:p w14:paraId="27D2B8F3" w14:textId="7F556C13" w:rsidR="002715FE" w:rsidRPr="001B754D" w:rsidRDefault="002715FE" w:rsidP="002715FE">
      <w:pPr>
        <w:pStyle w:val="FERCparanumber"/>
      </w:pPr>
      <w:r w:rsidRPr="15BD7FD7">
        <w:t xml:space="preserve">In this </w:t>
      </w:r>
      <w:r>
        <w:t>n</w:t>
      </w:r>
      <w:r w:rsidRPr="00230248">
        <w:t xml:space="preserve">otice of </w:t>
      </w:r>
      <w:r>
        <w:t>p</w:t>
      </w:r>
      <w:r w:rsidRPr="00230248">
        <w:t xml:space="preserve">roposed </w:t>
      </w:r>
      <w:r>
        <w:t>r</w:t>
      </w:r>
      <w:r w:rsidRPr="00230248">
        <w:t xml:space="preserve">ulemaking </w:t>
      </w:r>
      <w:r>
        <w:t>(</w:t>
      </w:r>
      <w:r w:rsidRPr="15BD7FD7">
        <w:t>NOPR</w:t>
      </w:r>
      <w:r>
        <w:t>)</w:t>
      </w:r>
      <w:r w:rsidRPr="15BD7FD7">
        <w:t xml:space="preserve">, we propose to incorporate by reference in our regulations </w:t>
      </w:r>
      <w:r w:rsidR="0065099E">
        <w:t xml:space="preserve">the </w:t>
      </w:r>
      <w:r w:rsidR="006C1ACF">
        <w:t xml:space="preserve">three </w:t>
      </w:r>
      <w:r>
        <w:t xml:space="preserve">modifications to </w:t>
      </w:r>
      <w:r w:rsidRPr="00557B5B">
        <w:t>Version 4.0 of the NAESB WGQ consensus business practice standards</w:t>
      </w:r>
      <w:r>
        <w:t>.</w:t>
      </w:r>
      <w:r w:rsidRPr="00557B5B">
        <w:rPr>
          <w:szCs w:val="26"/>
        </w:rPr>
        <w:t xml:space="preserve"> </w:t>
      </w:r>
      <w:r w:rsidRPr="00557B5B">
        <w:t xml:space="preserve"> </w:t>
      </w:r>
      <w:r w:rsidRPr="00557B5B">
        <w:rPr>
          <w:szCs w:val="26"/>
        </w:rPr>
        <w:t xml:space="preserve">As an initial matter, we note that the </w:t>
      </w:r>
      <w:r>
        <w:rPr>
          <w:szCs w:val="26"/>
        </w:rPr>
        <w:t>modified</w:t>
      </w:r>
      <w:r w:rsidRPr="00557B5B">
        <w:rPr>
          <w:szCs w:val="26"/>
        </w:rPr>
        <w:t xml:space="preserve"> WGQ Version 4.0 standards</w:t>
      </w:r>
      <w:r w:rsidRPr="004558E7">
        <w:rPr>
          <w:szCs w:val="26"/>
        </w:rPr>
        <w:t xml:space="preserve"> include </w:t>
      </w:r>
      <w:r>
        <w:rPr>
          <w:szCs w:val="26"/>
        </w:rPr>
        <w:t xml:space="preserve">two new standards and </w:t>
      </w:r>
      <w:r w:rsidR="0065655C">
        <w:rPr>
          <w:szCs w:val="26"/>
        </w:rPr>
        <w:t>one revised</w:t>
      </w:r>
      <w:r>
        <w:rPr>
          <w:szCs w:val="26"/>
        </w:rPr>
        <w:t xml:space="preserve"> standard</w:t>
      </w:r>
      <w:r w:rsidRPr="004558E7">
        <w:rPr>
          <w:szCs w:val="26"/>
        </w:rPr>
        <w:t xml:space="preserve"> to the following set</w:t>
      </w:r>
      <w:r w:rsidR="0065655C">
        <w:rPr>
          <w:szCs w:val="26"/>
        </w:rPr>
        <w:t>s</w:t>
      </w:r>
      <w:r w:rsidRPr="004558E7">
        <w:rPr>
          <w:szCs w:val="26"/>
        </w:rPr>
        <w:t xml:space="preserve"> of existing </w:t>
      </w:r>
      <w:r w:rsidRPr="00557B5B">
        <w:rPr>
          <w:szCs w:val="26"/>
        </w:rPr>
        <w:t xml:space="preserve">Version 4.0 </w:t>
      </w:r>
      <w:r w:rsidR="00585D8A">
        <w:rPr>
          <w:szCs w:val="26"/>
        </w:rPr>
        <w:t xml:space="preserve">WGQ </w:t>
      </w:r>
      <w:r w:rsidRPr="00557B5B">
        <w:rPr>
          <w:szCs w:val="26"/>
        </w:rPr>
        <w:t>Business</w:t>
      </w:r>
      <w:r w:rsidRPr="00A44412">
        <w:rPr>
          <w:szCs w:val="26"/>
        </w:rPr>
        <w:t xml:space="preserve"> Practice Standards.  Each set of Business Practice Standards is </w:t>
      </w:r>
      <w:r>
        <w:rPr>
          <w:szCs w:val="26"/>
        </w:rPr>
        <w:t xml:space="preserve">hereafter </w:t>
      </w:r>
      <w:r w:rsidRPr="00A44412">
        <w:rPr>
          <w:szCs w:val="26"/>
        </w:rPr>
        <w:t xml:space="preserve">referred to as a </w:t>
      </w:r>
      <w:r w:rsidR="0065655C">
        <w:rPr>
          <w:szCs w:val="26"/>
        </w:rPr>
        <w:t>“</w:t>
      </w:r>
      <w:r w:rsidRPr="00A44412">
        <w:rPr>
          <w:szCs w:val="26"/>
        </w:rPr>
        <w:t>manual</w:t>
      </w:r>
      <w:r w:rsidR="0065655C">
        <w:rPr>
          <w:szCs w:val="26"/>
        </w:rPr>
        <w:t>.”</w:t>
      </w:r>
    </w:p>
    <w:tbl>
      <w:tblPr>
        <w:tblStyle w:val="TableGrid"/>
        <w:tblW w:w="918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8010"/>
      </w:tblGrid>
      <w:tr w:rsidR="002715FE" w:rsidRPr="0062757C" w14:paraId="2D6CD7E2" w14:textId="77777777" w:rsidTr="00C64C9C">
        <w:tc>
          <w:tcPr>
            <w:tcW w:w="1172" w:type="dxa"/>
          </w:tcPr>
          <w:p w14:paraId="5A0E1C7D" w14:textId="77777777" w:rsidR="002715FE" w:rsidRPr="00C13EEC" w:rsidRDefault="002715FE" w:rsidP="00C64C9C">
            <w:pPr>
              <w:rPr>
                <w:b/>
                <w:bCs/>
              </w:rPr>
            </w:pPr>
            <w:r>
              <w:rPr>
                <w:b/>
                <w:bCs/>
              </w:rPr>
              <w:t>Manual</w:t>
            </w:r>
          </w:p>
        </w:tc>
        <w:tc>
          <w:tcPr>
            <w:tcW w:w="8010" w:type="dxa"/>
          </w:tcPr>
          <w:p w14:paraId="6A67DBEC" w14:textId="77777777" w:rsidR="002715FE" w:rsidRPr="00C13EEC" w:rsidRDefault="002715FE" w:rsidP="00C64C9C">
            <w:pPr>
              <w:rPr>
                <w:rFonts w:eastAsiaTheme="minorHAnsi"/>
                <w:b/>
                <w:bCs/>
              </w:rPr>
            </w:pPr>
            <w:r w:rsidRPr="00C13EEC">
              <w:rPr>
                <w:rFonts w:eastAsiaTheme="minorHAnsi"/>
                <w:b/>
                <w:bCs/>
              </w:rPr>
              <w:t>Business Practice Standards</w:t>
            </w:r>
          </w:p>
        </w:tc>
      </w:tr>
      <w:tr w:rsidR="002715FE" w:rsidRPr="0062757C" w14:paraId="3D755350" w14:textId="77777777" w:rsidTr="00C64C9C">
        <w:tc>
          <w:tcPr>
            <w:tcW w:w="1172" w:type="dxa"/>
          </w:tcPr>
          <w:p w14:paraId="43A2C933" w14:textId="77777777" w:rsidR="002715FE" w:rsidRDefault="002715FE" w:rsidP="00C64C9C">
            <w:r>
              <w:t>0</w:t>
            </w:r>
          </w:p>
        </w:tc>
        <w:tc>
          <w:tcPr>
            <w:tcW w:w="8010" w:type="dxa"/>
          </w:tcPr>
          <w:p w14:paraId="570D8A09" w14:textId="3966F495" w:rsidR="002715FE" w:rsidRPr="001F4EFE" w:rsidRDefault="002715FE" w:rsidP="00C64C9C">
            <w:r>
              <w:t>Additional Standards</w:t>
            </w:r>
          </w:p>
        </w:tc>
      </w:tr>
      <w:tr w:rsidR="002715FE" w:rsidRPr="0062757C" w14:paraId="5AE24048" w14:textId="77777777" w:rsidTr="00C64C9C">
        <w:tc>
          <w:tcPr>
            <w:tcW w:w="1172" w:type="dxa"/>
          </w:tcPr>
          <w:p w14:paraId="5909E7F2" w14:textId="77777777" w:rsidR="002715FE" w:rsidRDefault="002715FE" w:rsidP="00C64C9C">
            <w:r>
              <w:t>4</w:t>
            </w:r>
          </w:p>
        </w:tc>
        <w:tc>
          <w:tcPr>
            <w:tcW w:w="8010" w:type="dxa"/>
          </w:tcPr>
          <w:p w14:paraId="6C141E7B" w14:textId="28191B13" w:rsidR="002715FE" w:rsidRPr="001F4EFE" w:rsidRDefault="002715FE" w:rsidP="00C64C9C">
            <w:bookmarkStart w:id="9" w:name="_Hlk184219826"/>
            <w:r>
              <w:rPr>
                <w:rFonts w:eastAsiaTheme="minorHAnsi"/>
              </w:rPr>
              <w:t>Quadrant Electronic Delivery Mechanism Related Standards</w:t>
            </w:r>
            <w:bookmarkEnd w:id="9"/>
          </w:p>
        </w:tc>
      </w:tr>
      <w:tr w:rsidR="002715FE" w:rsidRPr="0062757C" w14:paraId="7F091445" w14:textId="77777777" w:rsidTr="00C64C9C">
        <w:tc>
          <w:tcPr>
            <w:tcW w:w="1172" w:type="dxa"/>
          </w:tcPr>
          <w:p w14:paraId="34C8DDB4" w14:textId="77777777" w:rsidR="002715FE" w:rsidRPr="001F4EFE" w:rsidRDefault="002715FE" w:rsidP="00C64C9C">
            <w:r>
              <w:t>5</w:t>
            </w:r>
          </w:p>
        </w:tc>
        <w:tc>
          <w:tcPr>
            <w:tcW w:w="8010" w:type="dxa"/>
          </w:tcPr>
          <w:p w14:paraId="18EE0A2D" w14:textId="0B7D8094" w:rsidR="002715FE" w:rsidRPr="001F4EFE" w:rsidRDefault="002715FE" w:rsidP="00C64C9C">
            <w:bookmarkStart w:id="10" w:name="_Hlk184219898"/>
            <w:r w:rsidRPr="001F4EFE">
              <w:t>Capacity Release Related Standards</w:t>
            </w:r>
          </w:p>
        </w:tc>
      </w:tr>
      <w:bookmarkEnd w:id="10"/>
    </w:tbl>
    <w:p w14:paraId="1A5B968D" w14:textId="77777777" w:rsidR="002715FE" w:rsidRDefault="002715FE" w:rsidP="002715FE">
      <w:pPr>
        <w:pStyle w:val="FERCparanumber"/>
        <w:numPr>
          <w:ilvl w:val="0"/>
          <w:numId w:val="0"/>
        </w:numPr>
      </w:pPr>
    </w:p>
    <w:p w14:paraId="1980DFA2" w14:textId="5B5ABC5F" w:rsidR="002715FE" w:rsidRPr="00260EFA" w:rsidRDefault="002715FE" w:rsidP="00935DC5">
      <w:pPr>
        <w:pStyle w:val="FERCparanumber"/>
        <w:numPr>
          <w:ilvl w:val="0"/>
          <w:numId w:val="0"/>
        </w:numPr>
      </w:pPr>
      <w:r w:rsidRPr="15BD7FD7">
        <w:t xml:space="preserve">We propose that </w:t>
      </w:r>
      <w:r w:rsidRPr="00B436EB">
        <w:t>compliance filings</w:t>
      </w:r>
      <w:r w:rsidRPr="15BD7FD7">
        <w:t xml:space="preserve"> </w:t>
      </w:r>
      <w:r w:rsidR="00EE07F6">
        <w:t xml:space="preserve">to revise pipeline tariffs to reflect the changes </w:t>
      </w:r>
      <w:r w:rsidRPr="15BD7FD7">
        <w:t xml:space="preserve">in accordance with a final rule be </w:t>
      </w:r>
      <w:r w:rsidR="00855289">
        <w:t xml:space="preserve">filed with the Commission </w:t>
      </w:r>
      <w:r w:rsidR="004A1474">
        <w:t xml:space="preserve">no later than </w:t>
      </w:r>
      <w:r w:rsidRPr="15BD7FD7">
        <w:t xml:space="preserve">120 days after </w:t>
      </w:r>
      <w:r w:rsidR="008D6E34">
        <w:t xml:space="preserve">the Commission </w:t>
      </w:r>
      <w:r w:rsidRPr="15BD7FD7">
        <w:t>issu</w:t>
      </w:r>
      <w:r w:rsidR="008D6E34">
        <w:t>es</w:t>
      </w:r>
      <w:r w:rsidRPr="15BD7FD7">
        <w:t xml:space="preserve"> a final rule in this proceeding or, if the compliance filing date falls on a weekend or holiday, on the first business day thereafter, with a</w:t>
      </w:r>
      <w:r w:rsidR="00935DC5">
        <w:t xml:space="preserve"> proposed </w:t>
      </w:r>
      <w:r w:rsidRPr="15BD7FD7">
        <w:t>effective date</w:t>
      </w:r>
      <w:bookmarkStart w:id="11" w:name="_Toc160607337"/>
      <w:bookmarkStart w:id="12" w:name="_Toc160724643"/>
      <w:r w:rsidR="00802184">
        <w:t xml:space="preserve"> </w:t>
      </w:r>
      <w:r w:rsidRPr="15BD7FD7">
        <w:t>180 days from the date compliance filings are due in this proceeding</w:t>
      </w:r>
      <w:r w:rsidR="00E87CA6">
        <w:t>.</w:t>
      </w:r>
      <w:r w:rsidR="00E87CA6" w:rsidRPr="15BD7FD7" w:rsidDel="00E87CA6">
        <w:t xml:space="preserve"> </w:t>
      </w:r>
    </w:p>
    <w:p w14:paraId="00100B7E" w14:textId="77777777" w:rsidR="002715FE" w:rsidRDefault="002715FE" w:rsidP="002715FE">
      <w:pPr>
        <w:pStyle w:val="FERCparanumber"/>
      </w:pPr>
      <w:r>
        <w:lastRenderedPageBreak/>
        <w:t xml:space="preserve">We discuss below some specific aspects of </w:t>
      </w:r>
      <w:r w:rsidRPr="009A0BCA">
        <w:t>NAESB’s Informational Report.</w:t>
      </w:r>
    </w:p>
    <w:p w14:paraId="029598C0" w14:textId="77777777" w:rsidR="002715FE" w:rsidRPr="009A0BCA" w:rsidRDefault="002715FE" w:rsidP="002715FE">
      <w:pPr>
        <w:pStyle w:val="Heading2"/>
        <w:rPr>
          <w:u w:val="single"/>
        </w:rPr>
      </w:pPr>
      <w:bookmarkStart w:id="13" w:name="_bmk4"/>
      <w:bookmarkStart w:id="14" w:name="_Toc52890000"/>
      <w:bookmarkStart w:id="15" w:name="_Toc160607336"/>
      <w:bookmarkStart w:id="16" w:name="_Toc160724642"/>
      <w:r w:rsidRPr="009A0BCA">
        <w:rPr>
          <w:u w:val="single"/>
        </w:rPr>
        <w:t>M</w:t>
      </w:r>
      <w:bookmarkEnd w:id="13"/>
      <w:r w:rsidRPr="009A0BCA">
        <w:rPr>
          <w:u w:val="single"/>
        </w:rPr>
        <w:t>odifications to Version 4.0 of Business Practice Standards</w:t>
      </w:r>
      <w:bookmarkEnd w:id="14"/>
      <w:bookmarkEnd w:id="15"/>
      <w:bookmarkEnd w:id="16"/>
    </w:p>
    <w:p w14:paraId="61E2E028" w14:textId="34EA3C1D" w:rsidR="002715FE" w:rsidRPr="002715FE" w:rsidRDefault="002715FE" w:rsidP="00C64C9C">
      <w:pPr>
        <w:pStyle w:val="FERCparanumber"/>
        <w:rPr>
          <w:u w:val="single"/>
        </w:rPr>
      </w:pPr>
      <w:r w:rsidRPr="009A0BCA">
        <w:t xml:space="preserve">NAESB uses its consensus </w:t>
      </w:r>
      <w:r w:rsidR="00F52946">
        <w:t>process</w:t>
      </w:r>
      <w:r w:rsidRPr="009A0BCA">
        <w:t xml:space="preserve"> to develop and approve WGQ business practice standards.  As the Commission found in</w:t>
      </w:r>
      <w:r w:rsidR="0046160C">
        <w:t xml:space="preserve"> the</w:t>
      </w:r>
      <w:r w:rsidRPr="009A0BCA">
        <w:t xml:space="preserve"> Order No. 587 series of orders,</w:t>
      </w:r>
      <w:r w:rsidRPr="00932257" w:rsidDel="00674C01">
        <w:t xml:space="preserve"> </w:t>
      </w:r>
      <w:r w:rsidR="00674C01">
        <w:t>incorporation by reference</w:t>
      </w:r>
      <w:r w:rsidR="00674C01" w:rsidRPr="00932257">
        <w:t xml:space="preserve"> </w:t>
      </w:r>
      <w:r w:rsidRPr="00932257">
        <w:t xml:space="preserve">of consensus standards is appropriate, </w:t>
      </w:r>
      <w:r w:rsidRPr="005670DB">
        <w:t>because the consensus process helps ensure the reasonableness</w:t>
      </w:r>
      <w:r w:rsidRPr="00932257">
        <w:t xml:space="preserve"> of the standards by requiring that the standards draw support from a broad spectrum of industry participants representing all segments of the industry.  Moreover, because the industry conducts business under these standards, </w:t>
      </w:r>
      <w:r w:rsidRPr="005670DB">
        <w:t xml:space="preserve">the Commission </w:t>
      </w:r>
      <w:r w:rsidR="00D67AA5">
        <w:t xml:space="preserve">has found value in </w:t>
      </w:r>
      <w:r w:rsidR="00FC73B3">
        <w:t xml:space="preserve">incorporating </w:t>
      </w:r>
      <w:r w:rsidRPr="005670DB">
        <w:t>standards that have the widest possible support</w:t>
      </w:r>
      <w:r w:rsidRPr="00932257">
        <w:t>.  In section 12(d) of the National Technology Transfer and Advancement Act of 1995,</w:t>
      </w:r>
      <w:r>
        <w:rPr>
          <w:rStyle w:val="FootnoteReference"/>
        </w:rPr>
        <w:footnoteReference w:id="10"/>
      </w:r>
      <w:r w:rsidRPr="00932257">
        <w:t xml:space="preserve"> Congress affirmatively requires federal agencies to </w:t>
      </w:r>
      <w:r w:rsidRPr="005670DB">
        <w:t>use technical standards developed by voluntary consensus standards organizations, like NAESB, to</w:t>
      </w:r>
      <w:r w:rsidRPr="00932257">
        <w:t xml:space="preserve"> carry out policy objectives or activities.</w:t>
      </w:r>
    </w:p>
    <w:p w14:paraId="5F23F37E" w14:textId="7AB90E5E" w:rsidR="002715FE" w:rsidRPr="00846573" w:rsidRDefault="002715FE" w:rsidP="002715FE">
      <w:pPr>
        <w:pStyle w:val="Heading3"/>
        <w:rPr>
          <w:u w:val="single"/>
        </w:rPr>
      </w:pPr>
      <w:bookmarkStart w:id="17" w:name="_Toc52890003"/>
      <w:bookmarkStart w:id="18" w:name="_Toc160607338"/>
      <w:bookmarkStart w:id="19" w:name="_Toc160724644"/>
      <w:bookmarkStart w:id="20" w:name="_bmk5"/>
      <w:bookmarkEnd w:id="11"/>
      <w:bookmarkEnd w:id="12"/>
      <w:bookmarkEnd w:id="17"/>
      <w:bookmarkEnd w:id="18"/>
      <w:bookmarkEnd w:id="19"/>
      <w:r w:rsidRPr="00846573">
        <w:rPr>
          <w:u w:val="single"/>
        </w:rPr>
        <w:t>W</w:t>
      </w:r>
      <w:bookmarkEnd w:id="20"/>
      <w:r w:rsidRPr="00846573">
        <w:rPr>
          <w:u w:val="single"/>
        </w:rPr>
        <w:t xml:space="preserve">GQ </w:t>
      </w:r>
      <w:r w:rsidRPr="00846573">
        <w:rPr>
          <w:rFonts w:eastAsiaTheme="minorHAnsi"/>
          <w:u w:val="single"/>
        </w:rPr>
        <w:t>Additional</w:t>
      </w:r>
      <w:r>
        <w:rPr>
          <w:rFonts w:eastAsiaTheme="minorHAnsi"/>
          <w:u w:val="single"/>
        </w:rPr>
        <w:t xml:space="preserve"> </w:t>
      </w:r>
      <w:r w:rsidRPr="00846573">
        <w:rPr>
          <w:rFonts w:eastAsiaTheme="minorHAnsi"/>
          <w:u w:val="single"/>
        </w:rPr>
        <w:t>Standards</w:t>
      </w:r>
    </w:p>
    <w:p w14:paraId="0D6907D8" w14:textId="394CEA5F" w:rsidR="00C76670" w:rsidRDefault="002715FE" w:rsidP="00C76670">
      <w:pPr>
        <w:pStyle w:val="FERCparanumber"/>
      </w:pPr>
      <w:r w:rsidRPr="00846573" w:rsidDel="008E53FE">
        <w:t xml:space="preserve">The modified WGQ Version 4.0 added </w:t>
      </w:r>
      <w:r w:rsidR="00D20B33">
        <w:t>a</w:t>
      </w:r>
      <w:r w:rsidRPr="00846573" w:rsidDel="008E53FE">
        <w:t xml:space="preserve"> new standard</w:t>
      </w:r>
      <w:r>
        <w:t>, WGQ Standard No. 0.3.30</w:t>
      </w:r>
      <w:r w:rsidR="00D62D9E">
        <w:t>,</w:t>
      </w:r>
      <w:r>
        <w:t xml:space="preserve"> </w:t>
      </w:r>
      <w:r w:rsidR="009D16B2">
        <w:t>to</w:t>
      </w:r>
      <w:r>
        <w:t xml:space="preserve"> the Additional Standards</w:t>
      </w:r>
      <w:r w:rsidR="00FF519F">
        <w:t xml:space="preserve"> manual</w:t>
      </w:r>
      <w:r>
        <w:t>,</w:t>
      </w:r>
      <w:r w:rsidRPr="00846573" w:rsidDel="008E53FE">
        <w:t xml:space="preserve"> </w:t>
      </w:r>
      <w:r w:rsidR="002727D0">
        <w:t>w</w:t>
      </w:r>
      <w:r w:rsidR="009E335F">
        <w:t xml:space="preserve">hich </w:t>
      </w:r>
      <w:r w:rsidR="00EA1121">
        <w:t>supports</w:t>
      </w:r>
      <w:r w:rsidR="004934DA">
        <w:t xml:space="preserve"> </w:t>
      </w:r>
      <w:r w:rsidRPr="00846573" w:rsidDel="008E53FE">
        <w:t xml:space="preserve">a </w:t>
      </w:r>
      <w:r w:rsidR="00B51A3D">
        <w:t>na</w:t>
      </w:r>
      <w:r w:rsidR="00F4710A">
        <w:t xml:space="preserve">tural gas </w:t>
      </w:r>
      <w:r w:rsidRPr="00846573" w:rsidDel="008E53FE">
        <w:t xml:space="preserve">transportation service provider </w:t>
      </w:r>
      <w:r w:rsidR="00E64A0C">
        <w:t>in posting</w:t>
      </w:r>
      <w:r w:rsidRPr="00846573" w:rsidDel="008E53FE">
        <w:t xml:space="preserve"> scheduled quantity information for </w:t>
      </w:r>
      <w:r w:rsidR="00671E30">
        <w:t xml:space="preserve">power plants </w:t>
      </w:r>
      <w:r w:rsidRPr="00846573" w:rsidDel="008E53FE">
        <w:t xml:space="preserve">directly connected </w:t>
      </w:r>
      <w:r w:rsidR="00671E30">
        <w:t>to the pipeline</w:t>
      </w:r>
      <w:r>
        <w:t>,</w:t>
      </w:r>
      <w:r w:rsidRPr="00846573" w:rsidDel="008E53FE">
        <w:t xml:space="preserve"> as part of the </w:t>
      </w:r>
      <w:r>
        <w:t xml:space="preserve">newly established </w:t>
      </w:r>
      <w:r w:rsidRPr="00846573" w:rsidDel="008E53FE">
        <w:t>Gas Electric Coordination category.</w:t>
      </w:r>
      <w:r w:rsidDel="008E53FE">
        <w:t xml:space="preserve">  </w:t>
      </w:r>
      <w:r w:rsidRPr="00846573" w:rsidDel="008E53FE">
        <w:t xml:space="preserve">WGQ Standard No. </w:t>
      </w:r>
      <w:r>
        <w:t>0</w:t>
      </w:r>
      <w:r w:rsidRPr="00846573" w:rsidDel="008E53FE">
        <w:t>.3.</w:t>
      </w:r>
      <w:r>
        <w:t>30</w:t>
      </w:r>
      <w:r w:rsidDel="008E53FE">
        <w:t xml:space="preserve"> identifie</w:t>
      </w:r>
      <w:r w:rsidR="00D456DA">
        <w:t>s</w:t>
      </w:r>
      <w:r w:rsidDel="008E53FE">
        <w:t xml:space="preserve"> examples of the data that could be </w:t>
      </w:r>
      <w:r w:rsidR="009135F4">
        <w:t>posted</w:t>
      </w:r>
      <w:r w:rsidDel="008E53FE">
        <w:t xml:space="preserve"> in the new category</w:t>
      </w:r>
      <w:r w:rsidR="00D456DA">
        <w:t>,</w:t>
      </w:r>
      <w:r w:rsidDel="008E53FE">
        <w:t xml:space="preserve"> includ</w:t>
      </w:r>
      <w:r w:rsidR="00D456DA">
        <w:t>ing</w:t>
      </w:r>
      <w:r w:rsidDel="008E53FE">
        <w:t xml:space="preserve"> </w:t>
      </w:r>
      <w:r w:rsidRPr="00846573" w:rsidDel="008E53FE">
        <w:t>Cycle Indicator (Cycle)</w:t>
      </w:r>
      <w:r w:rsidR="00C76670">
        <w:t xml:space="preserve"> </w:t>
      </w:r>
      <w:r w:rsidR="00C76670" w:rsidRPr="0025401B">
        <w:t xml:space="preserve">which are the specific </w:t>
      </w:r>
      <w:r w:rsidR="00C76670">
        <w:t xml:space="preserve">times </w:t>
      </w:r>
      <w:r w:rsidR="00C76670" w:rsidRPr="0025401B">
        <w:lastRenderedPageBreak/>
        <w:t xml:space="preserve">throughout the gas day for </w:t>
      </w:r>
      <w:r w:rsidR="00C76670">
        <w:t xml:space="preserve">shippers to submit </w:t>
      </w:r>
      <w:r w:rsidR="00C76670" w:rsidRPr="0025401B">
        <w:t xml:space="preserve">nomination requests for natural gas transportation.  According to existing NAESB standard provisions, </w:t>
      </w:r>
      <w:r w:rsidR="00C76670" w:rsidRPr="003B56FE">
        <w:t>“</w:t>
      </w:r>
      <w:r w:rsidR="00C76670" w:rsidRPr="0025401B">
        <w:t>Cycle</w:t>
      </w:r>
      <w:r w:rsidR="00C76670" w:rsidRPr="003B56FE">
        <w:t>”</w:t>
      </w:r>
      <w:r w:rsidR="00C76670" w:rsidRPr="0025401B">
        <w:t xml:space="preserve"> </w:t>
      </w:r>
      <w:r w:rsidR="002F1D92">
        <w:t>w</w:t>
      </w:r>
      <w:r w:rsidR="00C76670" w:rsidRPr="00C76670">
        <w:t>ould include each of the five standard daily nominations cycles</w:t>
      </w:r>
      <w:r w:rsidR="008237BF">
        <w:t xml:space="preserve"> (</w:t>
      </w:r>
      <w:r w:rsidR="00C76670" w:rsidRPr="00C76670">
        <w:t>Timely,</w:t>
      </w:r>
      <w:r w:rsidR="004373C5">
        <w:t xml:space="preserve"> Evening, Intraday 1, Intraday 2</w:t>
      </w:r>
      <w:r w:rsidR="00AA6784">
        <w:t xml:space="preserve">, and Intraday </w:t>
      </w:r>
      <w:r w:rsidR="00A050FA">
        <w:t>3)</w:t>
      </w:r>
      <w:r w:rsidR="00C76670" w:rsidRPr="00C76670">
        <w:t xml:space="preserve"> or </w:t>
      </w:r>
      <w:r w:rsidR="00A868A7">
        <w:t xml:space="preserve">additional </w:t>
      </w:r>
      <w:r w:rsidR="00C76670" w:rsidRPr="00C76670">
        <w:t>transportation service provider defined cycles.</w:t>
      </w:r>
      <w:r w:rsidR="00C76670" w:rsidRPr="0025401B">
        <w:t xml:space="preserve">  </w:t>
      </w:r>
      <w:r w:rsidR="00C76670" w:rsidRPr="001349E4">
        <w:t>WGQ</w:t>
      </w:r>
      <w:r w:rsidR="00C76670" w:rsidRPr="0025401B">
        <w:t xml:space="preserve"> Standard 0.3.30 also </w:t>
      </w:r>
      <w:r w:rsidR="00C76670">
        <w:t>includes the</w:t>
      </w:r>
      <w:r w:rsidRPr="00846573" w:rsidDel="008E53FE">
        <w:t xml:space="preserve"> Effective Gas Day (Eff Gas Day), </w:t>
      </w:r>
      <w:r w:rsidR="00C76670">
        <w:t xml:space="preserve">which is the Gas Day for which the information is applicable, beginning at 9AM Central Clock Time and ending 9AM Central Clock Time the next day.  It also includes the Effective Time (Eff Time), the time for which the posted information is applicable, which may be subsequent to the posting.  </w:t>
      </w:r>
    </w:p>
    <w:p w14:paraId="338ADD1B" w14:textId="0115C4F1" w:rsidR="00C76670" w:rsidRDefault="00C76670" w:rsidP="00C76670">
      <w:pPr>
        <w:pStyle w:val="FERCparanumber"/>
      </w:pPr>
      <w:r>
        <w:t xml:space="preserve">Additionally, WGQ Standard No. 0.3.30 also includes </w:t>
      </w:r>
      <w:r w:rsidR="008E23C0">
        <w:t>fields</w:t>
      </w:r>
      <w:r>
        <w:t xml:space="preserve"> describing the applicable generators’ locations including the </w:t>
      </w:r>
      <w:r w:rsidR="00F95766">
        <w:t xml:space="preserve">generator’s </w:t>
      </w:r>
      <w:r w:rsidR="0030718C">
        <w:t>l</w:t>
      </w:r>
      <w:r w:rsidR="002715FE" w:rsidRPr="00846573" w:rsidDel="008E53FE">
        <w:t>ocation (Loc),</w:t>
      </w:r>
      <w:r>
        <w:t xml:space="preserve"> </w:t>
      </w:r>
      <w:r w:rsidRPr="00C76670">
        <w:t xml:space="preserve">which </w:t>
      </w:r>
      <w:r w:rsidR="00C0281F">
        <w:t xml:space="preserve">may </w:t>
      </w:r>
      <w:r w:rsidR="00BD63E5">
        <w:t>be the</w:t>
      </w:r>
      <w:r w:rsidRPr="00C76670">
        <w:t xml:space="preserve"> transportation service providers’ </w:t>
      </w:r>
      <w:r w:rsidR="00043099">
        <w:t>assi</w:t>
      </w:r>
      <w:r w:rsidR="003A4ED8">
        <w:t>gned identifier where transactions may take place</w:t>
      </w:r>
      <w:r>
        <w:t>,</w:t>
      </w:r>
      <w:r w:rsidR="002715FE" w:rsidRPr="00846573" w:rsidDel="008E53FE">
        <w:t xml:space="preserve"> Location Name (Loc Name), Location County (Loc </w:t>
      </w:r>
      <w:proofErr w:type="spellStart"/>
      <w:r w:rsidR="002715FE" w:rsidRPr="00846573" w:rsidDel="008E53FE">
        <w:t>Cnty</w:t>
      </w:r>
      <w:proofErr w:type="spellEnd"/>
      <w:r w:rsidR="002715FE" w:rsidRPr="00846573" w:rsidDel="008E53FE">
        <w:t>), Location State Abbreviation (Loc St Abbrev)</w:t>
      </w:r>
      <w:r>
        <w:t xml:space="preserve">. </w:t>
      </w:r>
      <w:r w:rsidR="002715FE" w:rsidRPr="00846573" w:rsidDel="008E53FE">
        <w:t xml:space="preserve"> </w:t>
      </w:r>
      <w:r w:rsidRPr="00C76670">
        <w:t xml:space="preserve">The standard also includes the </w:t>
      </w:r>
      <w:r w:rsidR="002715FE" w:rsidRPr="00846573" w:rsidDel="008E53FE">
        <w:t>Measurement Bas</w:t>
      </w:r>
      <w:r w:rsidR="00310C4B">
        <w:t>i</w:t>
      </w:r>
      <w:r w:rsidR="002715FE" w:rsidRPr="00846573" w:rsidDel="008E53FE">
        <w:t xml:space="preserve">s (Meas Basis), </w:t>
      </w:r>
      <w:r w:rsidRPr="00C76670">
        <w:t xml:space="preserve">such or Million British Thermal Units.    </w:t>
      </w:r>
    </w:p>
    <w:p w14:paraId="01410311" w14:textId="3DC2CBC2" w:rsidR="002715FE" w:rsidRDefault="00C76670" w:rsidP="00C76670">
      <w:pPr>
        <w:pStyle w:val="FERCparanumber"/>
      </w:pPr>
      <w:r w:rsidRPr="00C76670">
        <w:t xml:space="preserve">WGQ Standard No. 0.3.30 includes </w:t>
      </w:r>
      <w:r w:rsidR="002715FE" w:rsidRPr="00846573" w:rsidDel="008E53FE">
        <w:t>Posting Date (Post Date)</w:t>
      </w:r>
      <w:r w:rsidR="00C2750A">
        <w:t xml:space="preserve"> </w:t>
      </w:r>
      <w:r>
        <w:t>and</w:t>
      </w:r>
      <w:r w:rsidR="002715FE" w:rsidRPr="00846573" w:rsidDel="008E53FE">
        <w:t xml:space="preserve"> Posting Time (Post Time)</w:t>
      </w:r>
      <w:r w:rsidRPr="00C76670">
        <w:t xml:space="preserve"> </w:t>
      </w:r>
      <w:r w:rsidR="0076566A">
        <w:t xml:space="preserve">the </w:t>
      </w:r>
      <w:r w:rsidR="00B511D8">
        <w:t>dat</w:t>
      </w:r>
      <w:r w:rsidR="00F77EE5">
        <w:t>e</w:t>
      </w:r>
      <w:r w:rsidR="00B511D8">
        <w:t xml:space="preserve"> and time </w:t>
      </w:r>
      <w:r>
        <w:t>at which transportation service providers post</w:t>
      </w:r>
      <w:r w:rsidRPr="0025401B">
        <w:t xml:space="preserve"> the </w:t>
      </w:r>
      <w:r w:rsidR="00167CAC">
        <w:t xml:space="preserve">relevant </w:t>
      </w:r>
      <w:r w:rsidR="0012433D">
        <w:t>information</w:t>
      </w:r>
      <w:r w:rsidRPr="0025401B">
        <w:t>.</w:t>
      </w:r>
      <w:r>
        <w:t xml:space="preserve">  </w:t>
      </w:r>
      <w:r w:rsidRPr="00C76670">
        <w:t xml:space="preserve">Finally, the standard includes posting of the </w:t>
      </w:r>
      <w:r w:rsidR="002715FE" w:rsidRPr="00846573" w:rsidDel="008E53FE">
        <w:t>RTO/ISO</w:t>
      </w:r>
      <w:r w:rsidR="00355792">
        <w:t xml:space="preserve"> in whose </w:t>
      </w:r>
      <w:r w:rsidR="009210C8">
        <w:t xml:space="preserve">service territory the affected generator </w:t>
      </w:r>
      <w:r w:rsidR="00C74E9D" w:rsidRPr="00C74E9D">
        <w:t>is directly connected to the interstate pipeline</w:t>
      </w:r>
      <w:r w:rsidR="002715FE" w:rsidRPr="00846573" w:rsidDel="008E53FE">
        <w:t xml:space="preserve"> and Total Scheduled Quantity (TSQ)</w:t>
      </w:r>
      <w:r w:rsidRPr="00C76670">
        <w:t xml:space="preserve"> – the net quantity scheduled to be delivered to each applicable generator at the effective </w:t>
      </w:r>
      <w:r w:rsidR="002E04A7">
        <w:t xml:space="preserve">date and </w:t>
      </w:r>
      <w:r w:rsidRPr="00C76670">
        <w:t>time of the posting</w:t>
      </w:r>
      <w:r w:rsidR="002715FE" w:rsidRPr="00846573" w:rsidDel="008E53FE">
        <w:t>.</w:t>
      </w:r>
    </w:p>
    <w:p w14:paraId="5CA21325" w14:textId="77777777" w:rsidR="001F4894" w:rsidRPr="002715FE" w:rsidRDefault="001F4894" w:rsidP="001F4894">
      <w:pPr>
        <w:pStyle w:val="Heading3"/>
        <w:rPr>
          <w:u w:val="single"/>
        </w:rPr>
      </w:pPr>
      <w:bookmarkStart w:id="21" w:name="_bmk6"/>
      <w:r w:rsidRPr="002715FE">
        <w:rPr>
          <w:u w:val="single"/>
        </w:rPr>
        <w:lastRenderedPageBreak/>
        <w:t>W</w:t>
      </w:r>
      <w:bookmarkEnd w:id="21"/>
      <w:r w:rsidRPr="002715FE">
        <w:rPr>
          <w:u w:val="single"/>
        </w:rPr>
        <w:t xml:space="preserve">GQ Quadrant </w:t>
      </w:r>
      <w:r w:rsidRPr="002715FE" w:rsidDel="00FF78A3">
        <w:rPr>
          <w:u w:val="single"/>
        </w:rPr>
        <w:t>Electronic Delivery Mechanism</w:t>
      </w:r>
      <w:r w:rsidRPr="002715FE" w:rsidDel="00210A47">
        <w:rPr>
          <w:u w:val="single"/>
        </w:rPr>
        <w:t xml:space="preserve"> </w:t>
      </w:r>
      <w:r w:rsidRPr="002715FE">
        <w:rPr>
          <w:u w:val="single"/>
        </w:rPr>
        <w:t>Standards</w:t>
      </w:r>
    </w:p>
    <w:p w14:paraId="497D2425" w14:textId="31E7AD91" w:rsidR="00E035B4" w:rsidRPr="00846573" w:rsidRDefault="001F4894" w:rsidP="00585D3F">
      <w:pPr>
        <w:pStyle w:val="FERCparanumber"/>
      </w:pPr>
      <w:r w:rsidRPr="0058128D">
        <w:t>The modified</w:t>
      </w:r>
      <w:r w:rsidRPr="00846573">
        <w:t xml:space="preserve"> WGQ Version 4.0 </w:t>
      </w:r>
      <w:r>
        <w:t>revised existing</w:t>
      </w:r>
      <w:r w:rsidRPr="00846573">
        <w:t xml:space="preserve"> standard</w:t>
      </w:r>
      <w:r>
        <w:t xml:space="preserve"> WGQ Standard No. 4.3.23 under the Quadrant Electronic Delivery Mechanism Standards manual by establishing</w:t>
      </w:r>
      <w:r w:rsidRPr="00EA1751" w:rsidDel="00FF78A3">
        <w:t xml:space="preserve"> a new information posting category</w:t>
      </w:r>
      <w:r w:rsidR="005B227F">
        <w:t>,</w:t>
      </w:r>
      <w:r w:rsidRPr="00EA1751" w:rsidDel="00FF78A3">
        <w:t xml:space="preserve"> Gas Electric Coordination</w:t>
      </w:r>
      <w:r w:rsidDel="00FF78A3">
        <w:t xml:space="preserve">, </w:t>
      </w:r>
      <w:r w:rsidRPr="00EA1751" w:rsidDel="00FF78A3">
        <w:t>for use by a transportation service provider as part of its Informational Postings Web</w:t>
      </w:r>
      <w:r w:rsidDel="00FF78A3">
        <w:t xml:space="preserve"> </w:t>
      </w:r>
      <w:r w:rsidRPr="00EA1751" w:rsidDel="00FF78A3">
        <w:t xml:space="preserve">site.  </w:t>
      </w:r>
      <w:r>
        <w:t xml:space="preserve">The revised </w:t>
      </w:r>
      <w:r w:rsidRPr="00E77CD6" w:rsidDel="00FF78A3">
        <w:t>WGQ Standard No. 4.3.23 create</w:t>
      </w:r>
      <w:r w:rsidDel="00FF78A3">
        <w:t>s</w:t>
      </w:r>
      <w:r w:rsidRPr="00E77CD6" w:rsidDel="00FF78A3">
        <w:t xml:space="preserve"> a central location on an Informational Postings Web site where a transportation service provider can post </w:t>
      </w:r>
      <w:r w:rsidR="00585D3F" w:rsidRPr="00E77CD6" w:rsidDel="00FF78A3">
        <w:t>publicly</w:t>
      </w:r>
      <w:r w:rsidR="00585D3F">
        <w:t xml:space="preserve"> available</w:t>
      </w:r>
      <w:r w:rsidRPr="00E77CD6" w:rsidDel="00FF78A3">
        <w:t xml:space="preserve"> data, including scheduled quantity information</w:t>
      </w:r>
      <w:r>
        <w:t>,</w:t>
      </w:r>
      <w:r w:rsidDel="00FF78A3">
        <w:t xml:space="preserve"> </w:t>
      </w:r>
      <w:r>
        <w:t>to</w:t>
      </w:r>
      <w:r w:rsidRPr="00EA1751" w:rsidDel="00FF78A3">
        <w:t xml:space="preserve"> help </w:t>
      </w:r>
      <w:r w:rsidDel="00FF78A3">
        <w:t>RTOs/</w:t>
      </w:r>
      <w:r w:rsidRPr="00EA1751" w:rsidDel="00FF78A3">
        <w:t xml:space="preserve">ISOs and other parties </w:t>
      </w:r>
      <w:r w:rsidR="00A07913">
        <w:t>access</w:t>
      </w:r>
      <w:r w:rsidRPr="00EA1751" w:rsidDel="00FF78A3">
        <w:t xml:space="preserve"> th</w:t>
      </w:r>
      <w:r w:rsidR="00F03B95">
        <w:t>ese</w:t>
      </w:r>
      <w:r w:rsidRPr="00EA1751" w:rsidDel="00FF78A3">
        <w:t xml:space="preserve"> data</w:t>
      </w:r>
      <w:r w:rsidR="00483940">
        <w:t>.</w:t>
      </w:r>
      <w:r w:rsidRPr="00EA1751" w:rsidDel="00BC21E0">
        <w:t xml:space="preserve"> </w:t>
      </w:r>
    </w:p>
    <w:p w14:paraId="361F51EF" w14:textId="77777777" w:rsidR="002715FE" w:rsidRPr="00597F20" w:rsidRDefault="002715FE" w:rsidP="002715FE">
      <w:pPr>
        <w:pStyle w:val="Heading3"/>
        <w:rPr>
          <w:u w:val="single"/>
        </w:rPr>
      </w:pPr>
      <w:bookmarkStart w:id="22" w:name="_bmk7"/>
      <w:r w:rsidRPr="00597F20">
        <w:rPr>
          <w:u w:val="single"/>
        </w:rPr>
        <w:t>W</w:t>
      </w:r>
      <w:bookmarkEnd w:id="22"/>
      <w:r w:rsidRPr="00597F20">
        <w:rPr>
          <w:u w:val="single"/>
        </w:rPr>
        <w:t xml:space="preserve">GQ </w:t>
      </w:r>
      <w:r w:rsidRPr="00597F20">
        <w:rPr>
          <w:rFonts w:eastAsiaTheme="minorHAnsi"/>
          <w:u w:val="single"/>
        </w:rPr>
        <w:t>Capacity Release Related Standards</w:t>
      </w:r>
    </w:p>
    <w:p w14:paraId="4915D8EB" w14:textId="6F699FAB" w:rsidR="002715FE" w:rsidRPr="00597F20" w:rsidRDefault="002715FE" w:rsidP="00D456DA">
      <w:pPr>
        <w:pStyle w:val="FERCparanumber"/>
      </w:pPr>
      <w:r w:rsidRPr="00597F20">
        <w:t xml:space="preserve">The modified WGQ Version 4.0 added </w:t>
      </w:r>
      <w:r w:rsidR="00F40997">
        <w:t>a</w:t>
      </w:r>
      <w:r w:rsidRPr="00597F20">
        <w:t xml:space="preserve"> new standard, WGQ Standard No. 5.</w:t>
      </w:r>
      <w:r>
        <w:t>3.</w:t>
      </w:r>
      <w:r w:rsidRPr="00597F20">
        <w:t>74</w:t>
      </w:r>
      <w:r w:rsidR="00D456DA">
        <w:t xml:space="preserve"> under the Capacity Release Related Standards manual</w:t>
      </w:r>
      <w:r w:rsidRPr="00597F20">
        <w:t xml:space="preserve">, </w:t>
      </w:r>
      <w:r>
        <w:t xml:space="preserve">to </w:t>
      </w:r>
      <w:r w:rsidRPr="00597F20">
        <w:t xml:space="preserve">support the inclusion of geographic information </w:t>
      </w:r>
      <w:r w:rsidR="00E703B2" w:rsidRPr="00597F20">
        <w:t xml:space="preserve">when </w:t>
      </w:r>
      <w:r w:rsidR="000C6CC5" w:rsidRPr="00597F20">
        <w:t xml:space="preserve">a </w:t>
      </w:r>
      <w:r w:rsidR="000C6CC5">
        <w:t xml:space="preserve">natural gas </w:t>
      </w:r>
      <w:r w:rsidR="000C6CC5" w:rsidRPr="00597F20">
        <w:t xml:space="preserve">transportation service provider </w:t>
      </w:r>
      <w:r w:rsidR="00E703B2" w:rsidRPr="00597F20">
        <w:t>issu</w:t>
      </w:r>
      <w:r w:rsidR="000C6CC5">
        <w:t>es</w:t>
      </w:r>
      <w:r w:rsidR="00E703B2" w:rsidRPr="00597F20">
        <w:t xml:space="preserve"> a critical notice</w:t>
      </w:r>
      <w:r w:rsidR="00E703B2">
        <w:t xml:space="preserve">, such as </w:t>
      </w:r>
      <w:r w:rsidR="001107A0">
        <w:t xml:space="preserve">geographic </w:t>
      </w:r>
      <w:r w:rsidR="0033485C">
        <w:t xml:space="preserve">information </w:t>
      </w:r>
      <w:r w:rsidRPr="00597F20" w:rsidDel="00CD4E90">
        <w:t>of</w:t>
      </w:r>
      <w:r w:rsidRPr="00597F20">
        <w:t xml:space="preserve"> impacted areas, locations, </w:t>
      </w:r>
      <w:r w:rsidR="00687085">
        <w:t>and</w:t>
      </w:r>
      <w:r w:rsidRPr="00597F20">
        <w:t xml:space="preserve"> pipeline facilities.</w:t>
      </w:r>
      <w:r>
        <w:rPr>
          <w:rStyle w:val="FootnoteReference"/>
        </w:rPr>
        <w:footnoteReference w:id="11"/>
      </w:r>
      <w:r w:rsidRPr="00597F20">
        <w:t xml:space="preserve">  </w:t>
      </w:r>
      <w:r w:rsidR="00D456DA">
        <w:t xml:space="preserve">The </w:t>
      </w:r>
      <w:r w:rsidRPr="00597F20">
        <w:t>inclusion of geographic information</w:t>
      </w:r>
      <w:r>
        <w:t xml:space="preserve"> </w:t>
      </w:r>
      <w:r w:rsidR="00FB6C0A">
        <w:t>in</w:t>
      </w:r>
      <w:r w:rsidRPr="00597F20">
        <w:t xml:space="preserve"> a critical notice can help</w:t>
      </w:r>
      <w:r w:rsidR="00374E11" w:rsidRPr="00BA2C10">
        <w:t xml:space="preserve"> </w:t>
      </w:r>
      <w:r w:rsidR="00D456DA">
        <w:t xml:space="preserve">parties receiving critical notices, </w:t>
      </w:r>
      <w:r w:rsidR="001B150C">
        <w:t>including</w:t>
      </w:r>
      <w:r w:rsidR="00D456DA">
        <w:t xml:space="preserve"> </w:t>
      </w:r>
      <w:r w:rsidRPr="00597F20">
        <w:t>end users and RTOs/ISOs</w:t>
      </w:r>
      <w:r w:rsidR="00D456DA">
        <w:t xml:space="preserve">, </w:t>
      </w:r>
      <w:r w:rsidRPr="00597F20">
        <w:t>identify and assess any possible impact to their system</w:t>
      </w:r>
      <w:r>
        <w:t>s</w:t>
      </w:r>
      <w:r w:rsidRPr="00597F20">
        <w:t>.</w:t>
      </w:r>
    </w:p>
    <w:p w14:paraId="662F7AF9" w14:textId="77777777" w:rsidR="002715FE" w:rsidRPr="00374E11" w:rsidRDefault="002715FE" w:rsidP="002715FE">
      <w:pPr>
        <w:pStyle w:val="Heading2"/>
        <w:rPr>
          <w:u w:val="single"/>
        </w:rPr>
      </w:pPr>
      <w:bookmarkStart w:id="23" w:name="_bmk8"/>
      <w:bookmarkStart w:id="24" w:name="_Hlk189048602"/>
      <w:bookmarkStart w:id="25" w:name="_Toc52890007"/>
      <w:bookmarkStart w:id="26" w:name="_Toc160607340"/>
      <w:bookmarkStart w:id="27" w:name="_Toc160724646"/>
      <w:r w:rsidRPr="00374E11">
        <w:rPr>
          <w:u w:val="single"/>
        </w:rPr>
        <w:lastRenderedPageBreak/>
        <w:t>P</w:t>
      </w:r>
      <w:bookmarkEnd w:id="23"/>
      <w:r w:rsidRPr="00374E11">
        <w:rPr>
          <w:u w:val="single"/>
        </w:rPr>
        <w:t>rop</w:t>
      </w:r>
      <w:bookmarkEnd w:id="24"/>
      <w:r w:rsidRPr="00374E11">
        <w:rPr>
          <w:u w:val="single"/>
        </w:rPr>
        <w:t>osed Implementation Procedures</w:t>
      </w:r>
      <w:bookmarkEnd w:id="25"/>
      <w:bookmarkEnd w:id="26"/>
      <w:bookmarkEnd w:id="27"/>
    </w:p>
    <w:p w14:paraId="468D86DC" w14:textId="4D4CB46E" w:rsidR="002715FE" w:rsidRDefault="002715FE" w:rsidP="002715FE">
      <w:pPr>
        <w:pStyle w:val="FERCparanumber"/>
      </w:pPr>
      <w:r w:rsidRPr="00BA2C10">
        <w:t xml:space="preserve">We propose to </w:t>
      </w:r>
      <w:r w:rsidR="009467EC">
        <w:t>use</w:t>
      </w:r>
      <w:r w:rsidR="009467EC" w:rsidRPr="00BA2C10">
        <w:t xml:space="preserve"> </w:t>
      </w:r>
      <w:r w:rsidRPr="00BA2C10">
        <w:t>the compliance filing requirements</w:t>
      </w:r>
      <w:r>
        <w:t xml:space="preserve"> </w:t>
      </w:r>
      <w:r w:rsidR="00D045D1">
        <w:t>explained below</w:t>
      </w:r>
      <w:r w:rsidR="006273B6">
        <w:t>,</w:t>
      </w:r>
      <w:r>
        <w:t xml:space="preserve"> </w:t>
      </w:r>
      <w:r w:rsidRPr="00BA2C10">
        <w:t xml:space="preserve">as revised </w:t>
      </w:r>
      <w:r>
        <w:t xml:space="preserve">and prescribed </w:t>
      </w:r>
      <w:r w:rsidRPr="00BA2C10">
        <w:t xml:space="preserve">in Order No. </w:t>
      </w:r>
      <w:r w:rsidRPr="007344AF">
        <w:t>587-V</w:t>
      </w:r>
      <w:r w:rsidR="006273B6">
        <w:t>,</w:t>
      </w:r>
      <w:r>
        <w:t xml:space="preserve"> to increase the transparency of the interstate natural gas pipelines’ incorporation by reference of the NAESB WGQ Standards so that shippers and the Commission will know which tariff provision(s) implements each standard as well as the status of each standard.</w:t>
      </w:r>
      <w:r w:rsidRPr="00BA2C10">
        <w:rPr>
          <w:b/>
          <w:vertAlign w:val="superscript"/>
        </w:rPr>
        <w:footnoteReference w:id="12"/>
      </w:r>
    </w:p>
    <w:p w14:paraId="3E7B8F0C" w14:textId="115F8B07" w:rsidR="002715FE" w:rsidRPr="00BA2C10" w:rsidRDefault="002715FE" w:rsidP="002715FE">
      <w:pPr>
        <w:pStyle w:val="FERCparanumber"/>
      </w:pPr>
      <w:r w:rsidRPr="00BA2C10">
        <w:t xml:space="preserve">We propose that compliance filings </w:t>
      </w:r>
      <w:r w:rsidR="007129C2">
        <w:t xml:space="preserve">to revise pipeline tariffs </w:t>
      </w:r>
      <w:r w:rsidR="00990F7A">
        <w:t xml:space="preserve">to reflect the changes </w:t>
      </w:r>
      <w:r w:rsidRPr="00BA2C10">
        <w:t xml:space="preserve">in accordance with a final rule </w:t>
      </w:r>
      <w:r w:rsidR="00BB4358">
        <w:t xml:space="preserve">be filed with the Commission </w:t>
      </w:r>
      <w:r w:rsidR="00234000">
        <w:t>no la</w:t>
      </w:r>
      <w:r w:rsidR="0015707D">
        <w:t xml:space="preserve">ter than </w:t>
      </w:r>
      <w:r w:rsidRPr="00BA2C10">
        <w:t xml:space="preserve">120 days after issuance of a final rule </w:t>
      </w:r>
      <w:r w:rsidR="009F5D01">
        <w:t xml:space="preserve">by the Commission </w:t>
      </w:r>
      <w:r w:rsidRPr="00BA2C10">
        <w:t>in this proceeding or</w:t>
      </w:r>
      <w:r>
        <w:t>, if the compliance filing date falls on a weekend or holiday,</w:t>
      </w:r>
      <w:r w:rsidRPr="00BA2C10">
        <w:t xml:space="preserve"> on the first business day thereafter, with a</w:t>
      </w:r>
      <w:r w:rsidR="00702C82">
        <w:t xml:space="preserve"> proposed</w:t>
      </w:r>
      <w:r w:rsidRPr="00BA2C10">
        <w:t xml:space="preserve"> effective date 180 days from the date compliance filings are due in this proceeding.  As the Commission found in Order No. 587-V, </w:t>
      </w:r>
      <w:r w:rsidR="00177374">
        <w:t xml:space="preserve">incorporation by reference </w:t>
      </w:r>
      <w:r w:rsidRPr="00BA2C10">
        <w:t xml:space="preserve">of the revised compliance filing requirements </w:t>
      </w:r>
      <w:r w:rsidR="00A4165C">
        <w:t xml:space="preserve">would </w:t>
      </w:r>
      <w:r w:rsidRPr="00BA2C10">
        <w:t xml:space="preserve">increase the transparency of the interstate natural gas pipelines’ incorporation by reference of the NAESB WGQ Standards so that shippers and the Commission </w:t>
      </w:r>
      <w:r w:rsidR="0093264B">
        <w:t xml:space="preserve">would </w:t>
      </w:r>
      <w:r w:rsidRPr="00BA2C10">
        <w:t>know which tariff provision(s) implements each standard as well as the status of each standard.</w:t>
      </w:r>
      <w:r w:rsidRPr="00BA2C10">
        <w:rPr>
          <w:b/>
          <w:vertAlign w:val="superscript"/>
        </w:rPr>
        <w:footnoteReference w:id="13"/>
      </w:r>
    </w:p>
    <w:p w14:paraId="4B4860BF" w14:textId="38948A99" w:rsidR="002715FE" w:rsidRPr="00BA2C10" w:rsidRDefault="002715FE" w:rsidP="002715FE">
      <w:pPr>
        <w:pStyle w:val="FERCparanumber"/>
        <w:tabs>
          <w:tab w:val="clear" w:pos="720"/>
        </w:tabs>
      </w:pPr>
      <w:r w:rsidRPr="00BA2C10">
        <w:t xml:space="preserve">Consistent with </w:t>
      </w:r>
      <w:r>
        <w:t>the Commission’s</w:t>
      </w:r>
      <w:r w:rsidRPr="00BA2C10">
        <w:t xml:space="preserve"> practice since Order No. 587-V, each </w:t>
      </w:r>
      <w:r>
        <w:t xml:space="preserve">interstate natural gas </w:t>
      </w:r>
      <w:r w:rsidRPr="00BA2C10">
        <w:t xml:space="preserve">pipeline must designate a single tariff section under which every NAESB </w:t>
      </w:r>
      <w:r w:rsidRPr="00BA2C10">
        <w:lastRenderedPageBreak/>
        <w:t>WGQ Standard incorporated by reference by the Commission is listed.</w:t>
      </w:r>
      <w:r w:rsidRPr="00BA2C10">
        <w:rPr>
          <w:b/>
          <w:vertAlign w:val="superscript"/>
        </w:rPr>
        <w:footnoteReference w:id="14"/>
      </w:r>
      <w:r w:rsidRPr="00BA2C10">
        <w:t xml:space="preserve">  For each </w:t>
      </w:r>
      <w:r w:rsidR="00BD7BFD">
        <w:t>NAESB</w:t>
      </w:r>
      <w:r w:rsidRPr="00BA2C10">
        <w:t xml:space="preserve"> standard, the pipeline must specif</w:t>
      </w:r>
      <w:r w:rsidR="00891B63">
        <w:t>ic</w:t>
      </w:r>
      <w:r w:rsidR="000A77C4">
        <w:t>all</w:t>
      </w:r>
      <w:r w:rsidRPr="00BA2C10">
        <w:t xml:space="preserve">y </w:t>
      </w:r>
      <w:r w:rsidR="00C73447">
        <w:t>list</w:t>
      </w:r>
      <w:r w:rsidR="00C73447" w:rsidRPr="00BA2C10">
        <w:t xml:space="preserve"> </w:t>
      </w:r>
      <w:r w:rsidRPr="00BA2C10">
        <w:t>in th</w:t>
      </w:r>
      <w:r w:rsidR="009C723F">
        <w:t>at</w:t>
      </w:r>
      <w:r w:rsidRPr="00BA2C10">
        <w:t xml:space="preserve"> tariff section:</w:t>
      </w:r>
    </w:p>
    <w:p w14:paraId="32B46D75" w14:textId="77777777" w:rsidR="002715FE" w:rsidRPr="00BA2C10" w:rsidRDefault="002715FE" w:rsidP="002715FE">
      <w:pPr>
        <w:pStyle w:val="FERCparanumber"/>
        <w:numPr>
          <w:ilvl w:val="0"/>
          <w:numId w:val="23"/>
        </w:numPr>
      </w:pPr>
      <w:r w:rsidRPr="00BA2C10">
        <w:t>whether the standard is incorporated by reference;</w:t>
      </w:r>
    </w:p>
    <w:p w14:paraId="4ED7F4D3" w14:textId="77777777" w:rsidR="002715FE" w:rsidRPr="00BA2C10" w:rsidRDefault="002715FE" w:rsidP="002715FE">
      <w:pPr>
        <w:pStyle w:val="FERCparanumber"/>
        <w:numPr>
          <w:ilvl w:val="0"/>
          <w:numId w:val="23"/>
        </w:numPr>
      </w:pPr>
      <w:r w:rsidRPr="00BA2C10">
        <w:t>for those standards not incorporated by reference, the tariff provision that complies with the standard; or</w:t>
      </w:r>
    </w:p>
    <w:p w14:paraId="4DD81BE4" w14:textId="42CEE8EE" w:rsidR="002715FE" w:rsidRPr="00BA2C10" w:rsidRDefault="002715FE" w:rsidP="002715FE">
      <w:pPr>
        <w:pStyle w:val="FERCparanumber"/>
        <w:numPr>
          <w:ilvl w:val="0"/>
          <w:numId w:val="23"/>
        </w:numPr>
      </w:pPr>
      <w:r w:rsidRPr="00BA2C10">
        <w:t xml:space="preserve">for those standards with which the pipeline does not comply, an indication </w:t>
      </w:r>
      <w:r w:rsidR="009740EC">
        <w:t>in the tariff section</w:t>
      </w:r>
      <w:r w:rsidRPr="00BA2C10">
        <w:t xml:space="preserve"> of whether the pipeline has been granted a waiver, extension of time, or other variance with respect to compliance with the standard.</w:t>
      </w:r>
      <w:r w:rsidRPr="00BA2C10">
        <w:rPr>
          <w:b/>
          <w:vertAlign w:val="superscript"/>
        </w:rPr>
        <w:footnoteReference w:id="15"/>
      </w:r>
    </w:p>
    <w:p w14:paraId="3A79C40B" w14:textId="7809C057" w:rsidR="00DE0505" w:rsidRDefault="0062672C" w:rsidP="00A82D79">
      <w:pPr>
        <w:pStyle w:val="FERCparanumber"/>
      </w:pPr>
      <w:r>
        <w:t xml:space="preserve">For those standards with which the pipeline does not comply, the pipeline must provide </w:t>
      </w:r>
      <w:r w:rsidR="00370CF3">
        <w:t xml:space="preserve">an explanatory statement </w:t>
      </w:r>
      <w:r w:rsidR="00DE0505">
        <w:t>in the transmittal letter</w:t>
      </w:r>
      <w:r w:rsidR="00DD05E4">
        <w:t xml:space="preserve"> </w:t>
      </w:r>
      <w:r w:rsidR="008E02F7">
        <w:t>of whether the pipeline has been granted</w:t>
      </w:r>
      <w:r w:rsidR="0040683D">
        <w:t xml:space="preserve"> a waiver, extension of time, or other variance with respect to compliance with the standard.</w:t>
      </w:r>
    </w:p>
    <w:p w14:paraId="3B44BC1A" w14:textId="16757737" w:rsidR="002715FE" w:rsidRPr="00BA2C10" w:rsidRDefault="002715FE" w:rsidP="00A82D79">
      <w:pPr>
        <w:pStyle w:val="FERCparanumber"/>
      </w:pPr>
      <w:r w:rsidRPr="00BA2C10">
        <w:t xml:space="preserve">Likewise, consistent with past practice, we will post on </w:t>
      </w:r>
      <w:r w:rsidR="00DC2BFD">
        <w:t>the Commission’s</w:t>
      </w:r>
      <w:r w:rsidRPr="00BA2C10">
        <w:t xml:space="preserve"> </w:t>
      </w:r>
      <w:proofErr w:type="spellStart"/>
      <w:r w:rsidRPr="00BA2C10">
        <w:t>eLibrary</w:t>
      </w:r>
      <w:proofErr w:type="spellEnd"/>
      <w:r w:rsidRPr="00BA2C10">
        <w:t xml:space="preserve"> website (under Docket No. </w:t>
      </w:r>
      <w:r w:rsidRPr="00F23E17">
        <w:t>RM96-1-04</w:t>
      </w:r>
      <w:r>
        <w:t>4</w:t>
      </w:r>
      <w:r w:rsidRPr="00BA2C10">
        <w:t>) a sample tariff format to provide filers with an illustrative example to aid them in preparing their compliance filings.</w:t>
      </w:r>
    </w:p>
    <w:p w14:paraId="70BB18B9" w14:textId="120D6076" w:rsidR="005546CC" w:rsidRPr="00BA2C10" w:rsidRDefault="005546CC" w:rsidP="005546CC">
      <w:pPr>
        <w:pStyle w:val="FERCparanumber"/>
        <w:tabs>
          <w:tab w:val="clear" w:pos="720"/>
        </w:tabs>
      </w:pPr>
      <w:r w:rsidRPr="00BA2C10">
        <w:lastRenderedPageBreak/>
        <w:t>Consistent with our policy since Order No. 587-V,</w:t>
      </w:r>
      <w:r w:rsidRPr="00BA2C10">
        <w:rPr>
          <w:b/>
          <w:vertAlign w:val="superscript"/>
        </w:rPr>
        <w:footnoteReference w:id="16"/>
      </w:r>
      <w:r w:rsidRPr="00BA2C10">
        <w:t xml:space="preserve"> </w:t>
      </w:r>
      <w:r>
        <w:t xml:space="preserve">entities may request waivers under </w:t>
      </w:r>
      <w:r w:rsidRPr="00BA2C10">
        <w:t xml:space="preserve">the requirements set forth in Order No. 587-V </w:t>
      </w:r>
      <w:r>
        <w:t>and the Commission will then evaluate those requests</w:t>
      </w:r>
      <w:r w:rsidRPr="00BA2C10">
        <w:t>.</w:t>
      </w:r>
      <w:r>
        <w:rPr>
          <w:rStyle w:val="FootnoteReference"/>
        </w:rPr>
        <w:footnoteReference w:id="17"/>
      </w:r>
      <w:r w:rsidRPr="00BA2C10" w:rsidDel="001437FC">
        <w:rPr>
          <w:b/>
          <w:vertAlign w:val="superscript"/>
        </w:rPr>
        <w:t xml:space="preserve"> </w:t>
      </w:r>
    </w:p>
    <w:p w14:paraId="54B0705C" w14:textId="135CE0CF" w:rsidR="005546CC" w:rsidRPr="00BA2C10" w:rsidRDefault="005546CC" w:rsidP="005546CC">
      <w:pPr>
        <w:pStyle w:val="FERCparanumber"/>
        <w:tabs>
          <w:tab w:val="clear" w:pos="720"/>
        </w:tabs>
      </w:pPr>
      <w:r w:rsidRPr="00BA2C10">
        <w:t xml:space="preserve">If </w:t>
      </w:r>
      <w:r w:rsidR="00F51D35">
        <w:t>a</w:t>
      </w:r>
      <w:r w:rsidRPr="00BA2C10">
        <w:t xml:space="preserve"> pipeline is requesting a continuation of an existing waiver or extension of time, it must include a table in its transmittal letter that identifies the standard for which the Commission granted </w:t>
      </w:r>
      <w:r w:rsidR="00BF699E">
        <w:t>the</w:t>
      </w:r>
      <w:r w:rsidRPr="00BA2C10">
        <w:t xml:space="preserve"> waiver or extension of time, and the docket number or order citation to the proceeding in which the Commission granted the waiver or extension of time.  The pipeline also must present an explanation for why such waiver or extension of time should remain in force </w:t>
      </w:r>
      <w:r w:rsidRPr="00BA2C10" w:rsidDel="00673962">
        <w:t>with regard to</w:t>
      </w:r>
      <w:r w:rsidRPr="00BA2C10">
        <w:t xml:space="preserve"> </w:t>
      </w:r>
      <w:r w:rsidRPr="00F23E17">
        <w:t xml:space="preserve">the </w:t>
      </w:r>
      <w:r>
        <w:t xml:space="preserve">modified </w:t>
      </w:r>
      <w:r w:rsidRPr="00F23E17">
        <w:t>WGQ Version 4.0 Standards</w:t>
      </w:r>
      <w:r w:rsidR="00971BD5">
        <w:t xml:space="preserve"> </w:t>
      </w:r>
      <w:r w:rsidR="003E155E">
        <w:t>incorporated by reference</w:t>
      </w:r>
      <w:r w:rsidR="00971BD5">
        <w:t xml:space="preserve"> in any final rule</w:t>
      </w:r>
      <w:r w:rsidRPr="00BA2C10">
        <w:t>.</w:t>
      </w:r>
    </w:p>
    <w:p w14:paraId="3A9832B8" w14:textId="280147E1" w:rsidR="005546CC" w:rsidRDefault="005546CC" w:rsidP="00A82D79">
      <w:pPr>
        <w:pStyle w:val="FERCparanumber"/>
        <w:tabs>
          <w:tab w:val="clear" w:pos="720"/>
        </w:tabs>
      </w:pPr>
      <w:r w:rsidRPr="00BA2C10">
        <w:t xml:space="preserve">This continues </w:t>
      </w:r>
      <w:r>
        <w:t>the Commission’s</w:t>
      </w:r>
      <w:r w:rsidRPr="00BA2C10">
        <w:t xml:space="preserve"> practice of having pipelines include in their tariffs a common location that identifies the way in which the pipeline is incorporating all the NAESB WGQ Standards and the standards with which it is required to comply.</w:t>
      </w:r>
    </w:p>
    <w:p w14:paraId="7BDE81B3" w14:textId="77777777" w:rsidR="005546CC" w:rsidRPr="00A82D79" w:rsidRDefault="005546CC" w:rsidP="005546CC">
      <w:pPr>
        <w:pStyle w:val="Heading1"/>
        <w:autoSpaceDE w:val="0"/>
        <w:autoSpaceDN w:val="0"/>
        <w:adjustRightInd w:val="0"/>
      </w:pPr>
      <w:bookmarkStart w:id="28" w:name="_bmk9"/>
      <w:r w:rsidRPr="00A82D79">
        <w:t>N</w:t>
      </w:r>
      <w:bookmarkEnd w:id="28"/>
      <w:r w:rsidRPr="00A82D79">
        <w:t>otice of Use of Voluntary Consensus Standards</w:t>
      </w:r>
    </w:p>
    <w:p w14:paraId="43CE69A1" w14:textId="3324CE53" w:rsidR="005546CC" w:rsidRPr="00120071" w:rsidRDefault="005546CC" w:rsidP="005546CC">
      <w:pPr>
        <w:pStyle w:val="FERCparanumber"/>
      </w:pPr>
      <w:r w:rsidRPr="0080606A">
        <w:t>Office of Management and Budget Circular A 119 (</w:t>
      </w:r>
      <w:r w:rsidRPr="00BA2C10">
        <w:t>February 10, 1998</w:t>
      </w:r>
      <w:r w:rsidRPr="0080606A">
        <w:t xml:space="preserve">) provides that Federal Agencies should publish a request for comment in a NOPR when the agency is seeking to issue or revise a regulation proposing to </w:t>
      </w:r>
      <w:r w:rsidR="00674C01">
        <w:t>incorporate by reference</w:t>
      </w:r>
      <w:r w:rsidR="00674C01" w:rsidRPr="0080606A">
        <w:t xml:space="preserve"> </w:t>
      </w:r>
      <w:r w:rsidRPr="0080606A">
        <w:t>a voluntary consensus standard or a government-unique standard.</w:t>
      </w:r>
      <w:r>
        <w:t xml:space="preserve">  </w:t>
      </w:r>
      <w:r w:rsidRPr="00C735A7">
        <w:t xml:space="preserve">In this </w:t>
      </w:r>
      <w:r>
        <w:t>NOPR</w:t>
      </w:r>
      <w:r w:rsidRPr="00C735A7">
        <w:t xml:space="preserve">, the </w:t>
      </w:r>
      <w:r w:rsidRPr="00C735A7">
        <w:lastRenderedPageBreak/>
        <w:t xml:space="preserve">Commission is </w:t>
      </w:r>
      <w:r>
        <w:t>proposing</w:t>
      </w:r>
      <w:r w:rsidR="00C37AAE" w:rsidRPr="001F4EFE">
        <w:t xml:space="preserve"> </w:t>
      </w:r>
      <w:bookmarkStart w:id="29" w:name="_Hlk184033089"/>
      <w:r>
        <w:t xml:space="preserve">to </w:t>
      </w:r>
      <w:r w:rsidRPr="00C735A7">
        <w:t>incorporat</w:t>
      </w:r>
      <w:r>
        <w:t>e</w:t>
      </w:r>
      <w:r w:rsidRPr="00C735A7">
        <w:t xml:space="preserve"> by reference </w:t>
      </w:r>
      <w:r w:rsidR="00A82D79">
        <w:t xml:space="preserve">a </w:t>
      </w:r>
      <w:r>
        <w:t xml:space="preserve">new WGQ Version 4.0 </w:t>
      </w:r>
      <w:r w:rsidR="00A82D79">
        <w:t>A</w:t>
      </w:r>
      <w:r>
        <w:t xml:space="preserve">dditional </w:t>
      </w:r>
      <w:r w:rsidR="00F4489E">
        <w:t xml:space="preserve">Business Practice </w:t>
      </w:r>
      <w:r w:rsidR="00A82D79">
        <w:t>S</w:t>
      </w:r>
      <w:r>
        <w:t xml:space="preserve">tandard </w:t>
      </w:r>
      <w:r w:rsidR="00A82D79">
        <w:t xml:space="preserve">No. </w:t>
      </w:r>
      <w:r>
        <w:t xml:space="preserve">0.3.30, </w:t>
      </w:r>
      <w:r w:rsidR="00A82D79">
        <w:t xml:space="preserve">a </w:t>
      </w:r>
      <w:r>
        <w:t>revised WGQ Version 4.0 Q</w:t>
      </w:r>
      <w:r w:rsidR="00F4489E">
        <w:t>uadrant Electronic Delivery</w:t>
      </w:r>
      <w:r>
        <w:t xml:space="preserve"> </w:t>
      </w:r>
      <w:r w:rsidR="009C3CD7">
        <w:t xml:space="preserve">Mechanism </w:t>
      </w:r>
      <w:r w:rsidR="00A82D79">
        <w:t>R</w:t>
      </w:r>
      <w:r>
        <w:t xml:space="preserve">elated </w:t>
      </w:r>
      <w:r w:rsidR="00F4489E">
        <w:t xml:space="preserve">Business Practice </w:t>
      </w:r>
      <w:r w:rsidR="00A82D79">
        <w:t>S</w:t>
      </w:r>
      <w:r>
        <w:t xml:space="preserve">tandard </w:t>
      </w:r>
      <w:r w:rsidR="00A82D79">
        <w:t xml:space="preserve">No. </w:t>
      </w:r>
      <w:r>
        <w:t xml:space="preserve">4.3.23, and </w:t>
      </w:r>
      <w:r w:rsidR="00A82D79">
        <w:t xml:space="preserve">a </w:t>
      </w:r>
      <w:r>
        <w:t xml:space="preserve">new WGQ Version 4.0 </w:t>
      </w:r>
      <w:r w:rsidR="00A82D79">
        <w:t>C</w:t>
      </w:r>
      <w:r>
        <w:t xml:space="preserve">apacity </w:t>
      </w:r>
      <w:r w:rsidR="00A82D79">
        <w:t>R</w:t>
      </w:r>
      <w:r>
        <w:t xml:space="preserve">elease </w:t>
      </w:r>
      <w:r w:rsidR="00F4489E">
        <w:t xml:space="preserve">Related Business Practice </w:t>
      </w:r>
      <w:r w:rsidR="00A82D79">
        <w:t>S</w:t>
      </w:r>
      <w:r>
        <w:t>tandard</w:t>
      </w:r>
      <w:r w:rsidR="00A82D79">
        <w:t xml:space="preserve"> No.</w:t>
      </w:r>
      <w:r>
        <w:t xml:space="preserve"> 5.3.74, which are </w:t>
      </w:r>
      <w:r w:rsidRPr="007344AF">
        <w:t>voluntary consensus standards developed by the WGQ</w:t>
      </w:r>
      <w:r w:rsidRPr="00120071">
        <w:t>.</w:t>
      </w:r>
    </w:p>
    <w:p w14:paraId="60B725B2" w14:textId="77777777" w:rsidR="005546CC" w:rsidRDefault="005546CC" w:rsidP="005546CC">
      <w:pPr>
        <w:pStyle w:val="Heading1"/>
      </w:pPr>
      <w:bookmarkStart w:id="30" w:name="_bmk10"/>
      <w:r>
        <w:t>I</w:t>
      </w:r>
      <w:bookmarkEnd w:id="30"/>
      <w:r>
        <w:t>ncorporation by Reference</w:t>
      </w:r>
    </w:p>
    <w:p w14:paraId="2A99F9E4" w14:textId="3C37ED2C" w:rsidR="005546CC" w:rsidRPr="005C2AC4" w:rsidRDefault="005546CC" w:rsidP="005C2AC4">
      <w:pPr>
        <w:pStyle w:val="FERCparanumber"/>
        <w:tabs>
          <w:tab w:val="clear" w:pos="720"/>
        </w:tabs>
        <w:rPr>
          <w:b/>
        </w:rPr>
      </w:pPr>
      <w:r w:rsidRPr="006F15D6">
        <w:t xml:space="preserve">The Office of the Federal Register requires agencies proposing to incorporate material by reference </w:t>
      </w:r>
      <w:r w:rsidR="007607CB">
        <w:t xml:space="preserve">into their regulations </w:t>
      </w:r>
      <w:r w:rsidRPr="006F15D6">
        <w:t>to discuss the ways that the materials it incorporates by reference are reasonably available to interested parties and how interested parties can obtain the materials.</w:t>
      </w:r>
      <w:r w:rsidRPr="009231E5">
        <w:rPr>
          <w:rStyle w:val="FootnoteReference"/>
        </w:rPr>
        <w:footnoteReference w:id="18"/>
      </w:r>
      <w:r w:rsidRPr="006F15D6">
        <w:t xml:space="preserve">  The regulations also require agencies to summarize, in the preamble of the final rule, the material that it incorporates by reference</w:t>
      </w:r>
      <w:r>
        <w:t xml:space="preserve">.  </w:t>
      </w:r>
      <w:r w:rsidRPr="001F4EFE">
        <w:t xml:space="preserve">The </w:t>
      </w:r>
      <w:r>
        <w:t xml:space="preserve">latest modifications to the Version 4.0 </w:t>
      </w:r>
      <w:r w:rsidRPr="001F4EFE">
        <w:t>standards we are proposing to incorporate by reference consist of</w:t>
      </w:r>
      <w:r>
        <w:t xml:space="preserve"> revisions </w:t>
      </w:r>
      <w:r w:rsidDel="004D4F2E">
        <w:t>to</w:t>
      </w:r>
      <w:r w:rsidRPr="001F4EFE" w:rsidDel="004D4F2E">
        <w:t xml:space="preserve"> three</w:t>
      </w:r>
      <w:r w:rsidRPr="001F4EFE">
        <w:t xml:space="preserve"> </w:t>
      </w:r>
      <w:r w:rsidR="00E01440">
        <w:t>sets</w:t>
      </w:r>
      <w:r w:rsidRPr="001F4EFE" w:rsidDel="00E01440">
        <w:t xml:space="preserve"> </w:t>
      </w:r>
      <w:r w:rsidR="00E01440">
        <w:t>o</w:t>
      </w:r>
      <w:r w:rsidRPr="001F4EFE">
        <w:t xml:space="preserve">f NAESB WGQ Business Practice Standards that address a variety of topics and are designed to streamline the transactional processes for the wholesale natural gas industry by promoting a </w:t>
      </w:r>
      <w:r w:rsidRPr="00FB60BA">
        <w:t xml:space="preserve">more </w:t>
      </w:r>
      <w:r w:rsidR="00FB60BA" w:rsidRPr="00FB60BA">
        <w:t>reliable</w:t>
      </w:r>
      <w:r w:rsidRPr="00FB60BA">
        <w:t xml:space="preserve"> and efficient market</w:t>
      </w:r>
      <w:r w:rsidRPr="001F4EFE">
        <w:t xml:space="preserve">.  The </w:t>
      </w:r>
      <w:r w:rsidR="00E96F50">
        <w:t xml:space="preserve">applicable sets comprise </w:t>
      </w:r>
      <w:r>
        <w:t xml:space="preserve">a </w:t>
      </w:r>
      <w:bookmarkStart w:id="31" w:name="_Hlk150273578"/>
      <w:r>
        <w:t xml:space="preserve">new </w:t>
      </w:r>
      <w:r w:rsidRPr="001F4EFE">
        <w:t>WGQ Additional Business Practice Standard</w:t>
      </w:r>
      <w:r>
        <w:t xml:space="preserve">, a revised WGQ </w:t>
      </w:r>
      <w:r w:rsidR="00F4489E">
        <w:t xml:space="preserve">Quadrant Electronic </w:t>
      </w:r>
      <w:r>
        <w:t>D</w:t>
      </w:r>
      <w:r w:rsidR="00F4489E">
        <w:t xml:space="preserve">elivery </w:t>
      </w:r>
      <w:r>
        <w:t>M</w:t>
      </w:r>
      <w:r w:rsidR="00F4489E">
        <w:t>echanism</w:t>
      </w:r>
      <w:r>
        <w:t xml:space="preserve"> Related Business Practice Standard, </w:t>
      </w:r>
      <w:r w:rsidRPr="001F4EFE">
        <w:t xml:space="preserve">and </w:t>
      </w:r>
      <w:r>
        <w:t xml:space="preserve">a new WGQ </w:t>
      </w:r>
      <w:r w:rsidRPr="001F4EFE">
        <w:t>Capacity Release Related Business Practice Standard</w:t>
      </w:r>
      <w:bookmarkEnd w:id="31"/>
      <w:r w:rsidRPr="001F4EFE">
        <w:t xml:space="preserve">.  We summarize these </w:t>
      </w:r>
      <w:r>
        <w:t>three</w:t>
      </w:r>
      <w:r w:rsidR="00ED1C84">
        <w:t xml:space="preserve"> </w:t>
      </w:r>
      <w:r w:rsidR="007F7850">
        <w:t>sets</w:t>
      </w:r>
      <w:r>
        <w:t xml:space="preserve"> of </w:t>
      </w:r>
      <w:r w:rsidRPr="001F4EFE">
        <w:t>standards below</w:t>
      </w:r>
      <w:r w:rsidR="00E41C47">
        <w:t>.</w:t>
      </w:r>
      <w:r w:rsidR="00504B6D">
        <w:rPr>
          <w:rStyle w:val="FootnoteReference"/>
        </w:rPr>
        <w:footnoteReference w:id="19"/>
      </w:r>
      <w:r>
        <w:t xml:space="preserve"> </w:t>
      </w:r>
    </w:p>
    <w:p w14:paraId="2C95694F" w14:textId="7755D0E2" w:rsidR="005546CC" w:rsidRPr="004557FF" w:rsidRDefault="005546CC" w:rsidP="005546CC">
      <w:pPr>
        <w:pStyle w:val="FERCparanumber"/>
      </w:pPr>
      <w:r w:rsidRPr="009134D8">
        <w:rPr>
          <w:b/>
          <w:u w:val="single"/>
        </w:rPr>
        <w:lastRenderedPageBreak/>
        <w:t xml:space="preserve">The </w:t>
      </w:r>
      <w:r w:rsidRPr="00421554">
        <w:rPr>
          <w:b/>
          <w:u w:val="single"/>
        </w:rPr>
        <w:t>WGQ</w:t>
      </w:r>
      <w:r>
        <w:rPr>
          <w:b/>
          <w:u w:val="single"/>
        </w:rPr>
        <w:t xml:space="preserve"> </w:t>
      </w:r>
      <w:r w:rsidRPr="00421554">
        <w:rPr>
          <w:b/>
          <w:u w:val="single"/>
        </w:rPr>
        <w:t>Additional Standards</w:t>
      </w:r>
      <w:r w:rsidRPr="00483940">
        <w:rPr>
          <w:b/>
        </w:rPr>
        <w:t xml:space="preserve"> </w:t>
      </w:r>
      <w:r w:rsidRPr="004557FF">
        <w:t>address</w:t>
      </w:r>
      <w:r w:rsidR="00155D35">
        <w:t xml:space="preserve"> standards</w:t>
      </w:r>
      <w:r w:rsidR="00843666">
        <w:t xml:space="preserve"> that are in addition to</w:t>
      </w:r>
      <w:r w:rsidR="00155D35">
        <w:t xml:space="preserve"> the five</w:t>
      </w:r>
      <w:r w:rsidR="00843666">
        <w:t xml:space="preserve"> distinct areas of</w:t>
      </w:r>
      <w:r w:rsidR="00155D35">
        <w:t xml:space="preserve"> business activities – Nominations, Flowing Gas, Invoicing, Electr</w:t>
      </w:r>
      <w:r w:rsidR="00A14372">
        <w:t>on</w:t>
      </w:r>
      <w:r w:rsidR="00155D35">
        <w:t>ic Delivery Mechanism, and Capacity Release.</w:t>
      </w:r>
      <w:r w:rsidR="00483940">
        <w:t xml:space="preserve"> </w:t>
      </w:r>
      <w:r w:rsidRPr="004557FF">
        <w:t xml:space="preserve"> </w:t>
      </w:r>
      <w:r w:rsidR="00155D35">
        <w:t xml:space="preserve">The </w:t>
      </w:r>
      <w:r w:rsidRPr="004557FF">
        <w:t xml:space="preserve">six </w:t>
      </w:r>
      <w:r w:rsidR="00843666">
        <w:t xml:space="preserve">categories </w:t>
      </w:r>
      <w:r w:rsidR="001D1F1C">
        <w:t xml:space="preserve">within the WGQ </w:t>
      </w:r>
      <w:r w:rsidR="00865739">
        <w:t xml:space="preserve">Additional </w:t>
      </w:r>
      <w:r w:rsidR="00F818F4">
        <w:t>S</w:t>
      </w:r>
      <w:r w:rsidR="00843666">
        <w:t>tandards are</w:t>
      </w:r>
      <w:proofErr w:type="gramStart"/>
      <w:r w:rsidRPr="004557FF">
        <w:t xml:space="preserve">: </w:t>
      </w:r>
      <w:r w:rsidR="00A77057">
        <w:t xml:space="preserve"> </w:t>
      </w:r>
      <w:r w:rsidR="00546F93">
        <w:t>(</w:t>
      </w:r>
      <w:proofErr w:type="gramEnd"/>
      <w:r w:rsidR="00546F93">
        <w:t xml:space="preserve">1) </w:t>
      </w:r>
      <w:r>
        <w:t xml:space="preserve">General; </w:t>
      </w:r>
      <w:r w:rsidR="00546F93">
        <w:t xml:space="preserve">(2) </w:t>
      </w:r>
      <w:r w:rsidRPr="004557FF">
        <w:t>Creditworthiness;</w:t>
      </w:r>
      <w:r>
        <w:t xml:space="preserve"> </w:t>
      </w:r>
      <w:r w:rsidR="00546F93">
        <w:t xml:space="preserve">(3) </w:t>
      </w:r>
      <w:r w:rsidRPr="004557FF">
        <w:t xml:space="preserve">Gas/Electric Operational Communications; </w:t>
      </w:r>
      <w:r w:rsidR="00881658">
        <w:t>(</w:t>
      </w:r>
      <w:r w:rsidR="00AA192A">
        <w:t xml:space="preserve">4) </w:t>
      </w:r>
      <w:r w:rsidRPr="004557FF">
        <w:t>Operati</w:t>
      </w:r>
      <w:r>
        <w:t xml:space="preserve">ng </w:t>
      </w:r>
      <w:r w:rsidRPr="004557FF">
        <w:t>Capacit</w:t>
      </w:r>
      <w:r>
        <w:t xml:space="preserve">y and </w:t>
      </w:r>
      <w:r w:rsidRPr="004557FF">
        <w:t xml:space="preserve">Unsubscribed Capacity; </w:t>
      </w:r>
      <w:r w:rsidR="00A77057">
        <w:br/>
      </w:r>
      <w:r w:rsidR="001122EA">
        <w:t xml:space="preserve">(5) </w:t>
      </w:r>
      <w:r w:rsidRPr="004557FF">
        <w:t>Location Data Download</w:t>
      </w:r>
      <w:r>
        <w:t xml:space="preserve">; and </w:t>
      </w:r>
      <w:r w:rsidR="001122EA">
        <w:t xml:space="preserve">(6) </w:t>
      </w:r>
      <w:r>
        <w:t>Storage Information</w:t>
      </w:r>
      <w:r w:rsidRPr="004557FF">
        <w:t>.</w:t>
      </w:r>
    </w:p>
    <w:p w14:paraId="7AF5D0BD" w14:textId="39C3E0A1" w:rsidR="005546CC" w:rsidRPr="004557FF" w:rsidRDefault="005546CC" w:rsidP="005546CC">
      <w:pPr>
        <w:pStyle w:val="FERCparanumber"/>
      </w:pPr>
      <w:r w:rsidRPr="00421554">
        <w:rPr>
          <w:b/>
          <w:u w:val="single"/>
        </w:rPr>
        <w:t xml:space="preserve">The </w:t>
      </w:r>
      <w:r>
        <w:rPr>
          <w:b/>
          <w:u w:val="single"/>
        </w:rPr>
        <w:t>WGQ</w:t>
      </w:r>
      <w:r w:rsidRPr="00421554" w:rsidDel="00E46DE3">
        <w:rPr>
          <w:b/>
          <w:u w:val="single"/>
        </w:rPr>
        <w:t xml:space="preserve"> </w:t>
      </w:r>
      <w:bookmarkStart w:id="32" w:name="_Hlk187746221"/>
      <w:r w:rsidR="008826C2">
        <w:rPr>
          <w:b/>
          <w:u w:val="single"/>
        </w:rPr>
        <w:t xml:space="preserve">Quadrant </w:t>
      </w:r>
      <w:r w:rsidRPr="00421554">
        <w:rPr>
          <w:b/>
          <w:u w:val="single"/>
        </w:rPr>
        <w:t>Electronic Delivery Mechanism</w:t>
      </w:r>
      <w:r w:rsidR="008826C2">
        <w:rPr>
          <w:b/>
          <w:u w:val="single"/>
        </w:rPr>
        <w:t xml:space="preserve"> Related</w:t>
      </w:r>
      <w:r w:rsidRPr="00421554">
        <w:rPr>
          <w:b/>
          <w:u w:val="single"/>
        </w:rPr>
        <w:t xml:space="preserve"> </w:t>
      </w:r>
      <w:r w:rsidR="008826C2" w:rsidRPr="00421554">
        <w:rPr>
          <w:b/>
          <w:u w:val="single"/>
        </w:rPr>
        <w:t>Standards</w:t>
      </w:r>
      <w:r w:rsidR="008826C2">
        <w:rPr>
          <w:b/>
          <w:u w:val="single"/>
        </w:rPr>
        <w:t xml:space="preserve"> </w:t>
      </w:r>
      <w:bookmarkEnd w:id="32"/>
      <w:r w:rsidRPr="00724D4E">
        <w:t>define the framework for the electronic dissemination and communication of information between parties in the North American wholesale gas marketplace for Electronic Data Interchange/EDM transfers, batch flat file/EDM transfers, informational postings websites, Electronic Bulletin Boards/EDM, and interactive flat file/EDM.</w:t>
      </w:r>
    </w:p>
    <w:p w14:paraId="4355E915" w14:textId="750FA2C5" w:rsidR="005546CC" w:rsidRDefault="005546CC" w:rsidP="005546CC">
      <w:pPr>
        <w:pStyle w:val="FERCparanumber"/>
      </w:pPr>
      <w:r w:rsidRPr="00421554">
        <w:rPr>
          <w:b/>
          <w:u w:val="single"/>
        </w:rPr>
        <w:t xml:space="preserve">The </w:t>
      </w:r>
      <w:r>
        <w:rPr>
          <w:b/>
          <w:u w:val="single"/>
        </w:rPr>
        <w:t xml:space="preserve">WGQ </w:t>
      </w:r>
      <w:r w:rsidRPr="00421554">
        <w:rPr>
          <w:b/>
          <w:u w:val="single"/>
        </w:rPr>
        <w:t>Capacity Release Related Standards</w:t>
      </w:r>
      <w:r>
        <w:rPr>
          <w:b/>
          <w:u w:val="single"/>
        </w:rPr>
        <w:t xml:space="preserve"> </w:t>
      </w:r>
      <w:r w:rsidRPr="00932257">
        <w:t xml:space="preserve">define the business processes for communication of information related to the selling of all or any portion of a </w:t>
      </w:r>
      <w:r w:rsidR="00C2750A">
        <w:t>transportation</w:t>
      </w:r>
      <w:r w:rsidR="00C2750A" w:rsidRPr="00932257">
        <w:t xml:space="preserve"> </w:t>
      </w:r>
      <w:r w:rsidRPr="00932257">
        <w:t>service requester’s contract rights.</w:t>
      </w:r>
    </w:p>
    <w:p w14:paraId="51DB9F5F" w14:textId="211B63D6" w:rsidR="005546CC" w:rsidRPr="00EA39E2" w:rsidRDefault="005546CC" w:rsidP="005546CC">
      <w:pPr>
        <w:pStyle w:val="FERCparanumber"/>
        <w:tabs>
          <w:tab w:val="clear" w:pos="720"/>
        </w:tabs>
        <w:rPr>
          <w:rStyle w:val="Hyperlink"/>
          <w:i/>
          <w:iCs/>
          <w:color w:val="000000" w:themeColor="text1"/>
          <w:u w:val="none"/>
        </w:rPr>
      </w:pPr>
      <w:r w:rsidRPr="00D35B3D">
        <w:t xml:space="preserve">Commission regulations provide that copies of the standards incorporated by reference may be obtained </w:t>
      </w:r>
      <w:r w:rsidRPr="005C361C">
        <w:t>through</w:t>
      </w:r>
      <w:r w:rsidRPr="00D35B3D">
        <w:t xml:space="preserve"> purchase or otherwise from the North American Energy Standards Board,</w:t>
      </w:r>
      <w:r w:rsidRPr="00B501F4">
        <w:t xml:space="preserve"> </w:t>
      </w:r>
      <w:r>
        <w:t>1415 Louisiana, Suite 3460, Houston, Texas 77002</w:t>
      </w:r>
      <w:r w:rsidRPr="00B501F4">
        <w:t xml:space="preserve">, </w:t>
      </w:r>
      <w:r w:rsidR="00EA47F2">
        <w:br/>
      </w:r>
      <w:r>
        <w:lastRenderedPageBreak/>
        <w:t>p</w:t>
      </w:r>
      <w:r w:rsidRPr="00B501F4">
        <w:t>hone:</w:t>
      </w:r>
      <w:r w:rsidR="00EA47F2">
        <w:t xml:space="preserve"> </w:t>
      </w:r>
      <w:r w:rsidRPr="00B501F4">
        <w:t>(713) 356</w:t>
      </w:r>
      <w:r>
        <w:t>-</w:t>
      </w:r>
      <w:r w:rsidRPr="00B501F4">
        <w:t>0060</w:t>
      </w:r>
      <w:r>
        <w:t>, w</w:t>
      </w:r>
      <w:r w:rsidRPr="00B501F4">
        <w:t>ebsite</w:t>
      </w:r>
      <w:r w:rsidRPr="0029072E">
        <w:t>: http</w:t>
      </w:r>
      <w:r>
        <w:t>s</w:t>
      </w:r>
      <w:r w:rsidRPr="0029072E">
        <w:t xml:space="preserve">://www.naesb.org/.  </w:t>
      </w:r>
      <w:r>
        <w:rPr>
          <w:rStyle w:val="Hyperlink"/>
          <w:color w:val="000000" w:themeColor="text1"/>
          <w:u w:val="none"/>
        </w:rPr>
        <w:t>The standards can also be reviewed without purchasing them.</w:t>
      </w:r>
    </w:p>
    <w:p w14:paraId="576108CE" w14:textId="77777777" w:rsidR="005546CC" w:rsidRPr="00392551" w:rsidRDefault="005546CC" w:rsidP="005546CC">
      <w:pPr>
        <w:pStyle w:val="FERCparanumber"/>
        <w:rPr>
          <w:b/>
        </w:rPr>
      </w:pPr>
      <w:r w:rsidRPr="00932257">
        <w:t xml:space="preserve">The procedures used by NAESB make its standards reasonably available to those affected by Commission regulations, which generally is comprised of entities that have the means to acquire the information they need to effectively participate in Commission proceedings.  Participants can join NAESB, for an annual </w:t>
      </w:r>
      <w:r w:rsidRPr="007344AF">
        <w:t xml:space="preserve">membership cost of </w:t>
      </w:r>
      <w:r w:rsidRPr="00392551">
        <w:t>$8,000, which entitles them to full participation in NAESB and enables them to obtain these standards at no additional cost.  Non-members may obtain any of the ten individual</w:t>
      </w:r>
      <w:r w:rsidR="006103C7" w:rsidRPr="00EA6304">
        <w:rPr>
          <w:color w:val="000000" w:themeColor="text1"/>
        </w:rPr>
        <w:t xml:space="preserve"> </w:t>
      </w:r>
      <w:bookmarkEnd w:id="29"/>
      <w:r w:rsidRPr="00392551">
        <w:t xml:space="preserve">standards manuals for $250 per manual, </w:t>
      </w:r>
      <w:r w:rsidRPr="007344AF">
        <w:t xml:space="preserve">which in the case of these standards would total </w:t>
      </w:r>
      <w:r w:rsidRPr="00392551">
        <w:t xml:space="preserve">$750 </w:t>
      </w:r>
      <w:r w:rsidRPr="007344AF">
        <w:t>for all three manuals.  Non-members also may obtain the complete set of Standards Manuals for</w:t>
      </w:r>
      <w:r w:rsidRPr="00392551">
        <w:t xml:space="preserve"> $2,000.</w:t>
      </w:r>
    </w:p>
    <w:p w14:paraId="409BAFF6" w14:textId="61094F69" w:rsidR="005546CC" w:rsidRPr="00517309" w:rsidRDefault="005546CC" w:rsidP="005546CC">
      <w:pPr>
        <w:pStyle w:val="FERCparanumber"/>
        <w:tabs>
          <w:tab w:val="clear" w:pos="720"/>
        </w:tabs>
        <w:rPr>
          <w:i/>
          <w:iCs/>
          <w:color w:val="000000" w:themeColor="text1"/>
        </w:rPr>
      </w:pPr>
      <w:r w:rsidRPr="00EA6304">
        <w:rPr>
          <w:color w:val="000000" w:themeColor="text1"/>
        </w:rPr>
        <w:t xml:space="preserve">NAESB provides ample opportunities for non-members, including agents, subsidiaries, and affiliates of NAESB members, to obtain access to the copyrighted standards through a no-cost limited copyright waiver. </w:t>
      </w:r>
      <w:r>
        <w:rPr>
          <w:color w:val="000000" w:themeColor="text1"/>
        </w:rPr>
        <w:t xml:space="preserve"> </w:t>
      </w:r>
      <w:r w:rsidRPr="00EA6304">
        <w:rPr>
          <w:color w:val="000000" w:themeColor="text1"/>
        </w:rPr>
        <w:t xml:space="preserve">The limited copyright waivers are issued by the NAESB office and are granted to non-members on a case-by-case basis for the purpose of evaluating standards prior to purchase and/or reviewing the standards to prepare comments to a regulatory agency. </w:t>
      </w:r>
      <w:r>
        <w:rPr>
          <w:color w:val="000000" w:themeColor="text1"/>
        </w:rPr>
        <w:t xml:space="preserve"> </w:t>
      </w:r>
      <w:r w:rsidRPr="00EA6304">
        <w:rPr>
          <w:color w:val="000000" w:themeColor="text1"/>
        </w:rPr>
        <w:t xml:space="preserve">Following the granting of a limited copyright waiver, the non-member is provided with read-only access to the standards </w:t>
      </w:r>
      <w:r>
        <w:rPr>
          <w:color w:val="000000" w:themeColor="text1"/>
        </w:rPr>
        <w:t>through the end of the comment period or some other</w:t>
      </w:r>
      <w:r w:rsidRPr="00EA6304">
        <w:rPr>
          <w:color w:val="000000" w:themeColor="text1"/>
        </w:rPr>
        <w:t xml:space="preserve"> set period of time via </w:t>
      </w:r>
      <w:proofErr w:type="spellStart"/>
      <w:r w:rsidRPr="00EA6304">
        <w:rPr>
          <w:color w:val="000000" w:themeColor="text1"/>
        </w:rPr>
        <w:t>Locklizard</w:t>
      </w:r>
      <w:proofErr w:type="spellEnd"/>
      <w:r w:rsidRPr="00EA6304">
        <w:rPr>
          <w:color w:val="000000" w:themeColor="text1"/>
        </w:rPr>
        <w:t xml:space="preserve"> Safeguard</w:t>
      </w:r>
      <w:r w:rsidR="00EA47F2">
        <w:rPr>
          <w:color w:val="000000" w:themeColor="text1"/>
        </w:rPr>
        <w:br/>
      </w:r>
      <w:r w:rsidR="00EA47F2">
        <w:rPr>
          <w:color w:val="000000" w:themeColor="text1"/>
        </w:rPr>
        <w:br/>
      </w:r>
      <w:r w:rsidRPr="00EA6304">
        <w:rPr>
          <w:color w:val="000000" w:themeColor="text1"/>
        </w:rPr>
        <w:lastRenderedPageBreak/>
        <w:t>Secure Viewer.</w:t>
      </w:r>
      <w:r>
        <w:rPr>
          <w:rStyle w:val="FootnoteReference"/>
          <w:color w:val="000000" w:themeColor="text1"/>
        </w:rPr>
        <w:footnoteReference w:id="20"/>
      </w:r>
      <w:r>
        <w:rPr>
          <w:color w:val="000000" w:themeColor="text1"/>
        </w:rPr>
        <w:t xml:space="preserve"> </w:t>
      </w:r>
      <w:r w:rsidRPr="00EA6304">
        <w:rPr>
          <w:color w:val="000000" w:themeColor="text1"/>
        </w:rPr>
        <w:t xml:space="preserve"> NAESB will grant one limited copyright wavier per company for each set of standards or final actions. </w:t>
      </w:r>
      <w:r>
        <w:rPr>
          <w:color w:val="000000" w:themeColor="text1"/>
        </w:rPr>
        <w:t xml:space="preserve"> </w:t>
      </w:r>
      <w:r w:rsidRPr="00EA6304">
        <w:rPr>
          <w:color w:val="000000" w:themeColor="text1"/>
        </w:rPr>
        <w:t>Any entity seeking a limited copyright waiver should contact the NAESB office.</w:t>
      </w:r>
    </w:p>
    <w:p w14:paraId="2FBA4423" w14:textId="77777777" w:rsidR="005546CC" w:rsidRPr="00B61165" w:rsidRDefault="005546CC" w:rsidP="005546CC">
      <w:pPr>
        <w:pStyle w:val="Heading1"/>
      </w:pPr>
      <w:bookmarkStart w:id="33" w:name="_bmk11"/>
      <w:r w:rsidRPr="00B61165">
        <w:t>I</w:t>
      </w:r>
      <w:bookmarkEnd w:id="33"/>
      <w:r w:rsidRPr="00B61165">
        <w:t>nformation Collection Statement</w:t>
      </w:r>
    </w:p>
    <w:p w14:paraId="2549F641" w14:textId="1A45C10C" w:rsidR="005546CC" w:rsidRPr="005C1356" w:rsidRDefault="005546CC" w:rsidP="005546CC">
      <w:pPr>
        <w:pStyle w:val="FERCparanumber"/>
        <w:tabs>
          <w:tab w:val="clear" w:pos="720"/>
        </w:tabs>
      </w:pPr>
      <w:r w:rsidRPr="005C1356">
        <w:t>The Office of Management and Budget (OMB) regulations require that OMB approve certain reporting, record keeping, and public disclosure requirements (information collection) imposed by an agency.</w:t>
      </w:r>
      <w:r w:rsidRPr="005C1356">
        <w:rPr>
          <w:rStyle w:val="FootnoteReference"/>
        </w:rPr>
        <w:footnoteReference w:id="21"/>
      </w:r>
      <w:r w:rsidRPr="005C1356">
        <w:t xml:space="preserve">  Therefore, we are submitting our</w:t>
      </w:r>
      <w:r>
        <w:t xml:space="preserve"> </w:t>
      </w:r>
      <w:r w:rsidRPr="005C1356">
        <w:t>proposed information collection to OMB for review in accordance with section 3507(d) of the Paperwork Reduction Act of 1995.  Upon approval of a collection of information, OMB will assign an OMB control number and an expiration date.  Respondents subject to the filing requirements of a rule will not be penalized for failing to respond to these collections of information unless the collection of information displays a valid OMB control number.</w:t>
      </w:r>
    </w:p>
    <w:p w14:paraId="2178D828" w14:textId="77777777" w:rsidR="005546CC" w:rsidRDefault="005546CC" w:rsidP="005546CC">
      <w:pPr>
        <w:pStyle w:val="FERCparanumber"/>
      </w:pPr>
      <w:r w:rsidRPr="005C1356">
        <w:t>We solicit comments on our need for this information, whether the information will have practical utility, the accuracy of the provided burden estimates, ways to enhance the quality, utility, and clarity of the information to be collected, and any suggested methods for minimizing respondents’ burden, including the use of automated information techniques.</w:t>
      </w:r>
    </w:p>
    <w:p w14:paraId="4A2C4A99" w14:textId="77777777" w:rsidR="005546CC" w:rsidRDefault="005546CC" w:rsidP="005546CC">
      <w:pPr>
        <w:pStyle w:val="FERCparanumber"/>
      </w:pPr>
      <w:r w:rsidRPr="005C1356">
        <w:rPr>
          <w:u w:val="single"/>
        </w:rPr>
        <w:lastRenderedPageBreak/>
        <w:t>Public Reporting Burden</w:t>
      </w:r>
      <w:r w:rsidRPr="005C1356">
        <w:t>:  The Commission’s burden estimates for the proposals in this NOPR are for one-time implementation of the information collection requirements of this NOPR (including tariff filing, documentation of the process and procedures, and information technology work).</w:t>
      </w:r>
    </w:p>
    <w:p w14:paraId="15419712" w14:textId="33FBB157" w:rsidR="005546CC" w:rsidRPr="005C1356" w:rsidRDefault="005546CC" w:rsidP="005546CC">
      <w:pPr>
        <w:pStyle w:val="FERCparanumber"/>
      </w:pPr>
      <w:r w:rsidRPr="005C1356">
        <w:t>The collections of information related to this NOPR fall under FERC–545 (Gas Pipeline Rates:</w:t>
      </w:r>
      <w:r>
        <w:t xml:space="preserve"> </w:t>
      </w:r>
      <w:r w:rsidRPr="005C1356">
        <w:t>Rate Change (Non-Formal))</w:t>
      </w:r>
      <w:r w:rsidRPr="005C1356">
        <w:rPr>
          <w:rStyle w:val="FootnoteReference"/>
        </w:rPr>
        <w:footnoteReference w:id="22"/>
      </w:r>
      <w:r w:rsidRPr="005C1356">
        <w:t xml:space="preserve"> and FERC–549C (Standards for Business Practices of Interstate Natural Gas Pipelines).</w:t>
      </w:r>
      <w:r w:rsidRPr="005C1356">
        <w:rPr>
          <w:rStyle w:val="FootnoteReference"/>
        </w:rPr>
        <w:footnoteReference w:id="23"/>
      </w:r>
      <w:r w:rsidRPr="005C1356">
        <w:t xml:space="preserve">  The following estimates of reporting</w:t>
      </w:r>
      <w:r>
        <w:t xml:space="preserve"> </w:t>
      </w:r>
      <w:r w:rsidRPr="005C1356">
        <w:t xml:space="preserve">burden are related only to this NOPR and anticipate the costs to </w:t>
      </w:r>
      <w:r>
        <w:t xml:space="preserve">interstate natural gas </w:t>
      </w:r>
      <w:r w:rsidRPr="005C1356">
        <w:t>pipelines for compliance with our proposals in this NOPR.  The burden estimates are related to implementing these standards and regulations and will not result in ongoing costs.</w:t>
      </w:r>
    </w:p>
    <w:tbl>
      <w:tblPr>
        <w:tblW w:w="55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1407"/>
        <w:gridCol w:w="1495"/>
        <w:gridCol w:w="1499"/>
        <w:gridCol w:w="1227"/>
        <w:gridCol w:w="1928"/>
        <w:gridCol w:w="1675"/>
      </w:tblGrid>
      <w:tr w:rsidR="00BB2900" w:rsidRPr="005C1356" w14:paraId="7E1D4F9F" w14:textId="77777777" w:rsidTr="00C64C9C">
        <w:trPr>
          <w:cantSplit/>
          <w:trHeight w:val="188"/>
          <w:tblHeader/>
        </w:trPr>
        <w:tc>
          <w:tcPr>
            <w:tcW w:w="5000" w:type="pct"/>
            <w:gridSpan w:val="7"/>
            <w:tcBorders>
              <w:bottom w:val="single" w:sz="4" w:space="0" w:color="auto"/>
            </w:tcBorders>
            <w:shd w:val="clear" w:color="auto" w:fill="D9D9D9"/>
          </w:tcPr>
          <w:p w14:paraId="104D3CAC" w14:textId="77777777" w:rsidR="005546CC" w:rsidRPr="005C1356" w:rsidRDefault="005546CC" w:rsidP="00C64C9C">
            <w:pPr>
              <w:keepNext/>
              <w:jc w:val="center"/>
              <w:rPr>
                <w:b/>
                <w:szCs w:val="20"/>
              </w:rPr>
            </w:pPr>
            <w:r w:rsidRPr="005C1356">
              <w:rPr>
                <w:b/>
                <w:szCs w:val="20"/>
              </w:rPr>
              <w:lastRenderedPageBreak/>
              <w:t>RM96-1-04</w:t>
            </w:r>
            <w:r>
              <w:rPr>
                <w:b/>
                <w:szCs w:val="20"/>
              </w:rPr>
              <w:t>4</w:t>
            </w:r>
            <w:r w:rsidRPr="005C1356">
              <w:rPr>
                <w:b/>
                <w:szCs w:val="20"/>
              </w:rPr>
              <w:t xml:space="preserve"> NOPR (Standards for Business Practices of Interstate Natural Gas Pipelines)</w:t>
            </w:r>
          </w:p>
        </w:tc>
      </w:tr>
      <w:tr w:rsidR="00E47FB2" w:rsidRPr="005C1356" w14:paraId="714FB119" w14:textId="77777777" w:rsidTr="00C64C9C">
        <w:trPr>
          <w:cantSplit/>
          <w:tblHeader/>
        </w:trPr>
        <w:tc>
          <w:tcPr>
            <w:tcW w:w="585" w:type="pct"/>
            <w:shd w:val="clear" w:color="auto" w:fill="D9D9D9"/>
          </w:tcPr>
          <w:p w14:paraId="45848F5B" w14:textId="77777777" w:rsidR="005546CC" w:rsidRPr="005C1356" w:rsidRDefault="005546CC" w:rsidP="00C64C9C">
            <w:pPr>
              <w:jc w:val="center"/>
              <w:rPr>
                <w:rFonts w:eastAsia="Calibri"/>
                <w:b/>
                <w:szCs w:val="20"/>
              </w:rPr>
            </w:pPr>
          </w:p>
        </w:tc>
        <w:tc>
          <w:tcPr>
            <w:tcW w:w="673" w:type="pct"/>
            <w:shd w:val="clear" w:color="auto" w:fill="D9D9D9"/>
            <w:vAlign w:val="bottom"/>
          </w:tcPr>
          <w:p w14:paraId="097C74FF" w14:textId="77777777" w:rsidR="005546CC" w:rsidRPr="005C1356" w:rsidRDefault="005546CC" w:rsidP="00C64C9C">
            <w:pPr>
              <w:jc w:val="center"/>
              <w:rPr>
                <w:rFonts w:eastAsia="Calibri"/>
                <w:b/>
                <w:szCs w:val="20"/>
              </w:rPr>
            </w:pPr>
            <w:r w:rsidRPr="005C1356">
              <w:rPr>
                <w:rFonts w:eastAsia="Calibri"/>
                <w:b/>
                <w:szCs w:val="20"/>
              </w:rPr>
              <w:t>Number of Respondents</w:t>
            </w:r>
            <w:r w:rsidRPr="005C1356">
              <w:rPr>
                <w:rStyle w:val="FootnoteReference"/>
              </w:rPr>
              <w:footnoteReference w:id="24"/>
            </w:r>
          </w:p>
          <w:p w14:paraId="06A11370" w14:textId="77777777" w:rsidR="005546CC" w:rsidRPr="005C1356" w:rsidRDefault="005546CC" w:rsidP="00C64C9C">
            <w:pPr>
              <w:jc w:val="center"/>
              <w:rPr>
                <w:rFonts w:eastAsia="Calibri"/>
                <w:b/>
                <w:szCs w:val="20"/>
              </w:rPr>
            </w:pPr>
            <w:r w:rsidRPr="005C1356">
              <w:rPr>
                <w:rFonts w:eastAsia="Calibri"/>
                <w:b/>
                <w:szCs w:val="20"/>
              </w:rPr>
              <w:t>(1)</w:t>
            </w:r>
          </w:p>
        </w:tc>
        <w:tc>
          <w:tcPr>
            <w:tcW w:w="715" w:type="pct"/>
            <w:shd w:val="clear" w:color="auto" w:fill="D9D9D9"/>
            <w:vAlign w:val="bottom"/>
          </w:tcPr>
          <w:p w14:paraId="6C735706" w14:textId="77777777" w:rsidR="005546CC" w:rsidRPr="005C1356" w:rsidRDefault="005546CC" w:rsidP="00C64C9C">
            <w:pPr>
              <w:jc w:val="center"/>
              <w:rPr>
                <w:rFonts w:eastAsia="Calibri"/>
                <w:b/>
                <w:szCs w:val="20"/>
              </w:rPr>
            </w:pPr>
            <w:r w:rsidRPr="005C1356">
              <w:rPr>
                <w:rFonts w:eastAsia="Calibri"/>
                <w:b/>
                <w:szCs w:val="20"/>
              </w:rPr>
              <w:t>Annual Number of Responses per Respondent</w:t>
            </w:r>
          </w:p>
          <w:p w14:paraId="1FDE68E2" w14:textId="77777777" w:rsidR="005546CC" w:rsidRPr="005C1356" w:rsidRDefault="005546CC" w:rsidP="00C64C9C">
            <w:pPr>
              <w:jc w:val="center"/>
              <w:rPr>
                <w:rFonts w:eastAsia="Calibri"/>
                <w:b/>
                <w:szCs w:val="20"/>
              </w:rPr>
            </w:pPr>
            <w:r w:rsidRPr="005C1356">
              <w:rPr>
                <w:rFonts w:eastAsia="Calibri"/>
                <w:b/>
                <w:szCs w:val="20"/>
              </w:rPr>
              <w:t>(2)</w:t>
            </w:r>
          </w:p>
        </w:tc>
        <w:tc>
          <w:tcPr>
            <w:tcW w:w="717" w:type="pct"/>
            <w:shd w:val="clear" w:color="auto" w:fill="D9D9D9"/>
            <w:vAlign w:val="bottom"/>
          </w:tcPr>
          <w:p w14:paraId="326A6890" w14:textId="77777777" w:rsidR="005546CC" w:rsidRPr="005C1356" w:rsidRDefault="005546CC" w:rsidP="00C64C9C">
            <w:pPr>
              <w:jc w:val="center"/>
              <w:rPr>
                <w:rFonts w:eastAsia="Calibri"/>
                <w:b/>
                <w:szCs w:val="20"/>
              </w:rPr>
            </w:pPr>
            <w:r w:rsidRPr="005C1356">
              <w:rPr>
                <w:rFonts w:eastAsia="Calibri"/>
                <w:b/>
                <w:szCs w:val="20"/>
              </w:rPr>
              <w:t>Total Number of Responses (</w:t>
            </w:r>
            <w:proofErr w:type="gramStart"/>
            <w:r w:rsidRPr="005C1356">
              <w:rPr>
                <w:rFonts w:eastAsia="Calibri"/>
                <w:b/>
                <w:szCs w:val="20"/>
              </w:rPr>
              <w:t>1)*</w:t>
            </w:r>
            <w:proofErr w:type="gramEnd"/>
            <w:r w:rsidRPr="005C1356">
              <w:rPr>
                <w:rFonts w:eastAsia="Calibri"/>
                <w:b/>
                <w:szCs w:val="20"/>
              </w:rPr>
              <w:t>(2)=</w:t>
            </w:r>
          </w:p>
          <w:p w14:paraId="373A3A93" w14:textId="77777777" w:rsidR="005546CC" w:rsidRPr="005C1356" w:rsidRDefault="005546CC" w:rsidP="00C64C9C">
            <w:pPr>
              <w:jc w:val="center"/>
              <w:rPr>
                <w:rFonts w:eastAsia="Calibri"/>
                <w:b/>
                <w:szCs w:val="20"/>
              </w:rPr>
            </w:pPr>
            <w:r w:rsidRPr="005C1356">
              <w:rPr>
                <w:rFonts w:eastAsia="Calibri"/>
                <w:b/>
                <w:szCs w:val="20"/>
              </w:rPr>
              <w:t>(3)</w:t>
            </w:r>
          </w:p>
        </w:tc>
        <w:tc>
          <w:tcPr>
            <w:tcW w:w="587" w:type="pct"/>
            <w:shd w:val="clear" w:color="auto" w:fill="D9D9D9"/>
            <w:vAlign w:val="bottom"/>
          </w:tcPr>
          <w:p w14:paraId="4FE5E035" w14:textId="77777777" w:rsidR="005546CC" w:rsidRPr="005C1356" w:rsidRDefault="005546CC" w:rsidP="00C64C9C">
            <w:pPr>
              <w:jc w:val="center"/>
              <w:rPr>
                <w:rFonts w:eastAsia="Calibri"/>
                <w:b/>
                <w:szCs w:val="20"/>
              </w:rPr>
            </w:pPr>
            <w:r w:rsidRPr="005C1356">
              <w:rPr>
                <w:rFonts w:eastAsia="Calibri"/>
                <w:b/>
                <w:szCs w:val="20"/>
              </w:rPr>
              <w:t>Average Burden Hr. Per Response</w:t>
            </w:r>
          </w:p>
          <w:p w14:paraId="40D7440B" w14:textId="77777777" w:rsidR="005546CC" w:rsidRPr="005C1356" w:rsidRDefault="005546CC" w:rsidP="00C64C9C">
            <w:pPr>
              <w:jc w:val="center"/>
              <w:rPr>
                <w:rFonts w:eastAsia="Calibri"/>
                <w:b/>
                <w:szCs w:val="20"/>
              </w:rPr>
            </w:pPr>
            <w:r w:rsidRPr="005C1356">
              <w:rPr>
                <w:rFonts w:eastAsia="Calibri"/>
                <w:b/>
                <w:szCs w:val="20"/>
              </w:rPr>
              <w:t>(4)</w:t>
            </w:r>
          </w:p>
        </w:tc>
        <w:tc>
          <w:tcPr>
            <w:tcW w:w="922" w:type="pct"/>
            <w:shd w:val="clear" w:color="auto" w:fill="D9D9D9"/>
            <w:vAlign w:val="bottom"/>
          </w:tcPr>
          <w:p w14:paraId="1D5A3E54" w14:textId="77777777" w:rsidR="005546CC" w:rsidRPr="005C1356" w:rsidRDefault="005546CC" w:rsidP="00C64C9C">
            <w:pPr>
              <w:jc w:val="center"/>
              <w:rPr>
                <w:rFonts w:eastAsia="Calibri"/>
                <w:b/>
                <w:szCs w:val="20"/>
              </w:rPr>
            </w:pPr>
            <w:r w:rsidRPr="005C1356">
              <w:rPr>
                <w:rFonts w:eastAsia="Calibri"/>
                <w:b/>
                <w:szCs w:val="20"/>
              </w:rPr>
              <w:t>Total Annual Burden Hours &amp; Total Annual Cost</w:t>
            </w:r>
            <w:r w:rsidRPr="005C1356">
              <w:rPr>
                <w:rStyle w:val="FootnoteReference"/>
              </w:rPr>
              <w:footnoteReference w:id="25"/>
            </w:r>
          </w:p>
          <w:p w14:paraId="2A15D84F" w14:textId="77777777" w:rsidR="005546CC" w:rsidRPr="005C1356" w:rsidRDefault="005546CC" w:rsidP="00C64C9C">
            <w:pPr>
              <w:jc w:val="center"/>
              <w:rPr>
                <w:rFonts w:eastAsia="Calibri"/>
                <w:b/>
                <w:szCs w:val="20"/>
              </w:rPr>
            </w:pPr>
            <w:r w:rsidRPr="005C1356">
              <w:rPr>
                <w:rFonts w:eastAsia="Calibri"/>
                <w:b/>
                <w:szCs w:val="20"/>
              </w:rPr>
              <w:t>(</w:t>
            </w:r>
            <w:proofErr w:type="gramStart"/>
            <w:r w:rsidRPr="005C1356">
              <w:rPr>
                <w:rFonts w:eastAsia="Calibri"/>
                <w:b/>
                <w:szCs w:val="20"/>
              </w:rPr>
              <w:t>3)*</w:t>
            </w:r>
            <w:proofErr w:type="gramEnd"/>
            <w:r w:rsidRPr="005C1356">
              <w:rPr>
                <w:rFonts w:eastAsia="Calibri"/>
                <w:b/>
                <w:szCs w:val="20"/>
              </w:rPr>
              <w:t>(4)=(5)</w:t>
            </w:r>
          </w:p>
        </w:tc>
        <w:tc>
          <w:tcPr>
            <w:tcW w:w="801" w:type="pct"/>
            <w:shd w:val="clear" w:color="auto" w:fill="D9D9D9"/>
            <w:vAlign w:val="bottom"/>
          </w:tcPr>
          <w:p w14:paraId="23182698" w14:textId="77777777" w:rsidR="005546CC" w:rsidRPr="005C1356" w:rsidRDefault="005546CC" w:rsidP="00C64C9C">
            <w:pPr>
              <w:jc w:val="center"/>
              <w:rPr>
                <w:rFonts w:eastAsia="Calibri"/>
                <w:b/>
                <w:szCs w:val="20"/>
              </w:rPr>
            </w:pPr>
            <w:r w:rsidRPr="005C1356">
              <w:rPr>
                <w:rFonts w:eastAsia="Calibri"/>
                <w:b/>
                <w:szCs w:val="20"/>
              </w:rPr>
              <w:t xml:space="preserve">Annual Costs Per Respondent </w:t>
            </w:r>
          </w:p>
          <w:p w14:paraId="708D4B2A" w14:textId="77777777" w:rsidR="005546CC" w:rsidRPr="005C1356" w:rsidRDefault="005546CC" w:rsidP="00C64C9C">
            <w:pPr>
              <w:jc w:val="center"/>
              <w:rPr>
                <w:rFonts w:eastAsia="Calibri"/>
                <w:b/>
                <w:szCs w:val="20"/>
              </w:rPr>
            </w:pPr>
            <w:r w:rsidRPr="005C1356">
              <w:rPr>
                <w:rFonts w:eastAsia="Calibri"/>
                <w:b/>
                <w:szCs w:val="20"/>
              </w:rPr>
              <w:t>($)</w:t>
            </w:r>
          </w:p>
          <w:p w14:paraId="77898211" w14:textId="77777777" w:rsidR="005546CC" w:rsidRPr="005C1356" w:rsidRDefault="005546CC" w:rsidP="00C64C9C">
            <w:pPr>
              <w:jc w:val="center"/>
              <w:rPr>
                <w:rFonts w:eastAsia="Calibri"/>
                <w:b/>
                <w:szCs w:val="20"/>
              </w:rPr>
            </w:pPr>
            <w:r w:rsidRPr="005C1356">
              <w:rPr>
                <w:rFonts w:eastAsia="Calibri"/>
                <w:b/>
                <w:szCs w:val="20"/>
              </w:rPr>
              <w:t>(5)/ (1) = (6)</w:t>
            </w:r>
          </w:p>
        </w:tc>
      </w:tr>
      <w:tr w:rsidR="002C1FF9" w:rsidRPr="005C1356" w14:paraId="6F869018" w14:textId="77777777" w:rsidTr="00C64C9C">
        <w:trPr>
          <w:cantSplit/>
        </w:trPr>
        <w:tc>
          <w:tcPr>
            <w:tcW w:w="585" w:type="pct"/>
          </w:tcPr>
          <w:p w14:paraId="1949EDB7" w14:textId="77777777" w:rsidR="005546CC" w:rsidRPr="005C1356" w:rsidRDefault="005546CC" w:rsidP="00C64C9C">
            <w:pPr>
              <w:rPr>
                <w:rFonts w:eastAsia="Calibri"/>
                <w:szCs w:val="20"/>
              </w:rPr>
            </w:pPr>
            <w:r w:rsidRPr="005C1356">
              <w:rPr>
                <w:rFonts w:eastAsia="Calibri"/>
                <w:szCs w:val="20"/>
              </w:rPr>
              <w:t>FERC-545 (one-time)</w:t>
            </w:r>
          </w:p>
        </w:tc>
        <w:tc>
          <w:tcPr>
            <w:tcW w:w="673" w:type="pct"/>
          </w:tcPr>
          <w:p w14:paraId="44315308" w14:textId="77777777" w:rsidR="005546CC" w:rsidRPr="005C1356" w:rsidRDefault="005546CC" w:rsidP="00C64C9C">
            <w:pPr>
              <w:jc w:val="right"/>
              <w:rPr>
                <w:rFonts w:eastAsia="Calibri"/>
                <w:szCs w:val="20"/>
              </w:rPr>
            </w:pPr>
            <w:r w:rsidRPr="005C1356">
              <w:rPr>
                <w:rFonts w:eastAsia="Calibri"/>
                <w:szCs w:val="20"/>
              </w:rPr>
              <w:t>193</w:t>
            </w:r>
          </w:p>
        </w:tc>
        <w:tc>
          <w:tcPr>
            <w:tcW w:w="715" w:type="pct"/>
          </w:tcPr>
          <w:p w14:paraId="334B33AC" w14:textId="77777777" w:rsidR="005546CC" w:rsidRPr="005C1356" w:rsidRDefault="005546CC" w:rsidP="00C64C9C">
            <w:pPr>
              <w:jc w:val="right"/>
              <w:rPr>
                <w:rFonts w:eastAsia="Calibri"/>
                <w:szCs w:val="20"/>
              </w:rPr>
            </w:pPr>
            <w:r w:rsidRPr="005C1356">
              <w:rPr>
                <w:rFonts w:eastAsia="Calibri"/>
                <w:szCs w:val="20"/>
              </w:rPr>
              <w:t>1</w:t>
            </w:r>
          </w:p>
        </w:tc>
        <w:tc>
          <w:tcPr>
            <w:tcW w:w="717" w:type="pct"/>
          </w:tcPr>
          <w:p w14:paraId="670A1830" w14:textId="77777777" w:rsidR="005546CC" w:rsidRPr="005C1356" w:rsidRDefault="005546CC" w:rsidP="00C64C9C">
            <w:pPr>
              <w:jc w:val="right"/>
              <w:rPr>
                <w:rFonts w:eastAsia="Calibri"/>
                <w:szCs w:val="20"/>
              </w:rPr>
            </w:pPr>
            <w:r w:rsidRPr="005C1356">
              <w:rPr>
                <w:rFonts w:eastAsia="Calibri"/>
                <w:szCs w:val="20"/>
              </w:rPr>
              <w:t>193</w:t>
            </w:r>
          </w:p>
        </w:tc>
        <w:tc>
          <w:tcPr>
            <w:tcW w:w="587" w:type="pct"/>
          </w:tcPr>
          <w:p w14:paraId="094EC6F4" w14:textId="77777777" w:rsidR="005546CC" w:rsidRPr="005C1356" w:rsidRDefault="005546CC" w:rsidP="00C64C9C">
            <w:pPr>
              <w:jc w:val="right"/>
              <w:rPr>
                <w:rFonts w:eastAsia="Calibri"/>
                <w:szCs w:val="20"/>
              </w:rPr>
            </w:pPr>
            <w:r w:rsidRPr="005C1356">
              <w:rPr>
                <w:rFonts w:eastAsia="Calibri"/>
                <w:szCs w:val="20"/>
              </w:rPr>
              <w:t>10 hrs.;</w:t>
            </w:r>
          </w:p>
          <w:p w14:paraId="2E332621" w14:textId="4EF4E6EA" w:rsidR="005546CC" w:rsidRPr="005C1356" w:rsidRDefault="005546CC" w:rsidP="00C64C9C">
            <w:pPr>
              <w:jc w:val="right"/>
              <w:rPr>
                <w:rFonts w:eastAsia="Calibri"/>
                <w:szCs w:val="20"/>
              </w:rPr>
            </w:pPr>
            <w:r w:rsidRPr="005C1356">
              <w:rPr>
                <w:rFonts w:eastAsia="Calibri"/>
                <w:szCs w:val="20"/>
              </w:rPr>
              <w:t>$</w:t>
            </w:r>
            <w:r w:rsidR="005606A0">
              <w:rPr>
                <w:rFonts w:eastAsia="Calibri"/>
                <w:szCs w:val="20"/>
              </w:rPr>
              <w:t>980</w:t>
            </w:r>
          </w:p>
        </w:tc>
        <w:tc>
          <w:tcPr>
            <w:tcW w:w="922" w:type="pct"/>
          </w:tcPr>
          <w:p w14:paraId="7B4A8F42" w14:textId="77777777" w:rsidR="005546CC" w:rsidRPr="005C1356" w:rsidRDefault="005546CC" w:rsidP="00C64C9C">
            <w:pPr>
              <w:jc w:val="right"/>
              <w:rPr>
                <w:rFonts w:eastAsia="Calibri"/>
                <w:szCs w:val="20"/>
              </w:rPr>
            </w:pPr>
            <w:r w:rsidRPr="005C1356">
              <w:rPr>
                <w:rFonts w:eastAsia="Calibri"/>
                <w:szCs w:val="20"/>
              </w:rPr>
              <w:t>1,930 hrs.;</w:t>
            </w:r>
          </w:p>
          <w:p w14:paraId="7666DDEB" w14:textId="244B78D9" w:rsidR="005546CC" w:rsidRPr="005C1356" w:rsidRDefault="005546CC" w:rsidP="00C64C9C">
            <w:pPr>
              <w:jc w:val="right"/>
              <w:rPr>
                <w:rFonts w:eastAsia="Calibri"/>
                <w:szCs w:val="20"/>
              </w:rPr>
            </w:pPr>
            <w:r w:rsidRPr="005C1356">
              <w:rPr>
                <w:rFonts w:eastAsia="Calibri"/>
                <w:szCs w:val="20"/>
              </w:rPr>
              <w:t>$</w:t>
            </w:r>
            <w:r w:rsidR="005606A0">
              <w:rPr>
                <w:rFonts w:eastAsia="Calibri"/>
                <w:szCs w:val="20"/>
              </w:rPr>
              <w:t>189,140</w:t>
            </w:r>
          </w:p>
        </w:tc>
        <w:tc>
          <w:tcPr>
            <w:tcW w:w="801" w:type="pct"/>
          </w:tcPr>
          <w:p w14:paraId="635C85D1" w14:textId="7435A440" w:rsidR="005546CC" w:rsidRPr="005C1356" w:rsidRDefault="005546CC" w:rsidP="00C64C9C">
            <w:pPr>
              <w:jc w:val="right"/>
              <w:rPr>
                <w:rFonts w:eastAsia="Calibri"/>
                <w:szCs w:val="20"/>
              </w:rPr>
            </w:pPr>
            <w:r w:rsidRPr="005C1356">
              <w:rPr>
                <w:rFonts w:eastAsia="Calibri"/>
                <w:szCs w:val="20"/>
              </w:rPr>
              <w:t>$</w:t>
            </w:r>
            <w:r w:rsidR="005606A0">
              <w:rPr>
                <w:rFonts w:eastAsia="Calibri"/>
                <w:szCs w:val="20"/>
              </w:rPr>
              <w:t>980</w:t>
            </w:r>
          </w:p>
        </w:tc>
      </w:tr>
      <w:tr w:rsidR="002C1FF9" w:rsidRPr="005C1356" w14:paraId="3DC079B8" w14:textId="77777777" w:rsidTr="00C64C9C">
        <w:trPr>
          <w:cantSplit/>
        </w:trPr>
        <w:tc>
          <w:tcPr>
            <w:tcW w:w="585" w:type="pct"/>
          </w:tcPr>
          <w:p w14:paraId="1852DB83" w14:textId="77777777" w:rsidR="005546CC" w:rsidRPr="005C1356" w:rsidRDefault="005546CC" w:rsidP="00C64C9C">
            <w:pPr>
              <w:rPr>
                <w:rFonts w:eastAsia="Calibri"/>
                <w:szCs w:val="20"/>
              </w:rPr>
            </w:pPr>
            <w:r w:rsidRPr="005C1356">
              <w:rPr>
                <w:rFonts w:eastAsia="Calibri"/>
                <w:szCs w:val="20"/>
              </w:rPr>
              <w:t>FERC-549C (one-time)</w:t>
            </w:r>
          </w:p>
        </w:tc>
        <w:tc>
          <w:tcPr>
            <w:tcW w:w="673" w:type="pct"/>
          </w:tcPr>
          <w:p w14:paraId="3DBBEE8E" w14:textId="77777777" w:rsidR="005546CC" w:rsidRPr="005C1356" w:rsidRDefault="005546CC" w:rsidP="00C64C9C">
            <w:pPr>
              <w:jc w:val="right"/>
              <w:rPr>
                <w:rFonts w:eastAsia="Calibri"/>
                <w:szCs w:val="20"/>
              </w:rPr>
            </w:pPr>
            <w:r w:rsidRPr="005C1356">
              <w:rPr>
                <w:rFonts w:eastAsia="Calibri"/>
                <w:szCs w:val="20"/>
              </w:rPr>
              <w:t>193</w:t>
            </w:r>
          </w:p>
        </w:tc>
        <w:tc>
          <w:tcPr>
            <w:tcW w:w="715" w:type="pct"/>
          </w:tcPr>
          <w:p w14:paraId="6DBB9FBD" w14:textId="77777777" w:rsidR="005546CC" w:rsidRPr="005C1356" w:rsidRDefault="005546CC" w:rsidP="00C64C9C">
            <w:pPr>
              <w:jc w:val="right"/>
              <w:rPr>
                <w:rFonts w:eastAsia="Calibri"/>
                <w:szCs w:val="20"/>
              </w:rPr>
            </w:pPr>
            <w:r w:rsidRPr="005C1356">
              <w:rPr>
                <w:rFonts w:eastAsia="Calibri"/>
                <w:szCs w:val="20"/>
              </w:rPr>
              <w:t>1</w:t>
            </w:r>
          </w:p>
        </w:tc>
        <w:tc>
          <w:tcPr>
            <w:tcW w:w="717" w:type="pct"/>
          </w:tcPr>
          <w:p w14:paraId="51EC13EA" w14:textId="77777777" w:rsidR="005546CC" w:rsidRPr="005C1356" w:rsidRDefault="005546CC" w:rsidP="00C64C9C">
            <w:pPr>
              <w:jc w:val="right"/>
              <w:rPr>
                <w:rFonts w:eastAsia="Calibri"/>
                <w:szCs w:val="20"/>
              </w:rPr>
            </w:pPr>
            <w:r w:rsidRPr="005C1356">
              <w:rPr>
                <w:rFonts w:eastAsia="Calibri"/>
                <w:szCs w:val="20"/>
              </w:rPr>
              <w:t>193</w:t>
            </w:r>
          </w:p>
        </w:tc>
        <w:tc>
          <w:tcPr>
            <w:tcW w:w="587" w:type="pct"/>
          </w:tcPr>
          <w:p w14:paraId="68C4D464" w14:textId="77777777" w:rsidR="005546CC" w:rsidRPr="005C1356" w:rsidRDefault="005546CC" w:rsidP="00C64C9C">
            <w:pPr>
              <w:jc w:val="right"/>
              <w:rPr>
                <w:rFonts w:eastAsia="Calibri"/>
                <w:szCs w:val="20"/>
              </w:rPr>
            </w:pPr>
            <w:r w:rsidRPr="005C1356">
              <w:rPr>
                <w:rFonts w:eastAsia="Calibri"/>
                <w:szCs w:val="20"/>
              </w:rPr>
              <w:t>100 hrs.;</w:t>
            </w:r>
          </w:p>
          <w:p w14:paraId="6214FF1B" w14:textId="48EB1FEA" w:rsidR="005546CC" w:rsidRPr="005C1356" w:rsidRDefault="005546CC" w:rsidP="00C64C9C">
            <w:pPr>
              <w:jc w:val="right"/>
              <w:rPr>
                <w:rFonts w:eastAsia="Calibri"/>
                <w:szCs w:val="20"/>
              </w:rPr>
            </w:pPr>
            <w:r w:rsidRPr="005C1356">
              <w:rPr>
                <w:rFonts w:eastAsia="Calibri"/>
                <w:szCs w:val="20"/>
              </w:rPr>
              <w:t>$</w:t>
            </w:r>
            <w:r w:rsidR="005606A0">
              <w:rPr>
                <w:rFonts w:eastAsia="Calibri"/>
                <w:szCs w:val="20"/>
              </w:rPr>
              <w:t>9,800</w:t>
            </w:r>
          </w:p>
        </w:tc>
        <w:tc>
          <w:tcPr>
            <w:tcW w:w="922" w:type="pct"/>
          </w:tcPr>
          <w:p w14:paraId="5A8B9589" w14:textId="77777777" w:rsidR="005546CC" w:rsidRPr="005C1356" w:rsidRDefault="005546CC" w:rsidP="00C64C9C">
            <w:pPr>
              <w:jc w:val="right"/>
              <w:rPr>
                <w:rFonts w:eastAsia="Calibri"/>
                <w:szCs w:val="20"/>
              </w:rPr>
            </w:pPr>
            <w:r w:rsidRPr="005C1356">
              <w:rPr>
                <w:rFonts w:eastAsia="Calibri"/>
                <w:szCs w:val="20"/>
              </w:rPr>
              <w:t>19,300 hrs.;</w:t>
            </w:r>
          </w:p>
          <w:p w14:paraId="37F483BC" w14:textId="7F3426CD" w:rsidR="005546CC" w:rsidRPr="005C1356" w:rsidRDefault="005546CC" w:rsidP="00C64C9C">
            <w:pPr>
              <w:jc w:val="right"/>
              <w:rPr>
                <w:rFonts w:eastAsia="Calibri"/>
                <w:szCs w:val="20"/>
              </w:rPr>
            </w:pPr>
            <w:r w:rsidRPr="005C1356">
              <w:rPr>
                <w:rFonts w:eastAsia="Calibri"/>
                <w:szCs w:val="20"/>
              </w:rPr>
              <w:t>$</w:t>
            </w:r>
            <w:r w:rsidR="005606A0">
              <w:rPr>
                <w:rFonts w:eastAsia="Calibri"/>
                <w:szCs w:val="20"/>
              </w:rPr>
              <w:t>1,891,400</w:t>
            </w:r>
          </w:p>
        </w:tc>
        <w:tc>
          <w:tcPr>
            <w:tcW w:w="801" w:type="pct"/>
          </w:tcPr>
          <w:p w14:paraId="3A6E8A68" w14:textId="55D935C7" w:rsidR="005546CC" w:rsidRPr="005C1356" w:rsidRDefault="005546CC" w:rsidP="00C64C9C">
            <w:pPr>
              <w:jc w:val="right"/>
              <w:rPr>
                <w:rFonts w:eastAsia="Calibri"/>
                <w:szCs w:val="20"/>
              </w:rPr>
            </w:pPr>
            <w:r w:rsidRPr="005C1356">
              <w:rPr>
                <w:rFonts w:eastAsia="Calibri"/>
                <w:szCs w:val="20"/>
              </w:rPr>
              <w:t>$</w:t>
            </w:r>
            <w:r w:rsidR="005606A0">
              <w:rPr>
                <w:rFonts w:eastAsia="Calibri"/>
                <w:szCs w:val="20"/>
              </w:rPr>
              <w:t>9,800</w:t>
            </w:r>
          </w:p>
        </w:tc>
      </w:tr>
      <w:tr w:rsidR="00672489" w:rsidRPr="005C1356" w14:paraId="448927EA" w14:textId="77777777" w:rsidTr="00C64C9C">
        <w:trPr>
          <w:cantSplit/>
        </w:trPr>
        <w:tc>
          <w:tcPr>
            <w:tcW w:w="585" w:type="pct"/>
          </w:tcPr>
          <w:p w14:paraId="1C0A5BB1" w14:textId="77777777" w:rsidR="005546CC" w:rsidRPr="005C1356" w:rsidRDefault="005546CC" w:rsidP="00C64C9C">
            <w:pPr>
              <w:rPr>
                <w:rFonts w:eastAsia="Calibri"/>
                <w:b/>
                <w:szCs w:val="20"/>
              </w:rPr>
            </w:pPr>
            <w:r w:rsidRPr="005C1356">
              <w:rPr>
                <w:rFonts w:eastAsia="Calibri"/>
                <w:b/>
                <w:szCs w:val="20"/>
              </w:rPr>
              <w:t>TOTAL</w:t>
            </w:r>
          </w:p>
        </w:tc>
        <w:tc>
          <w:tcPr>
            <w:tcW w:w="1388" w:type="pct"/>
            <w:gridSpan w:val="2"/>
            <w:shd w:val="clear" w:color="auto" w:fill="D9D9D9" w:themeFill="background1" w:themeFillShade="D9"/>
          </w:tcPr>
          <w:p w14:paraId="546C5297" w14:textId="77777777" w:rsidR="005546CC" w:rsidRPr="005C1356" w:rsidRDefault="005546CC" w:rsidP="00C64C9C">
            <w:pPr>
              <w:jc w:val="right"/>
              <w:rPr>
                <w:rFonts w:eastAsia="Calibri"/>
                <w:szCs w:val="20"/>
              </w:rPr>
            </w:pPr>
          </w:p>
        </w:tc>
        <w:tc>
          <w:tcPr>
            <w:tcW w:w="717" w:type="pct"/>
          </w:tcPr>
          <w:p w14:paraId="5AA95B06" w14:textId="77777777" w:rsidR="005546CC" w:rsidRPr="005C1356" w:rsidRDefault="005546CC" w:rsidP="00C64C9C">
            <w:pPr>
              <w:jc w:val="right"/>
              <w:rPr>
                <w:rFonts w:eastAsia="Calibri"/>
                <w:szCs w:val="20"/>
              </w:rPr>
            </w:pPr>
            <w:r w:rsidRPr="005C1356">
              <w:rPr>
                <w:rFonts w:eastAsia="Calibri"/>
                <w:szCs w:val="20"/>
              </w:rPr>
              <w:t>386</w:t>
            </w:r>
          </w:p>
        </w:tc>
        <w:tc>
          <w:tcPr>
            <w:tcW w:w="587" w:type="pct"/>
            <w:shd w:val="clear" w:color="auto" w:fill="D9D9D9" w:themeFill="background1" w:themeFillShade="D9"/>
          </w:tcPr>
          <w:p w14:paraId="2E15CBCC" w14:textId="77777777" w:rsidR="005546CC" w:rsidRPr="005C1356" w:rsidRDefault="005546CC" w:rsidP="00C64C9C">
            <w:pPr>
              <w:jc w:val="right"/>
              <w:rPr>
                <w:rFonts w:eastAsia="Calibri"/>
                <w:szCs w:val="20"/>
              </w:rPr>
            </w:pPr>
          </w:p>
        </w:tc>
        <w:tc>
          <w:tcPr>
            <w:tcW w:w="922" w:type="pct"/>
          </w:tcPr>
          <w:p w14:paraId="15382A0D" w14:textId="77777777" w:rsidR="005546CC" w:rsidRPr="005C1356" w:rsidRDefault="005546CC" w:rsidP="00C64C9C">
            <w:pPr>
              <w:jc w:val="right"/>
              <w:rPr>
                <w:rFonts w:eastAsia="Calibri"/>
                <w:szCs w:val="20"/>
              </w:rPr>
            </w:pPr>
            <w:r w:rsidRPr="005C1356">
              <w:rPr>
                <w:rFonts w:eastAsia="Calibri"/>
                <w:szCs w:val="20"/>
              </w:rPr>
              <w:t>21,230 hrs.;</w:t>
            </w:r>
          </w:p>
          <w:p w14:paraId="26B1FF81" w14:textId="08F0F72D" w:rsidR="005546CC" w:rsidRPr="005C1356" w:rsidRDefault="005546CC" w:rsidP="00C64C9C">
            <w:pPr>
              <w:jc w:val="right"/>
              <w:rPr>
                <w:rFonts w:eastAsia="Calibri"/>
                <w:szCs w:val="20"/>
              </w:rPr>
            </w:pPr>
            <w:r w:rsidRPr="005C1356">
              <w:rPr>
                <w:rFonts w:eastAsia="Calibri"/>
                <w:szCs w:val="20"/>
              </w:rPr>
              <w:t>$</w:t>
            </w:r>
            <w:r w:rsidR="005606A0">
              <w:rPr>
                <w:rFonts w:eastAsia="Calibri"/>
                <w:szCs w:val="20"/>
              </w:rPr>
              <w:t>2,080,540</w:t>
            </w:r>
          </w:p>
        </w:tc>
        <w:tc>
          <w:tcPr>
            <w:tcW w:w="801" w:type="pct"/>
            <w:shd w:val="clear" w:color="auto" w:fill="D9D9D9" w:themeFill="background1" w:themeFillShade="D9"/>
          </w:tcPr>
          <w:p w14:paraId="15A3B5FB" w14:textId="77777777" w:rsidR="005546CC" w:rsidRPr="005C1356" w:rsidRDefault="005546CC" w:rsidP="00C64C9C">
            <w:pPr>
              <w:jc w:val="right"/>
              <w:rPr>
                <w:rFonts w:eastAsia="Calibri"/>
                <w:szCs w:val="20"/>
              </w:rPr>
            </w:pPr>
          </w:p>
        </w:tc>
      </w:tr>
    </w:tbl>
    <w:p w14:paraId="5CCD0BA8" w14:textId="77777777" w:rsidR="005546CC" w:rsidRPr="005C1356" w:rsidRDefault="005546CC" w:rsidP="005546CC">
      <w:pPr>
        <w:pStyle w:val="FERCparanumber"/>
        <w:numPr>
          <w:ilvl w:val="0"/>
          <w:numId w:val="0"/>
        </w:numPr>
      </w:pPr>
    </w:p>
    <w:p w14:paraId="41450918" w14:textId="77777777" w:rsidR="005546CC" w:rsidRPr="005C1356" w:rsidRDefault="005546CC" w:rsidP="005546CC">
      <w:pPr>
        <w:pStyle w:val="FERCparanumber"/>
        <w:numPr>
          <w:ilvl w:val="0"/>
          <w:numId w:val="0"/>
        </w:numPr>
      </w:pPr>
      <w:r w:rsidRPr="005C1356">
        <w:t xml:space="preserve">The </w:t>
      </w:r>
      <w:r>
        <w:t xml:space="preserve">total </w:t>
      </w:r>
      <w:r w:rsidRPr="005C1356">
        <w:t xml:space="preserve">one-time burden (for both the FERC-545 and FERC-549C) </w:t>
      </w:r>
      <w:r>
        <w:t>would</w:t>
      </w:r>
      <w:r w:rsidRPr="005C1356">
        <w:t xml:space="preserve"> take place in </w:t>
      </w:r>
      <w:r>
        <w:t xml:space="preserve">   </w:t>
      </w:r>
      <w:r w:rsidRPr="005C1356">
        <w:t>Year</w:t>
      </w:r>
      <w:r>
        <w:t xml:space="preserve"> </w:t>
      </w:r>
      <w:r w:rsidRPr="005C1356">
        <w:t>1</w:t>
      </w:r>
      <w:r>
        <w:t xml:space="preserve"> as follows:</w:t>
      </w:r>
      <w:r w:rsidRPr="005C1356" w:rsidDel="000B653C">
        <w:t xml:space="preserve"> </w:t>
      </w:r>
    </w:p>
    <w:p w14:paraId="107AA820" w14:textId="73C1C4FF" w:rsidR="005546CC" w:rsidRPr="005C1356" w:rsidRDefault="005546CC" w:rsidP="005546CC">
      <w:pPr>
        <w:pStyle w:val="FERCparanumber"/>
        <w:numPr>
          <w:ilvl w:val="0"/>
          <w:numId w:val="0"/>
        </w:numPr>
      </w:pPr>
      <w:r w:rsidRPr="005C1356">
        <w:lastRenderedPageBreak/>
        <w:t xml:space="preserve">FERC-545: </w:t>
      </w:r>
      <w:r>
        <w:t xml:space="preserve"> 193 entities x 1 response/entity (1</w:t>
      </w:r>
      <w:r w:rsidRPr="005C1356">
        <w:t>0 hours</w:t>
      </w:r>
      <w:r>
        <w:t>/response</w:t>
      </w:r>
      <w:r w:rsidRPr="005C1356">
        <w:t xml:space="preserve"> </w:t>
      </w:r>
      <w:r>
        <w:t>x $</w:t>
      </w:r>
      <w:r w:rsidR="005606A0">
        <w:t>98</w:t>
      </w:r>
      <w:r>
        <w:t>/hour) = $</w:t>
      </w:r>
      <w:r w:rsidR="005606A0">
        <w:t>189,140</w:t>
      </w:r>
    </w:p>
    <w:p w14:paraId="4C909543" w14:textId="3F97BA69" w:rsidR="005546CC" w:rsidRPr="005C1356" w:rsidRDefault="005546CC" w:rsidP="005546CC">
      <w:pPr>
        <w:pStyle w:val="FERCparanumber"/>
        <w:numPr>
          <w:ilvl w:val="0"/>
          <w:numId w:val="0"/>
        </w:numPr>
      </w:pPr>
      <w:r w:rsidRPr="005C1356">
        <w:t xml:space="preserve">FERC-549C: </w:t>
      </w:r>
      <w:r>
        <w:t xml:space="preserve"> 193 entities x 1 response/entity (100</w:t>
      </w:r>
      <w:r w:rsidRPr="005C1356">
        <w:t xml:space="preserve"> hours </w:t>
      </w:r>
      <w:r>
        <w:t>x $</w:t>
      </w:r>
      <w:r w:rsidR="005606A0">
        <w:t>98</w:t>
      </w:r>
      <w:r>
        <w:t>/hour) = $</w:t>
      </w:r>
      <w:r w:rsidR="00AD3C84">
        <w:rPr>
          <w:rFonts w:eastAsia="Calibri"/>
          <w:szCs w:val="20"/>
        </w:rPr>
        <w:t>1,891,400</w:t>
      </w:r>
    </w:p>
    <w:p w14:paraId="61BB09AC" w14:textId="77777777" w:rsidR="005546CC" w:rsidRPr="005C1356" w:rsidRDefault="005546CC" w:rsidP="005546CC">
      <w:pPr>
        <w:pStyle w:val="FERCparanumber"/>
        <w:numPr>
          <w:ilvl w:val="0"/>
          <w:numId w:val="0"/>
        </w:numPr>
      </w:pPr>
      <w:r w:rsidRPr="005C1356">
        <w:rPr>
          <w:u w:val="single"/>
        </w:rPr>
        <w:t>Title</w:t>
      </w:r>
      <w:r w:rsidRPr="005C1356">
        <w:t xml:space="preserve">:  </w:t>
      </w:r>
      <w:r>
        <w:t xml:space="preserve"> </w:t>
      </w:r>
      <w:r w:rsidRPr="005C1356">
        <w:t>FERC-545, Gas Pipeline Rates: Rates Change (Non-Formal);</w:t>
      </w:r>
      <w:r w:rsidRPr="005C1356">
        <w:tab/>
      </w:r>
    </w:p>
    <w:p w14:paraId="5F6EFF9F" w14:textId="77777777" w:rsidR="005546CC" w:rsidRPr="005C1356" w:rsidRDefault="005546CC" w:rsidP="005546CC">
      <w:pPr>
        <w:pStyle w:val="FERCparanumber"/>
        <w:numPr>
          <w:ilvl w:val="0"/>
          <w:numId w:val="0"/>
        </w:numPr>
      </w:pPr>
      <w:r w:rsidRPr="005C1356">
        <w:t>FERC-549C, Standards for Business Practices of Interstate Natural Gas Pipelines.</w:t>
      </w:r>
    </w:p>
    <w:p w14:paraId="4051656E" w14:textId="77777777" w:rsidR="005546CC" w:rsidRPr="005C1356" w:rsidRDefault="005546CC" w:rsidP="005546CC">
      <w:pPr>
        <w:pStyle w:val="FERCparanumber"/>
        <w:numPr>
          <w:ilvl w:val="0"/>
          <w:numId w:val="0"/>
        </w:numPr>
      </w:pPr>
      <w:r w:rsidRPr="005C1356">
        <w:rPr>
          <w:u w:val="single"/>
        </w:rPr>
        <w:t>Action</w:t>
      </w:r>
      <w:r w:rsidRPr="005C1356">
        <w:t>:  Proposed information collections</w:t>
      </w:r>
    </w:p>
    <w:p w14:paraId="0DAD11AB" w14:textId="77777777" w:rsidR="005546CC" w:rsidRPr="005C1356" w:rsidRDefault="005546CC" w:rsidP="005546CC">
      <w:pPr>
        <w:pStyle w:val="FERCparanumber"/>
        <w:numPr>
          <w:ilvl w:val="0"/>
          <w:numId w:val="0"/>
        </w:numPr>
      </w:pPr>
      <w:r w:rsidRPr="005C1356">
        <w:rPr>
          <w:u w:val="single"/>
        </w:rPr>
        <w:t>OMB Control Nos.</w:t>
      </w:r>
      <w:r w:rsidRPr="005C1356">
        <w:t xml:space="preserve">:  </w:t>
      </w:r>
      <w:r w:rsidRPr="000023B6">
        <w:t>1902-0154 (FERC-545), 1902-0174 (FERC-549C).</w:t>
      </w:r>
    </w:p>
    <w:p w14:paraId="438B8564" w14:textId="77777777" w:rsidR="005546CC" w:rsidRPr="005C1356" w:rsidRDefault="005546CC" w:rsidP="005546CC">
      <w:pPr>
        <w:pStyle w:val="FERCparanumber"/>
        <w:numPr>
          <w:ilvl w:val="0"/>
          <w:numId w:val="0"/>
        </w:numPr>
      </w:pPr>
      <w:r w:rsidRPr="005C1356">
        <w:rPr>
          <w:u w:val="single"/>
        </w:rPr>
        <w:t>Respondents</w:t>
      </w:r>
      <w:r w:rsidRPr="005C1356">
        <w:t>:  Business or other for profit (e.g., Natural Gas Pipelines, applicable to only a few small businesses).</w:t>
      </w:r>
    </w:p>
    <w:p w14:paraId="5A8936FA" w14:textId="77777777" w:rsidR="005546CC" w:rsidRDefault="005546CC" w:rsidP="005546CC">
      <w:pPr>
        <w:pStyle w:val="FERCparanumber"/>
        <w:numPr>
          <w:ilvl w:val="0"/>
          <w:numId w:val="0"/>
        </w:numPr>
      </w:pPr>
      <w:r w:rsidRPr="005C1356">
        <w:rPr>
          <w:u w:val="single"/>
        </w:rPr>
        <w:t>Frequency of Responses</w:t>
      </w:r>
      <w:r w:rsidRPr="005C1356">
        <w:t>:  One-time implementation (related to business procedures, capital/start-up).</w:t>
      </w:r>
    </w:p>
    <w:p w14:paraId="5D0EF301" w14:textId="0E614D6E" w:rsidR="005546CC" w:rsidRDefault="005546CC" w:rsidP="005546CC">
      <w:pPr>
        <w:pStyle w:val="FERCparanumber"/>
      </w:pPr>
      <w:r w:rsidRPr="008442B8">
        <w:rPr>
          <w:u w:val="single"/>
        </w:rPr>
        <w:t>Necessity of Information</w:t>
      </w:r>
      <w:r>
        <w:t xml:space="preserve">:  In response to NAESB’s standard development activities, the </w:t>
      </w:r>
      <w:r w:rsidRPr="00352A6A">
        <w:t xml:space="preserve">proposals in this NOPR would, if implemented, make minor adjustments to the standards previously </w:t>
      </w:r>
      <w:r w:rsidR="00674C01">
        <w:t>incorporated by reference</w:t>
      </w:r>
      <w:r w:rsidR="00674C01" w:rsidRPr="00352A6A">
        <w:t xml:space="preserve"> </w:t>
      </w:r>
      <w:r w:rsidRPr="00352A6A">
        <w:t xml:space="preserve">by the Commission.  </w:t>
      </w:r>
      <w:r>
        <w:t xml:space="preserve">First, a </w:t>
      </w:r>
      <w:r w:rsidR="008826C2">
        <w:t>revised</w:t>
      </w:r>
      <w:r>
        <w:t xml:space="preserve"> standard in the WGQ </w:t>
      </w:r>
      <w:r w:rsidR="008826C2" w:rsidRPr="008826C2">
        <w:t xml:space="preserve">Quadrant Electronic Delivery Mechanism Related Standards </w:t>
      </w:r>
      <w:r>
        <w:t>manual, WGQ Standard No. 4.3.23,</w:t>
      </w:r>
      <w:r w:rsidRPr="00352A6A">
        <w:t xml:space="preserve"> </w:t>
      </w:r>
      <w:r>
        <w:t xml:space="preserve">establishes a new information posting category </w:t>
      </w:r>
      <w:r w:rsidR="000D1C88">
        <w:t>-</w:t>
      </w:r>
      <w:r w:rsidR="00C749F3">
        <w:t xml:space="preserve"> </w:t>
      </w:r>
      <w:r>
        <w:t xml:space="preserve">Gas Electric Coordination, for use by a transportation service provider when applicable, to help </w:t>
      </w:r>
      <w:r w:rsidRPr="00EA1751">
        <w:t>streamline the process for</w:t>
      </w:r>
      <w:r>
        <w:t xml:space="preserve"> RTOs/</w:t>
      </w:r>
      <w:r w:rsidRPr="00EA1751">
        <w:t xml:space="preserve">ISOs and other parties </w:t>
      </w:r>
      <w:r>
        <w:t xml:space="preserve">accessing critical </w:t>
      </w:r>
      <w:r w:rsidRPr="00EA1751">
        <w:t xml:space="preserve">data during extreme </w:t>
      </w:r>
      <w:r>
        <w:t xml:space="preserve">cold </w:t>
      </w:r>
      <w:r w:rsidRPr="00EA1751">
        <w:t>weather or emergency events.</w:t>
      </w:r>
      <w:r>
        <w:t xml:space="preserve">  Second</w:t>
      </w:r>
      <w:r w:rsidRPr="008826C2">
        <w:t>, a new</w:t>
      </w:r>
      <w:r w:rsidRPr="00352A6A">
        <w:t xml:space="preserve"> standard in the WGQ Additional Standards manual</w:t>
      </w:r>
      <w:r w:rsidRPr="001349E4">
        <w:t>, WGQ Standard No. 0.3.30,</w:t>
      </w:r>
      <w:r w:rsidRPr="00352A6A">
        <w:t xml:space="preserve"> facilitate</w:t>
      </w:r>
      <w:r w:rsidR="008826C2">
        <w:t>s</w:t>
      </w:r>
      <w:r w:rsidRPr="00352A6A">
        <w:t xml:space="preserve"> the posting of applicable scheduled quantity information</w:t>
      </w:r>
      <w:r w:rsidRPr="001349E4">
        <w:t xml:space="preserve"> </w:t>
      </w:r>
      <w:r w:rsidRPr="00352A6A">
        <w:t>for directly connected power plants</w:t>
      </w:r>
      <w:r>
        <w:t>,</w:t>
      </w:r>
      <w:r w:rsidRPr="00352A6A">
        <w:t xml:space="preserve"> as part of the Gas Electric Coordination category</w:t>
      </w:r>
      <w:r>
        <w:t>.  T</w:t>
      </w:r>
      <w:r w:rsidRPr="00352A6A">
        <w:t>ypes of data that could be provided</w:t>
      </w:r>
      <w:r>
        <w:t xml:space="preserve"> include,</w:t>
      </w:r>
      <w:r w:rsidRPr="00352A6A">
        <w:t xml:space="preserve"> Cycle Indicator, Effective Gas Day, Location, Location Name, Location County, </w:t>
      </w:r>
      <w:r w:rsidRPr="00352A6A">
        <w:lastRenderedPageBreak/>
        <w:t>Location State Abbreviation, Measurement Bases, Posting Date, Posting Time, RTO/ISO, and Total Scheduled Quantity.</w:t>
      </w:r>
      <w:r>
        <w:t xml:space="preserve">  Third, </w:t>
      </w:r>
      <w:r w:rsidRPr="00406B4C">
        <w:t>a new standard in the WGQ Capacity Release</w:t>
      </w:r>
      <w:r w:rsidR="008826C2">
        <w:t xml:space="preserve"> Related</w:t>
      </w:r>
      <w:r w:rsidRPr="00406B4C">
        <w:t xml:space="preserve"> Standards manual, </w:t>
      </w:r>
      <w:r>
        <w:t xml:space="preserve">WGQ Standard No. 5.3.74, </w:t>
      </w:r>
      <w:r w:rsidRPr="00406B4C">
        <w:t xml:space="preserve">would </w:t>
      </w:r>
      <w:r w:rsidR="0018387A">
        <w:t>support</w:t>
      </w:r>
      <w:r w:rsidRPr="00406B4C">
        <w:t xml:space="preserve"> the inclusion of the geographic information of impacted areas, locations, or pipeline facilities by a transportation service provider when issuing a critical notice.</w:t>
      </w:r>
      <w:r>
        <w:t xml:space="preserve">  If the above standards are implemented, </w:t>
      </w:r>
      <w:r w:rsidRPr="001D1903">
        <w:t>the Commission’s Office of Enforcement will use the data for general industry oversight.</w:t>
      </w:r>
    </w:p>
    <w:p w14:paraId="218D5391" w14:textId="77777777" w:rsidR="005546CC" w:rsidRDefault="005546CC" w:rsidP="005546CC">
      <w:pPr>
        <w:pStyle w:val="FERCparanumber"/>
        <w:numPr>
          <w:ilvl w:val="0"/>
          <w:numId w:val="0"/>
        </w:numPr>
      </w:pPr>
      <w:r>
        <w:rPr>
          <w:u w:val="single"/>
        </w:rPr>
        <w:t>Internal Review:</w:t>
      </w:r>
      <w:r>
        <w:t xml:space="preserve">  We have reviewed the requirements pertaining to business practices of interstate natural gas pipelines and made a preliminary determination that the proposed revisions are necessary to establish a more efficient and integrated pipeline network.  These requirements conform to our plan for efficient information collection, communication, and management within the natural gas pipeline industries.  We determined through our internal review that there is specific, objective support for the burden estimates associated with the information requirements.</w:t>
      </w:r>
    </w:p>
    <w:p w14:paraId="45CBB239" w14:textId="1D9F6433" w:rsidR="005546CC" w:rsidRDefault="005546CC" w:rsidP="005546CC">
      <w:pPr>
        <w:pStyle w:val="FERCparanumber"/>
      </w:pPr>
      <w:r>
        <w:t>Interested persons may obtain information on the reporting requirements by contacting the following:  Federal Energy Regulatory Commission</w:t>
      </w:r>
      <w:r w:rsidRPr="00932257">
        <w:t>, 888 First Street, NE, Washington, DC</w:t>
      </w:r>
      <w:r>
        <w:t xml:space="preserve"> </w:t>
      </w:r>
      <w:r w:rsidRPr="00932257">
        <w:t>20426</w:t>
      </w:r>
      <w:r>
        <w:t>;</w:t>
      </w:r>
      <w:r w:rsidRPr="00932257">
        <w:t xml:space="preserve"> </w:t>
      </w:r>
      <w:r>
        <w:t xml:space="preserve">email: </w:t>
      </w:r>
      <w:r w:rsidR="00EA47F2">
        <w:t xml:space="preserve"> </w:t>
      </w:r>
      <w:r w:rsidRPr="00ED0C28">
        <w:t>DataClearance@ferc.gov</w:t>
      </w:r>
      <w:r w:rsidRPr="005C1356">
        <w:rPr>
          <w:rStyle w:val="Hyperlink"/>
          <w:color w:val="auto"/>
          <w:u w:val="none"/>
        </w:rPr>
        <w:t>.</w:t>
      </w:r>
    </w:p>
    <w:p w14:paraId="328118AA" w14:textId="77777777" w:rsidR="005546CC" w:rsidRPr="00A47B31" w:rsidRDefault="005546CC" w:rsidP="005546CC">
      <w:pPr>
        <w:pStyle w:val="FERCparanumber"/>
      </w:pPr>
      <w:r>
        <w:t>Comments concerning the collection of information(s) and the associated burden estimate(s), should be sent to the Office of Information and Regulatory Affairs, the Office of Management and Budget, Washington, DC 20503: attention: Desk Officer for the Federal Energy Regulatory Commission, phone: (202) 395-0710; fax: (202) 395-</w:t>
      </w:r>
      <w:r>
        <w:lastRenderedPageBreak/>
        <w:t xml:space="preserve">4718.  </w:t>
      </w:r>
      <w:r w:rsidRPr="00A47B31">
        <w:t xml:space="preserve">A copy of the comments </w:t>
      </w:r>
      <w:r>
        <w:t>on information collection</w:t>
      </w:r>
      <w:r w:rsidRPr="00A47B31">
        <w:t xml:space="preserve"> should also be sent to the Commission, in Docket No. </w:t>
      </w:r>
      <w:r>
        <w:t xml:space="preserve">RM96-1-044 </w:t>
      </w:r>
      <w:r w:rsidRPr="00A47B31">
        <w:t>by any of the following methods:</w:t>
      </w:r>
    </w:p>
    <w:p w14:paraId="1D9BF113" w14:textId="77777777" w:rsidR="005546CC" w:rsidRDefault="005546CC" w:rsidP="005546CC">
      <w:pPr>
        <w:pStyle w:val="FERCparanumber"/>
        <w:numPr>
          <w:ilvl w:val="0"/>
          <w:numId w:val="24"/>
        </w:numPr>
      </w:pPr>
      <w:proofErr w:type="spellStart"/>
      <w:r w:rsidRPr="00A47B31">
        <w:t>eFiling</w:t>
      </w:r>
      <w:proofErr w:type="spellEnd"/>
      <w:r w:rsidRPr="00A47B31">
        <w:t xml:space="preserve"> at Commission’s Web Site: </w:t>
      </w:r>
      <w:r>
        <w:t>https://</w:t>
      </w:r>
      <w:r w:rsidRPr="00ED0C28">
        <w:t>www.ferc.gov/docs-filing/efiling.asp</w:t>
      </w:r>
      <w:r>
        <w:t>;</w:t>
      </w:r>
    </w:p>
    <w:p w14:paraId="027C2C0A" w14:textId="77777777" w:rsidR="005546CC" w:rsidRDefault="005546CC" w:rsidP="005546CC">
      <w:pPr>
        <w:pStyle w:val="FERCparanumber"/>
        <w:numPr>
          <w:ilvl w:val="0"/>
          <w:numId w:val="24"/>
        </w:numPr>
      </w:pPr>
      <w:r w:rsidRPr="00A47B31">
        <w:t xml:space="preserve">U.S. Postal Service Mail: </w:t>
      </w:r>
      <w:r>
        <w:t xml:space="preserve"> </w:t>
      </w:r>
      <w:r w:rsidRPr="00A47B31">
        <w:t>Persons unable to file electronically may mail similar pleadings to the Federal Energy Regulatory Commission, 888 First Street, NE, Washington, DC 20426</w:t>
      </w:r>
      <w:r>
        <w:t>; or</w:t>
      </w:r>
    </w:p>
    <w:p w14:paraId="70B22FB5" w14:textId="5C840992" w:rsidR="005546CC" w:rsidRPr="00B61165" w:rsidRDefault="005546CC" w:rsidP="005546CC">
      <w:pPr>
        <w:pStyle w:val="FERCparanumber"/>
        <w:numPr>
          <w:ilvl w:val="0"/>
          <w:numId w:val="24"/>
        </w:numPr>
      </w:pPr>
      <w:r>
        <w:t>D</w:t>
      </w:r>
      <w:r w:rsidRPr="00A47B31">
        <w:t xml:space="preserve">elivery of filings other than by </w:t>
      </w:r>
      <w:proofErr w:type="spellStart"/>
      <w:r w:rsidRPr="00A47B31">
        <w:t>eFiling</w:t>
      </w:r>
      <w:proofErr w:type="spellEnd"/>
      <w:r w:rsidRPr="00A47B31">
        <w:t xml:space="preserve"> or the U.S. Postal Service should be delivered to </w:t>
      </w:r>
      <w:r w:rsidR="0055796C">
        <w:t xml:space="preserve">the </w:t>
      </w:r>
      <w:r w:rsidR="00BE3BAB" w:rsidRPr="00BE3BAB">
        <w:t>Federal Energy Regulatory Commission,</w:t>
      </w:r>
      <w:r w:rsidRPr="00A47B31">
        <w:t xml:space="preserve"> 12225 Wilkins Avenue, Rockville, </w:t>
      </w:r>
      <w:r w:rsidR="001D046B">
        <w:t>MD</w:t>
      </w:r>
      <w:r w:rsidR="001D046B" w:rsidRPr="00A47B31">
        <w:t xml:space="preserve"> </w:t>
      </w:r>
      <w:r w:rsidRPr="00A47B31">
        <w:t>20852.</w:t>
      </w:r>
    </w:p>
    <w:p w14:paraId="7EDD15CF" w14:textId="77777777" w:rsidR="005546CC" w:rsidRPr="00D4523C" w:rsidRDefault="005546CC" w:rsidP="005546CC">
      <w:pPr>
        <w:pStyle w:val="Heading1"/>
        <w:rPr>
          <w:u w:val="single"/>
        </w:rPr>
      </w:pPr>
      <w:bookmarkStart w:id="34" w:name="_bmk12"/>
      <w:r w:rsidRPr="00D4523C">
        <w:rPr>
          <w:u w:val="single"/>
        </w:rPr>
        <w:t>E</w:t>
      </w:r>
      <w:bookmarkEnd w:id="34"/>
      <w:r w:rsidRPr="00D4523C">
        <w:rPr>
          <w:u w:val="single"/>
        </w:rPr>
        <w:t>nvironmental Analysis</w:t>
      </w:r>
    </w:p>
    <w:p w14:paraId="029A9C11" w14:textId="77777777" w:rsidR="005546CC" w:rsidRPr="00B61165" w:rsidRDefault="005546CC" w:rsidP="005546CC">
      <w:pPr>
        <w:pStyle w:val="FERCparanumber"/>
      </w:pPr>
      <w:r w:rsidRPr="00B61165">
        <w:t>The Commission is required to prepare an Environmental Assessment or an Environmental Impact Statement for any action that may have a significant adverse effect on the human environment.</w:t>
      </w:r>
      <w:r w:rsidRPr="009231E5">
        <w:rPr>
          <w:rStyle w:val="FootnoteReference"/>
        </w:rPr>
        <w:footnoteReference w:id="26"/>
      </w:r>
      <w:r w:rsidRPr="00B61165">
        <w:t xml:space="preserve"> </w:t>
      </w:r>
      <w:r>
        <w:t xml:space="preserve"> </w:t>
      </w:r>
      <w:r w:rsidRPr="00BA2C10">
        <w:t>The actions that we propose to take here fall within categorical exclusions in the Commission’s regulations for rules that are clarifying, corrective, or procedural, for information gathering, analysis, and dissemination, and for rules regarding sales, exchange, and transportation of natural gas that require no construction of facilities.</w:t>
      </w:r>
      <w:r w:rsidRPr="00BA2C10">
        <w:rPr>
          <w:b/>
          <w:vertAlign w:val="superscript"/>
        </w:rPr>
        <w:footnoteReference w:id="27"/>
      </w:r>
      <w:r w:rsidRPr="00BA2C10">
        <w:t xml:space="preserve">  Therefore, an environmental review is unnecessary and has not been prepared as part of this NOPR.</w:t>
      </w:r>
    </w:p>
    <w:p w14:paraId="0061E104" w14:textId="18808476" w:rsidR="005546CC" w:rsidRPr="00D4523C" w:rsidRDefault="005546CC" w:rsidP="005546CC">
      <w:pPr>
        <w:pStyle w:val="Heading1"/>
        <w:rPr>
          <w:u w:val="single"/>
        </w:rPr>
      </w:pPr>
      <w:bookmarkStart w:id="35" w:name="_bmk13"/>
      <w:r w:rsidRPr="00D4523C">
        <w:rPr>
          <w:u w:val="single"/>
        </w:rPr>
        <w:lastRenderedPageBreak/>
        <w:t>R</w:t>
      </w:r>
      <w:bookmarkEnd w:id="35"/>
      <w:r w:rsidRPr="00D4523C">
        <w:rPr>
          <w:u w:val="single"/>
        </w:rPr>
        <w:t>egulatory Flexibility Act</w:t>
      </w:r>
    </w:p>
    <w:p w14:paraId="460209B5" w14:textId="77777777" w:rsidR="005546CC" w:rsidRDefault="005546CC" w:rsidP="005546CC">
      <w:pPr>
        <w:pStyle w:val="FERCparanumber"/>
      </w:pPr>
      <w:r w:rsidRPr="00B61165">
        <w:t>The Regulatory Fle</w:t>
      </w:r>
      <w:r w:rsidRPr="00B61165">
        <w:rPr>
          <w:rStyle w:val="FERCparanumberChar"/>
        </w:rPr>
        <w:t>x</w:t>
      </w:r>
      <w:r w:rsidRPr="00B61165">
        <w:t>ibility Act of 1980 (RFA)</w:t>
      </w:r>
      <w:r w:rsidRPr="00C923CC">
        <w:rPr>
          <w:rStyle w:val="FootnoteReference"/>
        </w:rPr>
        <w:footnoteReference w:id="28"/>
      </w:r>
      <w:r w:rsidRPr="00B61165">
        <w:t xml:space="preserve"> generally requires a description and analysis of proposed rules that will have significant economic impact on a substantial number of small entities.</w:t>
      </w:r>
      <w:r>
        <w:t xml:space="preserve">  </w:t>
      </w:r>
      <w:r w:rsidRPr="00BA2C10">
        <w:t>The Commission is not required to make such an analysis if proposed regulations would not have such an effect.</w:t>
      </w:r>
    </w:p>
    <w:p w14:paraId="573B3884" w14:textId="2C4AE67B" w:rsidR="005546CC" w:rsidRDefault="005546CC" w:rsidP="005546CC">
      <w:pPr>
        <w:pStyle w:val="FERCparanumber"/>
      </w:pPr>
      <w:r w:rsidRPr="001E39E3">
        <w:t xml:space="preserve">Approximately </w:t>
      </w:r>
      <w:r w:rsidRPr="00271804">
        <w:t>193</w:t>
      </w:r>
      <w:r>
        <w:t xml:space="preserve"> interstate natural gas pipelines, both large and small, are potential respondents subject to the requirements </w:t>
      </w:r>
      <w:r w:rsidR="00BE0A42">
        <w:t>proposed in thi</w:t>
      </w:r>
      <w:r w:rsidR="00B5672A">
        <w:t>s NOP</w:t>
      </w:r>
      <w:r w:rsidR="00483940">
        <w:t>R</w:t>
      </w:r>
      <w:r>
        <w:t xml:space="preserve">.  </w:t>
      </w:r>
      <w:r w:rsidRPr="00241B37">
        <w:t>Most of the natural gas pipelines regulated by the Commission do not fall within the RFA’s definition of a small entity,</w:t>
      </w:r>
      <w:r w:rsidRPr="00241B37">
        <w:rPr>
          <w:b/>
          <w:vertAlign w:val="superscript"/>
        </w:rPr>
        <w:footnoteReference w:id="29"/>
      </w:r>
      <w:r w:rsidRPr="00241B37">
        <w:t xml:space="preserve"> which is currently defined for natural gas pipelines as a company that, in combination with its affiliates, has </w:t>
      </w:r>
      <w:r w:rsidRPr="00B05C4F">
        <w:t>total annual receipts of $41.5 million or less.</w:t>
      </w:r>
      <w:r w:rsidRPr="00B05C4F">
        <w:rPr>
          <w:b/>
          <w:vertAlign w:val="superscript"/>
        </w:rPr>
        <w:footnoteReference w:id="30"/>
      </w:r>
      <w:r w:rsidRPr="00B05C4F">
        <w:t xml:space="preserve">  For the year 202</w:t>
      </w:r>
      <w:r>
        <w:t>2</w:t>
      </w:r>
      <w:r w:rsidRPr="00B05C4F">
        <w:t xml:space="preserve">, </w:t>
      </w:r>
      <w:r w:rsidRPr="00A6426D">
        <w:t xml:space="preserve">only </w:t>
      </w:r>
      <w:r w:rsidRPr="00271804">
        <w:t>14</w:t>
      </w:r>
      <w:r w:rsidRPr="00A6426D">
        <w:t xml:space="preserve"> companies</w:t>
      </w:r>
      <w:r w:rsidRPr="00B05C4F">
        <w:t xml:space="preserve"> not affiliated with larger companies had annual revenues </w:t>
      </w:r>
      <w:bookmarkStart w:id="36" w:name="_Hlk55571677"/>
      <w:r w:rsidRPr="00B05C4F">
        <w:t xml:space="preserve">in combination with </w:t>
      </w:r>
      <w:r>
        <w:t>their</w:t>
      </w:r>
      <w:r w:rsidRPr="00B05C4F">
        <w:t xml:space="preserve"> affiliates </w:t>
      </w:r>
      <w:bookmarkEnd w:id="36"/>
      <w:r w:rsidRPr="00B05C4F">
        <w:t>of $41.5 million or less</w:t>
      </w:r>
      <w:r>
        <w:t xml:space="preserve"> and therefore could be considered a small entity under the RFA.  This represents about seven percent of the total universe of potential respondents that may have a significant burden imposed on them.  </w:t>
      </w:r>
      <w:r w:rsidRPr="00494D59">
        <w:t xml:space="preserve">We estimate that the one-time implementation cost of the proposals in this NOPR </w:t>
      </w:r>
      <w:r w:rsidRPr="00494D59">
        <w:lastRenderedPageBreak/>
        <w:t>is $</w:t>
      </w:r>
      <w:r w:rsidR="00A14372">
        <w:rPr>
          <w:rFonts w:eastAsia="Calibri"/>
          <w:szCs w:val="20"/>
        </w:rPr>
        <w:t>2,080,540</w:t>
      </w:r>
      <w:r>
        <w:rPr>
          <w:rFonts w:eastAsia="Calibri"/>
          <w:szCs w:val="20"/>
        </w:rPr>
        <w:t xml:space="preserve"> </w:t>
      </w:r>
      <w:r w:rsidRPr="00494D59">
        <w:t>(or $</w:t>
      </w:r>
      <w:r w:rsidR="00A14372">
        <w:t>10,780</w:t>
      </w:r>
      <w:r>
        <w:t xml:space="preserve"> </w:t>
      </w:r>
      <w:r w:rsidRPr="00494D59">
        <w:t>per entity, regardless of entity size).</w:t>
      </w:r>
      <w:r w:rsidRPr="00494D59">
        <w:rPr>
          <w:b/>
          <w:vertAlign w:val="superscript"/>
        </w:rPr>
        <w:footnoteReference w:id="31"/>
      </w:r>
      <w:r w:rsidRPr="00494D59">
        <w:t xml:space="preserve">  We do not consider the estimated $</w:t>
      </w:r>
      <w:r w:rsidR="00A14372">
        <w:t>10,780</w:t>
      </w:r>
      <w:r>
        <w:t xml:space="preserve"> </w:t>
      </w:r>
      <w:r w:rsidRPr="00494D59">
        <w:t>impact</w:t>
      </w:r>
      <w:r w:rsidRPr="00911F8B">
        <w:t xml:space="preserve"> per entity to be significant.  </w:t>
      </w:r>
      <w:r>
        <w:t>Moreover, these requirements are designed to benefit all customers, including small businesses that must comply with them.  Further, as noted above,</w:t>
      </w:r>
      <w:r w:rsidDel="00674C01">
        <w:t xml:space="preserve"> </w:t>
      </w:r>
      <w:r w:rsidR="00674C01">
        <w:t xml:space="preserve">incorporation by reference </w:t>
      </w:r>
      <w:r>
        <w:t xml:space="preserve">of consensus standards helps ensure the reasonableness of the standards by requiring that the standards draw support from a broad spectrum of industry participants representing all segments of the industry.  </w:t>
      </w:r>
      <w:r w:rsidRPr="00932257">
        <w:t>Because of that representation and the fact that industry conducts business under these standards, the Commission</w:t>
      </w:r>
      <w:r w:rsidR="000B4A1A">
        <w:t xml:space="preserve"> has found value in</w:t>
      </w:r>
      <w:r w:rsidRPr="00932257">
        <w:t xml:space="preserve"> </w:t>
      </w:r>
      <w:r w:rsidR="000B4A1A">
        <w:t>incorporating</w:t>
      </w:r>
      <w:r w:rsidRPr="00932257">
        <w:t xml:space="preserve"> standards that have the widest possible support.</w:t>
      </w:r>
    </w:p>
    <w:p w14:paraId="15F412BF" w14:textId="77777777" w:rsidR="005546CC" w:rsidRPr="00B61165" w:rsidRDefault="005546CC" w:rsidP="005546CC">
      <w:pPr>
        <w:pStyle w:val="FERCparanumber"/>
      </w:pPr>
      <w:r>
        <w:t>Accordingly, pursuant to section 605(b) of the RFA,</w:t>
      </w:r>
      <w:r w:rsidRPr="00932257">
        <w:rPr>
          <w:rStyle w:val="FootnoteReference"/>
        </w:rPr>
        <w:footnoteReference w:id="32"/>
      </w:r>
      <w:r>
        <w:t xml:space="preserve"> the Commission certifies that the regulations proposed herein should not have a significant economic impact on a substantial number of small entities. </w:t>
      </w:r>
    </w:p>
    <w:p w14:paraId="4F7FE75A" w14:textId="77777777" w:rsidR="005546CC" w:rsidRPr="00B61165" w:rsidRDefault="005546CC" w:rsidP="005546CC">
      <w:pPr>
        <w:pStyle w:val="Heading1"/>
      </w:pPr>
      <w:bookmarkStart w:id="37" w:name="_bmk14"/>
      <w:r w:rsidRPr="00B61165">
        <w:t>C</w:t>
      </w:r>
      <w:bookmarkEnd w:id="37"/>
      <w:r w:rsidRPr="00B61165">
        <w:t>omment Procedures</w:t>
      </w:r>
    </w:p>
    <w:p w14:paraId="78DB49D9" w14:textId="5FDA2829" w:rsidR="005546CC" w:rsidRDefault="005546CC" w:rsidP="005546CC">
      <w:pPr>
        <w:pStyle w:val="FERCparanumber"/>
      </w:pPr>
      <w:r w:rsidRPr="00B61165">
        <w:t xml:space="preserve">The Commission invites interested persons to submit comments on the matters and issues proposed in this notice to be </w:t>
      </w:r>
      <w:r w:rsidR="005B2A3D">
        <w:t>incorporated by reference</w:t>
      </w:r>
      <w:r w:rsidRPr="00B61165">
        <w:t>, including any related matters or alternative proposals that commenters may wish to discuss.  Comments are due</w:t>
      </w:r>
      <w:r>
        <w:t xml:space="preserve"> </w:t>
      </w:r>
      <w:r w:rsidRPr="00B3607A">
        <w:rPr>
          <w:b/>
        </w:rPr>
        <w:t>[</w:t>
      </w:r>
      <w:r>
        <w:rPr>
          <w:b/>
        </w:rPr>
        <w:t xml:space="preserve">60 </w:t>
      </w:r>
      <w:r w:rsidRPr="00F17DD2">
        <w:rPr>
          <w:b/>
          <w:bCs/>
        </w:rPr>
        <w:t xml:space="preserve">DAYS </w:t>
      </w:r>
      <w:r w:rsidRPr="00B3607A">
        <w:rPr>
          <w:b/>
        </w:rPr>
        <w:t>AFTER DATE OF PUBLICATION IN THE FEDERAL REGISTER]</w:t>
      </w:r>
      <w:r w:rsidRPr="00B61165">
        <w:t xml:space="preserve">.  Comments must refer to Docket No. </w:t>
      </w:r>
      <w:r w:rsidRPr="005060E4">
        <w:t>RM96-1-</w:t>
      </w:r>
      <w:r>
        <w:t>044</w:t>
      </w:r>
      <w:r w:rsidRPr="00B61165">
        <w:t>, and must include the commenter</w:t>
      </w:r>
      <w:r w:rsidR="0002352D">
        <w:t>’</w:t>
      </w:r>
      <w:r w:rsidRPr="00B61165">
        <w:t xml:space="preserve">s </w:t>
      </w:r>
      <w:r w:rsidRPr="00B61165">
        <w:lastRenderedPageBreak/>
        <w:t>name, the organization they represent, if applicable, and their address in their comments.</w:t>
      </w:r>
      <w:r>
        <w:t xml:space="preserve">  </w:t>
      </w:r>
      <w:r w:rsidRPr="00B61165">
        <w:t>All comments will be placed in the Commission</w:t>
      </w:r>
      <w:r w:rsidR="0002352D">
        <w:t>’</w:t>
      </w:r>
      <w:r w:rsidRPr="00B61165">
        <w:t>s public files and may be viewed, printed, or downloaded remotely as described in the Document Availability section below.  Commenters on this proposal are not required to serve copies of their comments on other commenters.</w:t>
      </w:r>
    </w:p>
    <w:p w14:paraId="0FAD0817" w14:textId="3B9B98D0" w:rsidR="005546CC" w:rsidRPr="00626AD6" w:rsidRDefault="005546CC" w:rsidP="005546CC">
      <w:pPr>
        <w:pStyle w:val="FERCparanumber"/>
      </w:pPr>
      <w:r w:rsidRPr="00626AD6">
        <w:t xml:space="preserve">The Commission encourages comments to be filed electronically via the </w:t>
      </w:r>
      <w:proofErr w:type="spellStart"/>
      <w:r w:rsidRPr="00626AD6">
        <w:t>eFiling</w:t>
      </w:r>
      <w:proofErr w:type="spellEnd"/>
      <w:r w:rsidRPr="00626AD6">
        <w:t xml:space="preserve"> link on the Commission’s website at </w:t>
      </w:r>
      <w:r w:rsidR="00271804" w:rsidRPr="00271804">
        <w:t>https://www.ferc.gov</w:t>
      </w:r>
      <w:r w:rsidRPr="00626AD6">
        <w:t xml:space="preserve">.  The Commission accepts most standard word processing formats.  Documents created electronically using word processing software </w:t>
      </w:r>
      <w:r>
        <w:t xml:space="preserve">must </w:t>
      </w:r>
      <w:r w:rsidRPr="00626AD6">
        <w:t>be filed in native applications or print-to-PDF format and not in a scanned format.  Commenters filing electronically do not need to make a paper filing.</w:t>
      </w:r>
    </w:p>
    <w:p w14:paraId="7C1C1060" w14:textId="77777777" w:rsidR="005546CC" w:rsidRPr="00B61165" w:rsidRDefault="005546CC" w:rsidP="005546CC">
      <w:pPr>
        <w:pStyle w:val="FERCparanumber"/>
      </w:pPr>
      <w:r w:rsidRPr="00626AD6">
        <w:t xml:space="preserve">Commenters that are not able to file comments electronically </w:t>
      </w:r>
      <w:r w:rsidRPr="00E950E7">
        <w:t>may file</w:t>
      </w:r>
      <w:r>
        <w:t xml:space="preserve"> an original of their comment by USPS mail or by </w:t>
      </w:r>
      <w:r w:rsidRPr="00A90123">
        <w:t>courier-</w:t>
      </w:r>
      <w:r>
        <w:t xml:space="preserve">or other </w:t>
      </w:r>
      <w:r w:rsidRPr="00A90123">
        <w:t>deliver</w:t>
      </w:r>
      <w:r>
        <w:t>y services.</w:t>
      </w:r>
      <w:r w:rsidRPr="00626AD6">
        <w:t xml:space="preserve">  For submission sent via USPS</w:t>
      </w:r>
      <w:r>
        <w:t xml:space="preserve"> only</w:t>
      </w:r>
      <w:r w:rsidRPr="00626AD6">
        <w:t xml:space="preserve">, filings should </w:t>
      </w:r>
      <w:r>
        <w:t xml:space="preserve">be </w:t>
      </w:r>
      <w:r w:rsidRPr="00626AD6">
        <w:t xml:space="preserve">mailed to: Federal Energy Regulatory Commission, Office of the Secretary, 888 First Street, NE, Washington, DC  20426.  Submission of filings other than by USPS should be </w:t>
      </w:r>
      <w:r>
        <w:t xml:space="preserve">delivered </w:t>
      </w:r>
      <w:r w:rsidRPr="00626AD6">
        <w:t>to: Federal Energy Regulatory Commission, 12225 Wilkins Avenue, Rockville, M</w:t>
      </w:r>
      <w:r>
        <w:t>D</w:t>
      </w:r>
      <w:r w:rsidRPr="00626AD6">
        <w:t xml:space="preserve"> 20852.</w:t>
      </w:r>
    </w:p>
    <w:p w14:paraId="5BAD31A7" w14:textId="77777777" w:rsidR="005546CC" w:rsidRPr="00B61165" w:rsidRDefault="005546CC" w:rsidP="005546CC">
      <w:pPr>
        <w:pStyle w:val="Heading1"/>
      </w:pPr>
      <w:bookmarkStart w:id="38" w:name="_bmk15"/>
      <w:bookmarkStart w:id="39" w:name="_Hlk210837698"/>
      <w:r w:rsidRPr="00B61165">
        <w:t>D</w:t>
      </w:r>
      <w:bookmarkEnd w:id="38"/>
      <w:r w:rsidRPr="00B61165">
        <w:t>ocument Availability</w:t>
      </w:r>
    </w:p>
    <w:bookmarkEnd w:id="39"/>
    <w:p w14:paraId="1E56BA66" w14:textId="340C61A8" w:rsidR="005546CC" w:rsidRDefault="005546CC" w:rsidP="005546CC">
      <w:pPr>
        <w:pStyle w:val="FERCparanumber"/>
      </w:pPr>
      <w:r w:rsidRPr="00B70256">
        <w:t>In addition to publishing the full text of this document in the Federal Register, the Commission provides all interested persons an opportunity to view and/or print the contents of this document via the Internet through the Commission</w:t>
      </w:r>
      <w:r w:rsidR="0002352D">
        <w:t>’</w:t>
      </w:r>
      <w:r w:rsidRPr="00B70256">
        <w:t>s Home Page</w:t>
      </w:r>
      <w:r>
        <w:t xml:space="preserve"> </w:t>
      </w:r>
      <w:r w:rsidR="00271804">
        <w:t>(https</w:t>
      </w:r>
      <w:r w:rsidR="00B42640">
        <w:t>:</w:t>
      </w:r>
      <w:r w:rsidR="00271804">
        <w:t xml:space="preserve">//www.ferc.gov). </w:t>
      </w:r>
    </w:p>
    <w:p w14:paraId="00398FA9" w14:textId="77777777" w:rsidR="005546CC" w:rsidRPr="00395600" w:rsidRDefault="005546CC" w:rsidP="005546CC">
      <w:pPr>
        <w:pStyle w:val="FERCparanumber"/>
      </w:pPr>
      <w:r>
        <w:rPr>
          <w:color w:val="000000"/>
        </w:rPr>
        <w:lastRenderedPageBreak/>
        <w:t xml:space="preserve">From </w:t>
      </w:r>
      <w:r w:rsidRPr="00B70256">
        <w:rPr>
          <w:color w:val="000000"/>
        </w:rPr>
        <w:t>the Commission’s</w:t>
      </w:r>
      <w:r>
        <w:rPr>
          <w:color w:val="000000"/>
        </w:rPr>
        <w:t xml:space="preserve"> Home Page on the Internet, this information is available on </w:t>
      </w:r>
      <w:proofErr w:type="spellStart"/>
      <w:r>
        <w:rPr>
          <w:color w:val="000000"/>
        </w:rPr>
        <w:t>eLibrary</w:t>
      </w:r>
      <w:proofErr w:type="spellEnd"/>
      <w:r>
        <w:rPr>
          <w:color w:val="000000"/>
        </w:rPr>
        <w:t xml:space="preserve">.  The full text of this document is available on </w:t>
      </w:r>
      <w:proofErr w:type="spellStart"/>
      <w:r>
        <w:rPr>
          <w:color w:val="000000"/>
        </w:rPr>
        <w:t>eLibrary</w:t>
      </w:r>
      <w:proofErr w:type="spellEnd"/>
      <w:r>
        <w:rPr>
          <w:color w:val="000000"/>
        </w:rPr>
        <w:t xml:space="preserve"> in PDF and Microsoft Word format for viewing, printing, and/or downloading.  To access this document in </w:t>
      </w:r>
      <w:proofErr w:type="spellStart"/>
      <w:r>
        <w:rPr>
          <w:color w:val="000000"/>
        </w:rPr>
        <w:t>eLibrary</w:t>
      </w:r>
      <w:proofErr w:type="spellEnd"/>
      <w:r>
        <w:rPr>
          <w:color w:val="000000"/>
        </w:rPr>
        <w:t>, type the docket number excluding the last three digits of this document in the docket number field.</w:t>
      </w:r>
    </w:p>
    <w:p w14:paraId="3B48E724" w14:textId="20ED911D" w:rsidR="005546CC" w:rsidRDefault="005546CC" w:rsidP="005546CC">
      <w:pPr>
        <w:pStyle w:val="FERCparanumber"/>
      </w:pPr>
      <w:r>
        <w:t xml:space="preserve">User assistance is available for </w:t>
      </w:r>
      <w:proofErr w:type="spellStart"/>
      <w:r>
        <w:t>eLibrary</w:t>
      </w:r>
      <w:proofErr w:type="spellEnd"/>
      <w:r>
        <w:t xml:space="preserve"> and </w:t>
      </w:r>
      <w:r w:rsidRPr="00B70256">
        <w:t>the Commission’s</w:t>
      </w:r>
      <w:r>
        <w:t xml:space="preserve"> website during normal business hours from FERC Online Support at 202-502-6652 (toll free at 1-866-208-3676) or email at </w:t>
      </w:r>
      <w:hyperlink r:id="rId16" w:history="1">
        <w:r w:rsidRPr="00EA47F2">
          <w:rPr>
            <w:rStyle w:val="Hyperlink"/>
            <w:color w:val="auto"/>
            <w:u w:val="none"/>
          </w:rPr>
          <w:t>ferconlinesupport@ferc.gov</w:t>
        </w:r>
      </w:hyperlink>
      <w:r>
        <w:t xml:space="preserve">, or the </w:t>
      </w:r>
      <w:r>
        <w:rPr>
          <w:bdr w:val="none" w:sz="0" w:space="0" w:color="auto" w:frame="1"/>
          <w:shd w:val="clear" w:color="auto" w:fill="FFFFFF"/>
        </w:rPr>
        <w:t>Public</w:t>
      </w:r>
      <w:r>
        <w:t xml:space="preserve"> </w:t>
      </w:r>
      <w:r>
        <w:rPr>
          <w:bdr w:val="none" w:sz="0" w:space="0" w:color="auto" w:frame="1"/>
          <w:shd w:val="clear" w:color="auto" w:fill="FFFFFF"/>
        </w:rPr>
        <w:t>Reference</w:t>
      </w:r>
      <w:r>
        <w:t xml:space="preserve"> </w:t>
      </w:r>
      <w:r>
        <w:rPr>
          <w:bdr w:val="none" w:sz="0" w:space="0" w:color="auto" w:frame="1"/>
          <w:shd w:val="clear" w:color="auto" w:fill="FFFFFF"/>
        </w:rPr>
        <w:t>Room</w:t>
      </w:r>
      <w:r>
        <w:t xml:space="preserve">; phone (202) 502-8371, TTY (202)502-8659; email: </w:t>
      </w:r>
      <w:hyperlink r:id="rId17" w:history="1">
        <w:r w:rsidRPr="00EA47F2">
          <w:rPr>
            <w:rStyle w:val="Hyperlink"/>
            <w:color w:val="auto"/>
            <w:u w:val="none"/>
          </w:rPr>
          <w:t>public.referenceroom@ferc.gov</w:t>
        </w:r>
      </w:hyperlink>
      <w:r>
        <w:t>.</w:t>
      </w:r>
    </w:p>
    <w:p w14:paraId="0AE7BC64" w14:textId="77777777" w:rsidR="002323B4" w:rsidRDefault="002323B4" w:rsidP="002323B4">
      <w:pPr>
        <w:pStyle w:val="Heading1"/>
      </w:pPr>
      <w:r w:rsidRPr="002323B4">
        <w:t>Regulatory Planning and Review</w:t>
      </w:r>
    </w:p>
    <w:p w14:paraId="773311AE" w14:textId="0C0B09F0" w:rsidR="002323B4" w:rsidRPr="002323B4" w:rsidRDefault="002323B4" w:rsidP="002323B4">
      <w:pPr>
        <w:pStyle w:val="FERCparanumber"/>
      </w:pPr>
      <w:r w:rsidRPr="002323B4">
        <w:t>Executive Orders 12866 and 13563 direct agencies to assess the costs and benefits of available regulatory alternatives and, if regulation is necessary, to select regulatory approaches that maximize net benefits (including potential economic, environmental, public health and safety effects, distributive impacts, and equity). Executive Order 13563 emphasizes the importance of quantifying both costs and benefits, of reducing costs, of harmonizing rules, and of promoting flexibility.  The Office of Information and Regulatory Affairs (OIRA) has determined this regulatory action is not a “significant regulatory action,” under section 3(f) of Executive Order 12866, as amended.  Accordingly, OIRA has not reviewed this regulatory action for compliance with the analytical requirements of Executive Order 12866.</w:t>
      </w:r>
      <w:r w:rsidR="00EA47F2">
        <w:br/>
      </w:r>
    </w:p>
    <w:p w14:paraId="7A0A9C4E" w14:textId="38E0CE8E" w:rsidR="002323B4" w:rsidRPr="002323B4" w:rsidRDefault="002323B4" w:rsidP="002C77C5">
      <w:pPr>
        <w:pStyle w:val="FERCparanumber"/>
        <w:numPr>
          <w:ilvl w:val="0"/>
          <w:numId w:val="0"/>
        </w:numPr>
      </w:pPr>
    </w:p>
    <w:p w14:paraId="76D81203" w14:textId="77777777" w:rsidR="005546CC" w:rsidRPr="00D4523C" w:rsidRDefault="005546CC" w:rsidP="005546CC">
      <w:pPr>
        <w:spacing w:line="480" w:lineRule="auto"/>
        <w:rPr>
          <w:b/>
          <w:bCs/>
        </w:rPr>
      </w:pPr>
      <w:r w:rsidRPr="00D4523C">
        <w:rPr>
          <w:b/>
          <w:bCs/>
        </w:rPr>
        <w:lastRenderedPageBreak/>
        <w:t xml:space="preserve">List of </w:t>
      </w:r>
      <w:r>
        <w:rPr>
          <w:b/>
          <w:bCs/>
        </w:rPr>
        <w:t>S</w:t>
      </w:r>
      <w:r w:rsidRPr="00D4523C">
        <w:rPr>
          <w:b/>
          <w:bCs/>
        </w:rPr>
        <w:t>ubjects in 18 CFR Part 284</w:t>
      </w:r>
    </w:p>
    <w:p w14:paraId="5A3805AF" w14:textId="62EBDB6D" w:rsidR="005546CC" w:rsidRPr="00E71EDB" w:rsidRDefault="005546CC" w:rsidP="005546CC">
      <w:pPr>
        <w:spacing w:line="480" w:lineRule="auto"/>
      </w:pPr>
      <w:r w:rsidRPr="00A44412">
        <w:t>C</w:t>
      </w:r>
      <w:r w:rsidRPr="00E71EDB">
        <w:t xml:space="preserve">ontinental </w:t>
      </w:r>
      <w:r>
        <w:t>s</w:t>
      </w:r>
      <w:r w:rsidRPr="00E71EDB">
        <w:t>helf</w:t>
      </w:r>
      <w:r>
        <w:t xml:space="preserve">, </w:t>
      </w:r>
      <w:r w:rsidRPr="00E71EDB">
        <w:t>Incorporation by reference</w:t>
      </w:r>
      <w:r>
        <w:t xml:space="preserve">, </w:t>
      </w:r>
      <w:r w:rsidRPr="00E71EDB">
        <w:t>Natural gas</w:t>
      </w:r>
      <w:r>
        <w:t xml:space="preserve">, </w:t>
      </w:r>
      <w:r w:rsidRPr="00E71EDB">
        <w:t>Reporting and recordkeeping requirements</w:t>
      </w:r>
      <w:r>
        <w:t>.</w:t>
      </w:r>
    </w:p>
    <w:p w14:paraId="15AC7B08" w14:textId="77777777" w:rsidR="00EA47F2" w:rsidRDefault="005546CC" w:rsidP="00BB0DC7">
      <w:r w:rsidRPr="00B61165">
        <w:t>By direction of the Commission.</w:t>
      </w:r>
      <w:r w:rsidR="00EA47F2">
        <w:t xml:space="preserve">  Commissioner Chang is concurring with a separate</w:t>
      </w:r>
    </w:p>
    <w:p w14:paraId="3290FF63" w14:textId="0845C7E4" w:rsidR="005546CC" w:rsidRDefault="00EA47F2" w:rsidP="00EA47F2">
      <w:pPr>
        <w:spacing w:line="480" w:lineRule="auto"/>
        <w:ind w:left="3600"/>
      </w:pPr>
      <w:r>
        <w:t>statement attached.</w:t>
      </w:r>
    </w:p>
    <w:p w14:paraId="08928516" w14:textId="78084DEB" w:rsidR="00EA47F2" w:rsidRDefault="00EA47F2" w:rsidP="00EA47F2">
      <w:pPr>
        <w:widowControl/>
      </w:pPr>
      <w:proofErr w:type="gramStart"/>
      <w:r w:rsidRPr="00EA47F2">
        <w:t>( S</w:t>
      </w:r>
      <w:proofErr w:type="gramEnd"/>
      <w:r w:rsidRPr="00EA47F2">
        <w:t xml:space="preserve"> E A L )</w:t>
      </w:r>
    </w:p>
    <w:p w14:paraId="73F242CF" w14:textId="77777777" w:rsidR="00EA47F2" w:rsidRDefault="00EA47F2" w:rsidP="00EA47F2">
      <w:pPr>
        <w:widowControl/>
      </w:pPr>
    </w:p>
    <w:p w14:paraId="21248E12" w14:textId="77777777" w:rsidR="00EA47F2" w:rsidRDefault="00EA47F2" w:rsidP="00EA47F2">
      <w:pPr>
        <w:widowControl/>
      </w:pPr>
    </w:p>
    <w:p w14:paraId="2D2D98CF" w14:textId="77777777" w:rsidR="00EA47F2" w:rsidRDefault="00EA47F2" w:rsidP="00EA47F2">
      <w:pPr>
        <w:widowControl/>
      </w:pPr>
    </w:p>
    <w:p w14:paraId="0393350C" w14:textId="77777777" w:rsidR="00EA47F2" w:rsidRDefault="00EA47F2" w:rsidP="00EA47F2">
      <w:pPr>
        <w:widowControl/>
      </w:pPr>
    </w:p>
    <w:p w14:paraId="1D00CEED" w14:textId="7880EF65" w:rsidR="00EA47F2" w:rsidRPr="00EA47F2" w:rsidRDefault="00EA47F2" w:rsidP="00EA47F2">
      <w:pPr>
        <w:widowControl/>
        <w:ind w:firstLine="2606"/>
        <w:jc w:val="center"/>
      </w:pPr>
      <w:r w:rsidRPr="00EA47F2">
        <w:t>Debbie-Anne A. Reese,</w:t>
      </w:r>
    </w:p>
    <w:p w14:paraId="36B04DBC" w14:textId="056CEACF" w:rsidR="00EA47F2" w:rsidRPr="00EA47F2" w:rsidRDefault="00EA47F2" w:rsidP="00EA47F2">
      <w:pPr>
        <w:widowControl/>
        <w:ind w:firstLine="2606"/>
        <w:jc w:val="center"/>
      </w:pPr>
      <w:r w:rsidRPr="00EA47F2">
        <w:t>Secretary.</w:t>
      </w:r>
    </w:p>
    <w:p w14:paraId="1B006074" w14:textId="77777777" w:rsidR="00EA47F2" w:rsidRPr="00EA47F2" w:rsidRDefault="00EA47F2" w:rsidP="00EA47F2">
      <w:pPr>
        <w:widowControl/>
      </w:pPr>
    </w:p>
    <w:p w14:paraId="7FA246A9" w14:textId="3E78B714" w:rsidR="000B546A" w:rsidRDefault="005546CC" w:rsidP="005546CC">
      <w:pPr>
        <w:spacing w:line="480" w:lineRule="auto"/>
      </w:pPr>
      <w:r w:rsidRPr="00B61165">
        <w:tab/>
      </w:r>
      <w:r w:rsidRPr="00B61165">
        <w:tab/>
      </w:r>
      <w:r w:rsidRPr="00B61165">
        <w:tab/>
      </w:r>
      <w:r w:rsidRPr="00B61165">
        <w:tab/>
      </w:r>
      <w:r w:rsidRPr="00B61165">
        <w:tab/>
      </w:r>
    </w:p>
    <w:p w14:paraId="7A8648C7" w14:textId="77777777" w:rsidR="000B546A" w:rsidRDefault="000B546A">
      <w:pPr>
        <w:widowControl/>
        <w:spacing w:after="160" w:line="259" w:lineRule="auto"/>
      </w:pPr>
      <w:r>
        <w:br w:type="page"/>
      </w:r>
    </w:p>
    <w:p w14:paraId="22B80834" w14:textId="6FD84698" w:rsidR="005546CC" w:rsidRPr="00D4523C" w:rsidRDefault="005546CC" w:rsidP="005546CC">
      <w:pPr>
        <w:spacing w:line="480" w:lineRule="auto"/>
        <w:ind w:firstLine="720"/>
      </w:pPr>
      <w:r w:rsidRPr="00B61165">
        <w:lastRenderedPageBreak/>
        <w:t xml:space="preserve">In consideration of the foregoing, the Commission proposes to amend </w:t>
      </w:r>
      <w:r>
        <w:t>18 CFR p</w:t>
      </w:r>
      <w:r w:rsidRPr="00B61165">
        <w:t xml:space="preserve">art </w:t>
      </w:r>
      <w:r>
        <w:t xml:space="preserve">284 </w:t>
      </w:r>
      <w:r w:rsidRPr="00B61165">
        <w:t>as follows.</w:t>
      </w:r>
    </w:p>
    <w:p w14:paraId="091F75E1" w14:textId="77777777" w:rsidR="005546CC" w:rsidRPr="00D4523C" w:rsidRDefault="005546CC" w:rsidP="005546CC">
      <w:pPr>
        <w:rPr>
          <w:b/>
        </w:rPr>
      </w:pPr>
      <w:r w:rsidRPr="00D4523C">
        <w:rPr>
          <w:b/>
        </w:rPr>
        <w:t>PART 284 -- CERTAIN SALES AND TRANSPORTATION OF NATURAL GAS UNDER THE NATURAL GAS POLICY ACT OF 1978 AND RELATED AUTHORITIES</w:t>
      </w:r>
    </w:p>
    <w:p w14:paraId="16F9FB0D" w14:textId="77777777" w:rsidR="005546CC" w:rsidRPr="00D4523C" w:rsidRDefault="005546CC" w:rsidP="005546CC"/>
    <w:p w14:paraId="0F20F20D" w14:textId="77777777" w:rsidR="005546CC" w:rsidRPr="00D4523C" w:rsidRDefault="005546CC" w:rsidP="005546CC">
      <w:pPr>
        <w:rPr>
          <w:bCs/>
        </w:rPr>
      </w:pPr>
      <w:r w:rsidRPr="00D4523C">
        <w:rPr>
          <w:bCs/>
        </w:rPr>
        <w:t>1.</w:t>
      </w:r>
      <w:r w:rsidRPr="00D4523C">
        <w:rPr>
          <w:bCs/>
        </w:rPr>
        <w:tab/>
        <w:t>The authority citation for part 284 continues to read as follows:</w:t>
      </w:r>
    </w:p>
    <w:p w14:paraId="7DF28568" w14:textId="77777777" w:rsidR="005546CC" w:rsidRPr="00D4523C" w:rsidRDefault="005546CC" w:rsidP="005546CC">
      <w:pPr>
        <w:rPr>
          <w:b/>
          <w:bCs/>
        </w:rPr>
      </w:pPr>
    </w:p>
    <w:p w14:paraId="5BF4D8D2" w14:textId="77777777" w:rsidR="005546CC" w:rsidRPr="00D4523C" w:rsidRDefault="005546CC" w:rsidP="005546CC">
      <w:pPr>
        <w:rPr>
          <w:bCs/>
        </w:rPr>
      </w:pPr>
      <w:r w:rsidRPr="00D4523C">
        <w:rPr>
          <w:b/>
          <w:bCs/>
        </w:rPr>
        <w:t>Authority</w:t>
      </w:r>
      <w:r w:rsidRPr="00D4523C">
        <w:rPr>
          <w:bCs/>
        </w:rPr>
        <w:t xml:space="preserve">:  15 U.S.C. 717-717z, 3301-3432; 42 U.S.C. 7101-7352; 43 U.S.C. </w:t>
      </w:r>
    </w:p>
    <w:p w14:paraId="5B2EDBCF" w14:textId="77777777" w:rsidR="005546CC" w:rsidRPr="00D4523C" w:rsidRDefault="005546CC" w:rsidP="005546CC">
      <w:pPr>
        <w:rPr>
          <w:bCs/>
        </w:rPr>
      </w:pPr>
    </w:p>
    <w:p w14:paraId="2FB38724" w14:textId="77777777" w:rsidR="005546CC" w:rsidRPr="00D4523C" w:rsidRDefault="005546CC" w:rsidP="005546CC">
      <w:pPr>
        <w:rPr>
          <w:bCs/>
        </w:rPr>
      </w:pPr>
      <w:r w:rsidRPr="00D4523C">
        <w:rPr>
          <w:bCs/>
        </w:rPr>
        <w:t>1331-1356.</w:t>
      </w:r>
    </w:p>
    <w:p w14:paraId="15543BFC" w14:textId="77777777" w:rsidR="005546CC" w:rsidRPr="00D4523C" w:rsidRDefault="005546CC" w:rsidP="005546CC">
      <w:pPr>
        <w:rPr>
          <w:bCs/>
        </w:rPr>
      </w:pPr>
    </w:p>
    <w:p w14:paraId="493BD695" w14:textId="77777777" w:rsidR="00561955" w:rsidRPr="00561955" w:rsidRDefault="005546CC" w:rsidP="00561955">
      <w:pPr>
        <w:spacing w:after="260"/>
        <w:rPr>
          <w:bCs/>
        </w:rPr>
      </w:pPr>
      <w:r w:rsidRPr="00D4523C">
        <w:rPr>
          <w:bCs/>
        </w:rPr>
        <w:t>2.</w:t>
      </w:r>
      <w:r w:rsidRPr="00D4523C">
        <w:rPr>
          <w:bCs/>
        </w:rPr>
        <w:tab/>
      </w:r>
      <w:r w:rsidR="00561955" w:rsidRPr="00561955">
        <w:rPr>
          <w:bCs/>
        </w:rPr>
        <w:t xml:space="preserve">Amend § 284.12 by: </w:t>
      </w:r>
    </w:p>
    <w:p w14:paraId="17A3E0CF" w14:textId="77777777" w:rsidR="00561955" w:rsidRPr="00561955" w:rsidRDefault="00561955" w:rsidP="00561955">
      <w:pPr>
        <w:spacing w:after="260"/>
        <w:rPr>
          <w:bCs/>
        </w:rPr>
      </w:pPr>
      <w:r w:rsidRPr="00561955">
        <w:rPr>
          <w:bCs/>
        </w:rPr>
        <w:t>a. Revising paragraphs (a)(1)(</w:t>
      </w:r>
      <w:proofErr w:type="spellStart"/>
      <w:r w:rsidRPr="00561955">
        <w:rPr>
          <w:bCs/>
        </w:rPr>
        <w:t>i</w:t>
      </w:r>
      <w:proofErr w:type="spellEnd"/>
      <w:r w:rsidRPr="00561955">
        <w:rPr>
          <w:bCs/>
        </w:rPr>
        <w:t>) and</w:t>
      </w:r>
      <w:r w:rsidRPr="00561955" w:rsidDel="003E639D">
        <w:rPr>
          <w:bCs/>
        </w:rPr>
        <w:t xml:space="preserve"> </w:t>
      </w:r>
      <w:r w:rsidRPr="00561955">
        <w:rPr>
          <w:bCs/>
        </w:rPr>
        <w:t>(iv) through (vii); and</w:t>
      </w:r>
    </w:p>
    <w:p w14:paraId="04F41981" w14:textId="77777777" w:rsidR="00561955" w:rsidRPr="00561955" w:rsidRDefault="00561955" w:rsidP="00561955">
      <w:pPr>
        <w:spacing w:after="260"/>
        <w:rPr>
          <w:bCs/>
        </w:rPr>
      </w:pPr>
      <w:r w:rsidRPr="00561955">
        <w:rPr>
          <w:bCs/>
        </w:rPr>
        <w:t>b. Removing paragraph (a)(1)(viii).</w:t>
      </w:r>
    </w:p>
    <w:p w14:paraId="57AD673F" w14:textId="0041385D" w:rsidR="005546CC" w:rsidRPr="00D4523C" w:rsidRDefault="00561955" w:rsidP="001D046B">
      <w:pPr>
        <w:spacing w:after="260"/>
      </w:pPr>
      <w:r w:rsidRPr="00561955">
        <w:rPr>
          <w:bCs/>
        </w:rPr>
        <w:t>The revisions read as follows</w:t>
      </w:r>
      <w:r w:rsidR="00402E98">
        <w:rPr>
          <w:bCs/>
        </w:rPr>
        <w:t>:</w:t>
      </w:r>
      <w:r w:rsidRPr="00561955" w:rsidDel="00561955">
        <w:rPr>
          <w:bCs/>
        </w:rPr>
        <w:t xml:space="preserve"> </w:t>
      </w:r>
    </w:p>
    <w:p w14:paraId="325EBF65" w14:textId="4967124B" w:rsidR="005546CC" w:rsidRPr="00D4523C" w:rsidRDefault="0002352D" w:rsidP="005546CC">
      <w:pPr>
        <w:rPr>
          <w:bCs/>
        </w:rPr>
      </w:pPr>
      <w:r w:rsidRPr="00D4523C">
        <w:rPr>
          <w:b/>
          <w:bCs/>
        </w:rPr>
        <w:t>§</w:t>
      </w:r>
      <w:r>
        <w:rPr>
          <w:b/>
          <w:bCs/>
        </w:rPr>
        <w:t> </w:t>
      </w:r>
      <w:r w:rsidRPr="00D4523C">
        <w:rPr>
          <w:b/>
          <w:bCs/>
        </w:rPr>
        <w:t>2</w:t>
      </w:r>
      <w:r w:rsidR="005546CC" w:rsidRPr="00D4523C">
        <w:rPr>
          <w:b/>
          <w:bCs/>
        </w:rPr>
        <w:t>84.12</w:t>
      </w:r>
      <w:r w:rsidR="005546CC">
        <w:rPr>
          <w:b/>
          <w:bCs/>
        </w:rPr>
        <w:t xml:space="preserve"> </w:t>
      </w:r>
      <w:r w:rsidR="005546CC" w:rsidRPr="00D4523C">
        <w:rPr>
          <w:b/>
          <w:bCs/>
        </w:rPr>
        <w:t>Standards for pipeline business operations and communications</w:t>
      </w:r>
      <w:r w:rsidR="005546CC" w:rsidRPr="00D4523C">
        <w:rPr>
          <w:bCs/>
        </w:rPr>
        <w:t>.</w:t>
      </w:r>
    </w:p>
    <w:p w14:paraId="77E1418E" w14:textId="77777777" w:rsidR="005546CC" w:rsidRPr="00D4523C" w:rsidRDefault="005546CC" w:rsidP="005546CC"/>
    <w:p w14:paraId="179CE9D0" w14:textId="26429C57" w:rsidR="005546CC" w:rsidRPr="00D4523C" w:rsidRDefault="005546CC" w:rsidP="001D046B">
      <w:pPr>
        <w:rPr>
          <w:bCs/>
        </w:rPr>
      </w:pPr>
      <w:r w:rsidRPr="00D4523C">
        <w:rPr>
          <w:bCs/>
        </w:rPr>
        <w:t>(a) ***</w:t>
      </w:r>
    </w:p>
    <w:p w14:paraId="79C28289" w14:textId="77777777" w:rsidR="005546CC" w:rsidRPr="00D4523C" w:rsidRDefault="005546CC" w:rsidP="001E5C26">
      <w:pPr>
        <w:rPr>
          <w:b/>
          <w:bCs/>
        </w:rPr>
      </w:pPr>
    </w:p>
    <w:p w14:paraId="3616C7E4" w14:textId="618B4D39" w:rsidR="005546CC" w:rsidRPr="00D4523C" w:rsidRDefault="005546CC" w:rsidP="001D046B">
      <w:pPr>
        <w:rPr>
          <w:bCs/>
        </w:rPr>
      </w:pPr>
      <w:r w:rsidRPr="00D4523C">
        <w:rPr>
          <w:bCs/>
        </w:rPr>
        <w:t>(1) ***</w:t>
      </w:r>
    </w:p>
    <w:p w14:paraId="22FF5510" w14:textId="77777777" w:rsidR="005546CC" w:rsidRPr="00D4523C" w:rsidRDefault="005546CC" w:rsidP="001E5C26">
      <w:pPr>
        <w:rPr>
          <w:bCs/>
        </w:rPr>
      </w:pPr>
    </w:p>
    <w:p w14:paraId="2F2FF353" w14:textId="0373A970" w:rsidR="00000AD8" w:rsidDel="00000AD8" w:rsidRDefault="005546CC" w:rsidP="001D046B">
      <w:pPr>
        <w:rPr>
          <w:bCs/>
        </w:rPr>
      </w:pPr>
      <w:r w:rsidRPr="00AD0AAA">
        <w:rPr>
          <w:bCs/>
        </w:rPr>
        <w:t>(</w:t>
      </w:r>
      <w:proofErr w:type="spellStart"/>
      <w:r w:rsidRPr="00AD0AAA">
        <w:rPr>
          <w:bCs/>
        </w:rPr>
        <w:t>i</w:t>
      </w:r>
      <w:proofErr w:type="spellEnd"/>
      <w:r w:rsidRPr="00AD0AAA">
        <w:rPr>
          <w:bCs/>
        </w:rPr>
        <w:t>)</w:t>
      </w:r>
      <w:r w:rsidRPr="00AD0AAA">
        <w:rPr>
          <w:bCs/>
        </w:rPr>
        <w:tab/>
      </w:r>
      <w:r>
        <w:rPr>
          <w:bCs/>
        </w:rPr>
        <w:t>WGQ Additional Standards (Version 4.0,</w:t>
      </w:r>
      <w:r w:rsidR="00000AD8">
        <w:rPr>
          <w:bCs/>
        </w:rPr>
        <w:t xml:space="preserve"> </w:t>
      </w:r>
      <w:r w:rsidR="00000AD8" w:rsidRPr="00000AD8">
        <w:rPr>
          <w:bCs/>
        </w:rPr>
        <w:t>September 29, 2023</w:t>
      </w:r>
      <w:r w:rsidR="00000AD8">
        <w:rPr>
          <w:bCs/>
        </w:rPr>
        <w:t xml:space="preserve">), adding </w:t>
      </w:r>
    </w:p>
    <w:p w14:paraId="386F1B7B" w14:textId="489281E8" w:rsidR="005546CC" w:rsidRDefault="005546CC" w:rsidP="001D046B">
      <w:pPr>
        <w:rPr>
          <w:bCs/>
        </w:rPr>
      </w:pPr>
      <w:r>
        <w:rPr>
          <w:bCs/>
        </w:rPr>
        <w:t xml:space="preserve">Standard No. 0.3.30, November 25, 2024; </w:t>
      </w:r>
    </w:p>
    <w:p w14:paraId="6189A539" w14:textId="77777777" w:rsidR="004B1EBF" w:rsidRDefault="004B1EBF" w:rsidP="001E5C26">
      <w:pPr>
        <w:ind w:left="720"/>
        <w:rPr>
          <w:bCs/>
        </w:rPr>
      </w:pPr>
    </w:p>
    <w:p w14:paraId="0523506B" w14:textId="215695C1" w:rsidR="00C44D47" w:rsidRDefault="00C44D47" w:rsidP="001D046B">
      <w:pPr>
        <w:rPr>
          <w:bCs/>
        </w:rPr>
      </w:pPr>
      <w:r>
        <w:rPr>
          <w:bCs/>
        </w:rPr>
        <w:t xml:space="preserve">(ii) </w:t>
      </w:r>
      <w:r w:rsidR="00174F72" w:rsidRPr="00D4523C">
        <w:rPr>
          <w:bCs/>
        </w:rPr>
        <w:t>***</w:t>
      </w:r>
    </w:p>
    <w:p w14:paraId="2DA3BB5D" w14:textId="77777777" w:rsidR="00865A2E" w:rsidRDefault="00865A2E" w:rsidP="001E5C26">
      <w:pPr>
        <w:ind w:left="720"/>
        <w:rPr>
          <w:bCs/>
        </w:rPr>
      </w:pPr>
    </w:p>
    <w:p w14:paraId="5AB416C5" w14:textId="3372CEFA" w:rsidR="00865A2E" w:rsidRDefault="00865A2E" w:rsidP="001D046B">
      <w:pPr>
        <w:rPr>
          <w:bCs/>
        </w:rPr>
      </w:pPr>
      <w:r>
        <w:rPr>
          <w:bCs/>
        </w:rPr>
        <w:t xml:space="preserve">(iii) </w:t>
      </w:r>
      <w:r w:rsidRPr="00865A2E">
        <w:rPr>
          <w:bCs/>
        </w:rPr>
        <w:t>***</w:t>
      </w:r>
    </w:p>
    <w:p w14:paraId="11885863" w14:textId="77777777" w:rsidR="004B1EBF" w:rsidRDefault="004B1EBF" w:rsidP="001D046B">
      <w:pPr>
        <w:rPr>
          <w:bCs/>
        </w:rPr>
      </w:pPr>
    </w:p>
    <w:p w14:paraId="461CBF74" w14:textId="4E2E1E5C" w:rsidR="00174F72" w:rsidRDefault="00174F72" w:rsidP="001D046B">
      <w:pPr>
        <w:rPr>
          <w:bCs/>
        </w:rPr>
      </w:pPr>
      <w:r>
        <w:rPr>
          <w:bCs/>
        </w:rPr>
        <w:t>(i</w:t>
      </w:r>
      <w:r w:rsidR="0078691D">
        <w:rPr>
          <w:bCs/>
        </w:rPr>
        <w:t>v</w:t>
      </w:r>
      <w:r>
        <w:rPr>
          <w:bCs/>
        </w:rPr>
        <w:t>)</w:t>
      </w:r>
      <w:r w:rsidR="003748A5">
        <w:rPr>
          <w:bCs/>
        </w:rPr>
        <w:tab/>
      </w:r>
      <w:r w:rsidR="00593258">
        <w:rPr>
          <w:bCs/>
        </w:rPr>
        <w:t>W</w:t>
      </w:r>
      <w:r w:rsidR="00CB34EA">
        <w:rPr>
          <w:bCs/>
        </w:rPr>
        <w:t>GQ</w:t>
      </w:r>
      <w:r w:rsidR="00593258">
        <w:rPr>
          <w:bCs/>
        </w:rPr>
        <w:t xml:space="preserve"> </w:t>
      </w:r>
      <w:r w:rsidR="00593258" w:rsidRPr="00593258">
        <w:rPr>
          <w:bCs/>
        </w:rPr>
        <w:t>Invoicing Related Standards</w:t>
      </w:r>
      <w:r w:rsidR="00346F93">
        <w:rPr>
          <w:bCs/>
        </w:rPr>
        <w:t xml:space="preserve"> (</w:t>
      </w:r>
      <w:r w:rsidR="00655AC6" w:rsidRPr="00655AC6">
        <w:rPr>
          <w:bCs/>
        </w:rPr>
        <w:t>Version 4.0</w:t>
      </w:r>
      <w:r w:rsidR="004A017A">
        <w:rPr>
          <w:bCs/>
        </w:rPr>
        <w:t>,</w:t>
      </w:r>
      <w:r w:rsidR="00CB34EA">
        <w:rPr>
          <w:bCs/>
        </w:rPr>
        <w:t xml:space="preserve"> </w:t>
      </w:r>
      <w:bookmarkStart w:id="40" w:name="_Hlk191053297"/>
      <w:r w:rsidR="00CB34EA">
        <w:rPr>
          <w:bCs/>
        </w:rPr>
        <w:t>Sep</w:t>
      </w:r>
      <w:r w:rsidR="00CB34EA" w:rsidRPr="00CB34EA">
        <w:rPr>
          <w:bCs/>
        </w:rPr>
        <w:t>tember 29, 2023</w:t>
      </w:r>
      <w:bookmarkEnd w:id="40"/>
      <w:r w:rsidR="00655AC6">
        <w:rPr>
          <w:bCs/>
        </w:rPr>
        <w:t>)</w:t>
      </w:r>
      <w:r w:rsidR="00F23A1B">
        <w:rPr>
          <w:bCs/>
        </w:rPr>
        <w:t xml:space="preserve">, with </w:t>
      </w:r>
      <w:r w:rsidR="00346F93" w:rsidRPr="00346F93">
        <w:rPr>
          <w:bCs/>
        </w:rPr>
        <w:t xml:space="preserve">Minor Correction MC24002 </w:t>
      </w:r>
      <w:r w:rsidR="0002754C">
        <w:rPr>
          <w:bCs/>
        </w:rPr>
        <w:t>a</w:t>
      </w:r>
      <w:r w:rsidR="00346F93" w:rsidRPr="00346F93">
        <w:rPr>
          <w:bCs/>
        </w:rPr>
        <w:t>pplied May 17, 2024</w:t>
      </w:r>
      <w:r w:rsidR="00E41C47">
        <w:rPr>
          <w:bCs/>
        </w:rPr>
        <w:t>;</w:t>
      </w:r>
    </w:p>
    <w:p w14:paraId="1FCA1A8E" w14:textId="77777777" w:rsidR="00902D2E" w:rsidRDefault="00902D2E" w:rsidP="001D046B">
      <w:pPr>
        <w:rPr>
          <w:bCs/>
        </w:rPr>
      </w:pPr>
    </w:p>
    <w:p w14:paraId="16CEF08B" w14:textId="5A3443E9" w:rsidR="005546CC" w:rsidRPr="00AD0AAA" w:rsidRDefault="00902D2E" w:rsidP="001D046B">
      <w:pPr>
        <w:rPr>
          <w:bCs/>
        </w:rPr>
      </w:pPr>
      <w:r>
        <w:rPr>
          <w:bCs/>
        </w:rPr>
        <w:t>(v)</w:t>
      </w:r>
      <w:r>
        <w:rPr>
          <w:bCs/>
        </w:rPr>
        <w:tab/>
      </w:r>
      <w:r w:rsidR="004A017A">
        <w:rPr>
          <w:bCs/>
        </w:rPr>
        <w:t>WGQ Quadrant Electronic Delivery Mechanism Related Standards (Version 4.0</w:t>
      </w:r>
      <w:proofErr w:type="gramStart"/>
      <w:r w:rsidR="004A017A">
        <w:rPr>
          <w:bCs/>
        </w:rPr>
        <w:t>,</w:t>
      </w:r>
      <w:r w:rsidR="00370575">
        <w:rPr>
          <w:bCs/>
        </w:rPr>
        <w:t xml:space="preserve"> </w:t>
      </w:r>
      <w:r w:rsidR="004A017A">
        <w:rPr>
          <w:bCs/>
        </w:rPr>
        <w:t xml:space="preserve"> </w:t>
      </w:r>
      <w:r w:rsidR="00370575" w:rsidRPr="00370575">
        <w:rPr>
          <w:bCs/>
        </w:rPr>
        <w:t>September</w:t>
      </w:r>
      <w:proofErr w:type="gramEnd"/>
      <w:r w:rsidR="00370575" w:rsidRPr="00370575">
        <w:rPr>
          <w:bCs/>
        </w:rPr>
        <w:t xml:space="preserve"> 29, 2023</w:t>
      </w:r>
      <w:r w:rsidR="00370575">
        <w:rPr>
          <w:bCs/>
        </w:rPr>
        <w:t xml:space="preserve">), </w:t>
      </w:r>
      <w:r w:rsidR="0002754C">
        <w:rPr>
          <w:bCs/>
        </w:rPr>
        <w:t>revising Standard No. 4.3.23, November 25, 2024</w:t>
      </w:r>
      <w:r w:rsidR="005546CC">
        <w:rPr>
          <w:bCs/>
        </w:rPr>
        <w:t xml:space="preserve">; </w:t>
      </w:r>
    </w:p>
    <w:p w14:paraId="1BEEB8E0" w14:textId="77777777" w:rsidR="005546CC" w:rsidRPr="00AD0AAA" w:rsidRDefault="005546CC" w:rsidP="008D5B9E">
      <w:pPr>
        <w:rPr>
          <w:bCs/>
        </w:rPr>
      </w:pPr>
    </w:p>
    <w:p w14:paraId="30371B94" w14:textId="28085AD2" w:rsidR="005546CC" w:rsidRDefault="005546CC" w:rsidP="001D046B">
      <w:pPr>
        <w:spacing w:after="260"/>
        <w:rPr>
          <w:bCs/>
        </w:rPr>
      </w:pPr>
      <w:r w:rsidRPr="00AD0AAA">
        <w:rPr>
          <w:bCs/>
        </w:rPr>
        <w:t>(</w:t>
      </w:r>
      <w:r w:rsidR="000C40F5">
        <w:rPr>
          <w:bCs/>
        </w:rPr>
        <w:t>vi</w:t>
      </w:r>
      <w:r w:rsidRPr="00AD0AAA">
        <w:rPr>
          <w:bCs/>
        </w:rPr>
        <w:t>)</w:t>
      </w:r>
      <w:r w:rsidRPr="00AD0AAA">
        <w:rPr>
          <w:bCs/>
        </w:rPr>
        <w:tab/>
      </w:r>
      <w:r>
        <w:rPr>
          <w:bCs/>
        </w:rPr>
        <w:t xml:space="preserve">WGQ </w:t>
      </w:r>
      <w:r w:rsidRPr="00AD0AAA">
        <w:t>Capacity Release Related Standards</w:t>
      </w:r>
      <w:r w:rsidRPr="00AD0AAA">
        <w:rPr>
          <w:bCs/>
        </w:rPr>
        <w:t xml:space="preserve"> (</w:t>
      </w:r>
      <w:r>
        <w:rPr>
          <w:bCs/>
        </w:rPr>
        <w:t xml:space="preserve">Version 4.0, </w:t>
      </w:r>
      <w:r w:rsidR="00B70E9A" w:rsidRPr="00000AD8">
        <w:rPr>
          <w:bCs/>
        </w:rPr>
        <w:t>September 29, 2023</w:t>
      </w:r>
      <w:r w:rsidR="00B70E9A">
        <w:rPr>
          <w:bCs/>
        </w:rPr>
        <w:t xml:space="preserve">), adding </w:t>
      </w:r>
      <w:r w:rsidRPr="00DB39DA">
        <w:rPr>
          <w:bCs/>
          <w:lang w:val="en"/>
        </w:rPr>
        <w:t>Standard No.</w:t>
      </w:r>
      <w:r>
        <w:rPr>
          <w:bCs/>
          <w:lang w:val="en"/>
        </w:rPr>
        <w:t xml:space="preserve"> </w:t>
      </w:r>
      <w:r w:rsidRPr="00DB39DA">
        <w:rPr>
          <w:bCs/>
          <w:lang w:val="en"/>
        </w:rPr>
        <w:t>5.3.74</w:t>
      </w:r>
      <w:r w:rsidRPr="00AD0AAA">
        <w:rPr>
          <w:bCs/>
          <w:lang w:val="en"/>
        </w:rPr>
        <w:t xml:space="preserve">, </w:t>
      </w:r>
      <w:r w:rsidRPr="00AD0AAA">
        <w:rPr>
          <w:bCs/>
        </w:rPr>
        <w:t>November 25, 2024</w:t>
      </w:r>
      <w:r w:rsidR="00AB7A8E">
        <w:rPr>
          <w:bCs/>
        </w:rPr>
        <w:t xml:space="preserve">; and </w:t>
      </w:r>
    </w:p>
    <w:p w14:paraId="5665F523" w14:textId="0A4882EC" w:rsidR="006D1AE4" w:rsidRPr="00AD0AAA" w:rsidRDefault="001E5C26" w:rsidP="001D046B">
      <w:pPr>
        <w:rPr>
          <w:bCs/>
        </w:rPr>
      </w:pPr>
      <w:r>
        <w:rPr>
          <w:bCs/>
        </w:rPr>
        <w:lastRenderedPageBreak/>
        <w:t xml:space="preserve">(vii) </w:t>
      </w:r>
      <w:r w:rsidR="001D046B">
        <w:rPr>
          <w:bCs/>
        </w:rPr>
        <w:tab/>
      </w:r>
      <w:r w:rsidR="00482600" w:rsidRPr="00482600">
        <w:rPr>
          <w:bCs/>
        </w:rPr>
        <w:t>WGQ Cybersecurity Related Standards (Version 4.0, September 29, 2023)</w:t>
      </w:r>
      <w:r w:rsidR="00750932">
        <w:rPr>
          <w:bCs/>
        </w:rPr>
        <w:t>.</w:t>
      </w:r>
    </w:p>
    <w:p w14:paraId="1D67C86A" w14:textId="77777777" w:rsidR="005546CC" w:rsidRPr="00D4523C" w:rsidRDefault="005546CC" w:rsidP="005546CC">
      <w:pPr>
        <w:rPr>
          <w:bCs/>
        </w:rPr>
      </w:pPr>
    </w:p>
    <w:p w14:paraId="4D659C6D" w14:textId="77777777" w:rsidR="00A06E32" w:rsidRDefault="005546CC" w:rsidP="0003382F">
      <w:pPr>
        <w:rPr>
          <w:bCs/>
        </w:rPr>
        <w:sectPr w:rsidR="00A06E32" w:rsidSect="009231E5">
          <w:headerReference w:type="even" r:id="rId18"/>
          <w:headerReference w:type="default" r:id="rId19"/>
          <w:headerReference w:type="first" r:id="rId20"/>
          <w:pgSz w:w="12240" w:h="15840"/>
          <w:pgMar w:top="1440" w:right="1440" w:bottom="1440" w:left="1440" w:header="720" w:footer="720" w:gutter="0"/>
          <w:pgNumType w:fmt="numberInDash" w:start="1"/>
          <w:cols w:space="720"/>
          <w:titlePg/>
          <w:docGrid w:linePitch="360"/>
        </w:sectPr>
      </w:pPr>
      <w:r w:rsidRPr="00D4523C">
        <w:rPr>
          <w:bCs/>
        </w:rPr>
        <w:t>*</w:t>
      </w:r>
      <w:r w:rsidR="007D23B7">
        <w:rPr>
          <w:bCs/>
        </w:rPr>
        <w:t xml:space="preserve"> </w:t>
      </w:r>
      <w:r w:rsidR="006E1FF4">
        <w:rPr>
          <w:bCs/>
        </w:rPr>
        <w:t xml:space="preserve">   </w:t>
      </w:r>
      <w:r w:rsidRPr="00D4523C">
        <w:rPr>
          <w:bCs/>
        </w:rPr>
        <w:t>*</w:t>
      </w:r>
      <w:r w:rsidR="006E1FF4">
        <w:rPr>
          <w:bCs/>
        </w:rPr>
        <w:t xml:space="preserve">    </w:t>
      </w:r>
      <w:r w:rsidRPr="00D4523C">
        <w:rPr>
          <w:bCs/>
        </w:rPr>
        <w:t>*</w:t>
      </w:r>
      <w:r w:rsidR="006E1FF4">
        <w:rPr>
          <w:bCs/>
        </w:rPr>
        <w:t xml:space="preserve">   </w:t>
      </w:r>
      <w:r w:rsidRPr="00D4523C">
        <w:rPr>
          <w:bCs/>
        </w:rPr>
        <w:t>*</w:t>
      </w:r>
      <w:r w:rsidR="006E1FF4">
        <w:rPr>
          <w:bCs/>
        </w:rPr>
        <w:t xml:space="preserve">   </w:t>
      </w:r>
      <w:r w:rsidRPr="00D4523C">
        <w:rPr>
          <w:bCs/>
        </w:rPr>
        <w:t>*</w:t>
      </w:r>
    </w:p>
    <w:p w14:paraId="50F15583" w14:textId="77777777" w:rsidR="00A06E32" w:rsidRPr="0032748C" w:rsidRDefault="00A06E32" w:rsidP="002B62F8">
      <w:pPr>
        <w:jc w:val="center"/>
      </w:pPr>
      <w:r w:rsidRPr="0032748C">
        <w:lastRenderedPageBreak/>
        <w:t>UNITED STATES OF AMERICA</w:t>
      </w:r>
    </w:p>
    <w:p w14:paraId="556A596E" w14:textId="77777777" w:rsidR="00A06E32" w:rsidRPr="0032748C" w:rsidRDefault="00A06E32" w:rsidP="002B62F8">
      <w:pPr>
        <w:jc w:val="center"/>
      </w:pPr>
      <w:r w:rsidRPr="0032748C">
        <w:t>FEDERAL ENERGY REGULATORY COMMISSION</w:t>
      </w:r>
    </w:p>
    <w:p w14:paraId="6BF5BECE" w14:textId="77777777" w:rsidR="00A06E32" w:rsidRPr="00BC4F52" w:rsidRDefault="00A06E32" w:rsidP="00BC4F52">
      <w:pPr>
        <w:widowControl/>
      </w:pPr>
    </w:p>
    <w:p w14:paraId="4DA5C99D" w14:textId="77777777" w:rsidR="00A06E32" w:rsidRPr="0032748C" w:rsidRDefault="00A06E32" w:rsidP="002B62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9"/>
        <w:gridCol w:w="1901"/>
        <w:gridCol w:w="1530"/>
      </w:tblGrid>
      <w:tr w:rsidR="00A06E32" w:rsidRPr="0032748C" w14:paraId="6383B903" w14:textId="77777777" w:rsidTr="00CF0D76">
        <w:tc>
          <w:tcPr>
            <w:tcW w:w="5929" w:type="dxa"/>
          </w:tcPr>
          <w:p w14:paraId="6C3471B6" w14:textId="77777777" w:rsidR="00A06E32" w:rsidRPr="0032748C" w:rsidRDefault="00A06E32" w:rsidP="008B7CD8">
            <w:pPr>
              <w:widowControl/>
              <w:rPr>
                <w:rFonts w:eastAsiaTheme="minorHAnsi"/>
                <w:szCs w:val="22"/>
              </w:rPr>
            </w:pPr>
            <w:r w:rsidRPr="00A120DF">
              <w:rPr>
                <w:rFonts w:eastAsiaTheme="minorHAnsi"/>
                <w:szCs w:val="22"/>
              </w:rPr>
              <w:t>Standards for Business Practices of Interstate Natural Gas Pipelines </w:t>
            </w:r>
          </w:p>
        </w:tc>
        <w:tc>
          <w:tcPr>
            <w:tcW w:w="1901" w:type="dxa"/>
          </w:tcPr>
          <w:p w14:paraId="32FB3F9D" w14:textId="3D15283A" w:rsidR="00A06E32" w:rsidRPr="0032748C" w:rsidRDefault="00CF0D76" w:rsidP="00DC2A88">
            <w:pPr>
              <w:widowControl/>
              <w:autoSpaceDE/>
              <w:autoSpaceDN/>
              <w:adjustRightInd/>
              <w:jc w:val="right"/>
              <w:rPr>
                <w:rFonts w:eastAsiaTheme="minorHAnsi"/>
                <w:szCs w:val="22"/>
              </w:rPr>
            </w:pPr>
            <w:r>
              <w:rPr>
                <w:rFonts w:eastAsiaTheme="minorHAnsi"/>
                <w:szCs w:val="22"/>
              </w:rPr>
              <w:t xml:space="preserve">   </w:t>
            </w:r>
            <w:r w:rsidR="00A06E32" w:rsidRPr="0032748C">
              <w:rPr>
                <w:rFonts w:eastAsiaTheme="minorHAnsi"/>
                <w:szCs w:val="22"/>
              </w:rPr>
              <w:t>Docket No.</w:t>
            </w:r>
          </w:p>
        </w:tc>
        <w:tc>
          <w:tcPr>
            <w:tcW w:w="1530" w:type="dxa"/>
            <w:tcMar>
              <w:left w:w="144" w:type="dxa"/>
            </w:tcMar>
          </w:tcPr>
          <w:p w14:paraId="6BC44479" w14:textId="77777777" w:rsidR="00A06E32" w:rsidRPr="0032748C" w:rsidRDefault="00A06E32" w:rsidP="00CF0D76">
            <w:pPr>
              <w:widowControl/>
              <w:autoSpaceDE/>
              <w:autoSpaceDN/>
              <w:adjustRightInd/>
              <w:ind w:hanging="60"/>
              <w:rPr>
                <w:rFonts w:eastAsiaTheme="minorHAnsi"/>
                <w:szCs w:val="22"/>
              </w:rPr>
            </w:pPr>
            <w:r w:rsidRPr="0028183D">
              <w:rPr>
                <w:rFonts w:eastAsiaTheme="minorHAnsi"/>
                <w:szCs w:val="22"/>
              </w:rPr>
              <w:t>RM96-1-044</w:t>
            </w:r>
          </w:p>
        </w:tc>
      </w:tr>
    </w:tbl>
    <w:p w14:paraId="4F5D8706" w14:textId="77777777" w:rsidR="00A06E32" w:rsidRPr="0032748C" w:rsidRDefault="00A06E32" w:rsidP="002B62F8">
      <w:pPr>
        <w:jc w:val="center"/>
      </w:pPr>
    </w:p>
    <w:p w14:paraId="5211D056" w14:textId="77777777" w:rsidR="00A06E32" w:rsidRPr="0032748C" w:rsidRDefault="00A06E32" w:rsidP="002B62F8">
      <w:pPr>
        <w:jc w:val="center"/>
      </w:pPr>
    </w:p>
    <w:p w14:paraId="1072674F" w14:textId="77777777" w:rsidR="00A06E32" w:rsidRDefault="00A06E32" w:rsidP="002B732A">
      <w:pPr>
        <w:widowControl/>
        <w:tabs>
          <w:tab w:val="center" w:pos="4680"/>
          <w:tab w:val="right" w:pos="9360"/>
        </w:tabs>
        <w:jc w:val="center"/>
      </w:pPr>
      <w:r w:rsidRPr="00BC4F52">
        <w:fldChar w:fldCharType="begin"/>
      </w:r>
      <w:r w:rsidRPr="00BC4F52">
        <w:instrText xml:space="preserve"> MACROBUTTON  AcceptAllChangesInDoc </w:instrText>
      </w:r>
      <w:r w:rsidRPr="00BC4F52">
        <w:fldChar w:fldCharType="end"/>
      </w:r>
      <w:r w:rsidRPr="00BC4F52">
        <w:t>(Issued</w:t>
      </w:r>
      <w:r>
        <w:t xml:space="preserve"> October 16, 2025</w:t>
      </w:r>
      <w:r w:rsidRPr="00BC4F52">
        <w:t>)</w:t>
      </w:r>
    </w:p>
    <w:p w14:paraId="0FF2030A" w14:textId="77777777" w:rsidR="00A06E32" w:rsidRDefault="00A06E32" w:rsidP="00FB52A5">
      <w:pPr>
        <w:widowControl/>
        <w:tabs>
          <w:tab w:val="center" w:pos="4680"/>
          <w:tab w:val="right" w:pos="9360"/>
        </w:tabs>
      </w:pPr>
    </w:p>
    <w:p w14:paraId="526B5918" w14:textId="77777777" w:rsidR="00A06E32" w:rsidRPr="00FB52A5" w:rsidRDefault="00A06E32" w:rsidP="00FB52A5">
      <w:pPr>
        <w:widowControl/>
        <w:tabs>
          <w:tab w:val="center" w:pos="4680"/>
          <w:tab w:val="right" w:pos="9360"/>
        </w:tabs>
        <w:rPr>
          <w:bCs/>
        </w:rPr>
      </w:pPr>
      <w:r w:rsidRPr="00FB52A5">
        <w:rPr>
          <w:bCs/>
        </w:rPr>
        <w:t xml:space="preserve">CHANG, Commissioner, </w:t>
      </w:r>
      <w:r>
        <w:rPr>
          <w:bCs/>
          <w:i/>
        </w:rPr>
        <w:t>concurring</w:t>
      </w:r>
      <w:r w:rsidRPr="00FB52A5">
        <w:rPr>
          <w:bCs/>
        </w:rPr>
        <w:t xml:space="preserve">: </w:t>
      </w:r>
    </w:p>
    <w:p w14:paraId="7B45CBFA" w14:textId="77777777" w:rsidR="00A06E32" w:rsidRPr="0032748C" w:rsidRDefault="00A06E32" w:rsidP="002B62F8">
      <w:pPr>
        <w:rPr>
          <w:bCs/>
        </w:rPr>
      </w:pPr>
    </w:p>
    <w:p w14:paraId="3FAF22FE" w14:textId="77777777" w:rsidR="00A06E32" w:rsidRDefault="00A06E32" w:rsidP="00A06E32">
      <w:pPr>
        <w:pStyle w:val="FERCparanumber"/>
        <w:numPr>
          <w:ilvl w:val="0"/>
          <w:numId w:val="26"/>
        </w:numPr>
        <w:spacing w:after="260" w:line="240" w:lineRule="auto"/>
      </w:pPr>
      <w:r>
        <w:t>I concur with the Commission’s order proposing to incorporate the North American Energy Standards Board (NAESB) gas-electric coordination standards into Commission-jurisdictional natural gas tariffs.  I applaud NAESB and industry stakeholders for years of effort to address critical findings and recommendations from the Commission and North American Electricity Reliability Corporation’s reports following Winter Storms Uri and Elliott.  I write separately to urge NAESB and industry stakeholders to continue working to improve communication between transportation service providers (interstate pipelines) and generators and electricity system operators and to address outstanding gas-electric coordination matters.</w:t>
      </w:r>
    </w:p>
    <w:p w14:paraId="3CDE36C7" w14:textId="77777777" w:rsidR="00A06E32" w:rsidRDefault="00A06E32" w:rsidP="00A06E32">
      <w:pPr>
        <w:pStyle w:val="FERCparanumber"/>
        <w:spacing w:after="260" w:line="240" w:lineRule="auto"/>
      </w:pPr>
      <w:r>
        <w:t>T</w:t>
      </w:r>
      <w:r w:rsidRPr="00C417F6">
        <w:t>h</w:t>
      </w:r>
      <w:r>
        <w:t>e NAESB standards proposed here exemplify</w:t>
      </w:r>
      <w:r w:rsidRPr="00C417F6">
        <w:t xml:space="preserve"> the type of brick-by-brick incremental improvement</w:t>
      </w:r>
      <w:r>
        <w:t>s</w:t>
      </w:r>
      <w:r w:rsidRPr="00C417F6">
        <w:t xml:space="preserve"> needed to address pressing gas-electric coordination challenges.  </w:t>
      </w:r>
      <w:r>
        <w:t xml:space="preserve">However, these proposed standards alone may not be enough to fully address the on-going challenges.  More information sharing will improve situational awareness for grid operators and power generators, which would help improve service to customers, particularly when the systems are stressed.  </w:t>
      </w:r>
      <w:r w:rsidRPr="00C417F6">
        <w:t xml:space="preserve">I </w:t>
      </w:r>
      <w:r>
        <w:t xml:space="preserve">therefore </w:t>
      </w:r>
      <w:r w:rsidRPr="00C417F6">
        <w:t xml:space="preserve">encourage NAESB </w:t>
      </w:r>
      <w:r>
        <w:t>and industry</w:t>
      </w:r>
      <w:r w:rsidRPr="00C417F6">
        <w:t xml:space="preserve"> stakeholders to </w:t>
      </w:r>
      <w:r>
        <w:t xml:space="preserve">continue this work and </w:t>
      </w:r>
      <w:r w:rsidRPr="00C417F6">
        <w:t>further enhance such information</w:t>
      </w:r>
      <w:r>
        <w:t>-</w:t>
      </w:r>
      <w:r w:rsidRPr="00C417F6">
        <w:t>sharing</w:t>
      </w:r>
      <w:r>
        <w:t xml:space="preserve"> standards, potentially including providing</w:t>
      </w:r>
      <w:r w:rsidRPr="00C417F6">
        <w:t xml:space="preserve"> </w:t>
      </w:r>
      <w:r>
        <w:t xml:space="preserve">information related to the natural gas scheduled by </w:t>
      </w:r>
      <w:r w:rsidRPr="00C417F6">
        <w:t xml:space="preserve">generators that are not directly </w:t>
      </w:r>
      <w:r>
        <w:t>connected to</w:t>
      </w:r>
      <w:r w:rsidRPr="00C417F6">
        <w:t xml:space="preserve"> </w:t>
      </w:r>
      <w:r>
        <w:t>interstate pipelines</w:t>
      </w:r>
      <w:r w:rsidRPr="00C417F6">
        <w:t xml:space="preserve">. </w:t>
      </w:r>
      <w:r>
        <w:t xml:space="preserve"> I further encourage continued collaboration between pipelines, suppliers, natural gas marketers, and owners of upstream gas gathering systems to update pipeline operators and ultimately downstream gas users and electricity system operators of changes in system conditions, such as wellhead freezes, that could affect natural gas users and consumers.  </w:t>
      </w:r>
    </w:p>
    <w:p w14:paraId="33E8353A" w14:textId="77777777" w:rsidR="00A06E32" w:rsidRDefault="00A06E32" w:rsidP="00A06E32">
      <w:pPr>
        <w:pStyle w:val="FERCparanumber"/>
        <w:spacing w:after="260" w:line="240" w:lineRule="auto"/>
        <w:rPr>
          <w:szCs w:val="26"/>
        </w:rPr>
      </w:pPr>
      <w:r>
        <w:t xml:space="preserve">Given the criticality of natural gas for the electricity sector, combined with increasingly tight supply and demand balance, continued improvements in gas-electric coordination are paramount for ensuring reliability.  In addition to providing feedback on the NAESB standards proposed in this NOPR, I urge stakeholders to provide comments in this proceeding on areas where additional improvements on gas-electric coordination would be valuable, particularly regarding information-sharing along the chain of entities that physically control or have financial rights to natural gas deliveries, starting at the </w:t>
      </w:r>
      <w:r>
        <w:lastRenderedPageBreak/>
        <w:t>wellhead and ending at generators or the gas local distribution companies.  Further, I welcome input from stakeholders to help inform the Commission’s next steps as we address this critical issue.</w:t>
      </w:r>
    </w:p>
    <w:p w14:paraId="6E4ED01A" w14:textId="77777777" w:rsidR="00A06E32" w:rsidRDefault="00A06E32" w:rsidP="00946073">
      <w:pPr>
        <w:widowControl/>
        <w:spacing w:after="160" w:line="259" w:lineRule="auto"/>
      </w:pPr>
      <w:r>
        <w:t>With these interests in mind</w:t>
      </w:r>
      <w:r w:rsidRPr="003B525A">
        <w:t xml:space="preserve">, I respectfully </w:t>
      </w:r>
      <w:r>
        <w:t>concur</w:t>
      </w:r>
      <w:r w:rsidRPr="003B525A">
        <w:t>.</w:t>
      </w:r>
      <w:r>
        <w:t xml:space="preserve"> </w:t>
      </w:r>
    </w:p>
    <w:p w14:paraId="60927413" w14:textId="77777777" w:rsidR="00A06E32" w:rsidRDefault="00A06E32" w:rsidP="00520097">
      <w:pPr>
        <w:pStyle w:val="FERCparanumber"/>
        <w:numPr>
          <w:ilvl w:val="0"/>
          <w:numId w:val="0"/>
        </w:numPr>
        <w:ind w:firstLine="720"/>
      </w:pPr>
    </w:p>
    <w:p w14:paraId="6D7BD5D7" w14:textId="77777777" w:rsidR="00A06E32" w:rsidRDefault="00A06E32" w:rsidP="00520097">
      <w:pPr>
        <w:pStyle w:val="FERCparanumber"/>
        <w:numPr>
          <w:ilvl w:val="0"/>
          <w:numId w:val="0"/>
        </w:numPr>
        <w:ind w:firstLine="720"/>
      </w:pPr>
      <w:r>
        <w:rPr>
          <w:noProof/>
        </w:rPr>
        <w:drawing>
          <wp:inline distT="0" distB="0" distL="0" distR="0" wp14:anchorId="18F3C157" wp14:editId="5A4CE22C">
            <wp:extent cx="2258568" cy="749808"/>
            <wp:effectExtent l="0" t="0" r="0" b="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2258568" cy="749808"/>
                    </a:xfrm>
                    <a:prstGeom prst="rect">
                      <a:avLst/>
                    </a:prstGeom>
                    <a:ln>
                      <a:noFill/>
                    </a:ln>
                    <a:extLst>
                      <a:ext uri="{53640926-AAD7-44D8-BBD7-CCE9431645EC}">
                        <a14:shadowObscured xmlns:a14="http://schemas.microsoft.com/office/drawing/2010/main"/>
                      </a:ext>
                    </a:extLst>
                  </pic:spPr>
                </pic:pic>
              </a:graphicData>
            </a:graphic>
          </wp:inline>
        </w:drawing>
      </w:r>
    </w:p>
    <w:p w14:paraId="42C78A3F" w14:textId="77777777" w:rsidR="00A06E32" w:rsidRPr="00B45A69" w:rsidRDefault="00A06E32" w:rsidP="00B45A69">
      <w:pPr>
        <w:pStyle w:val="FERCparanumber"/>
        <w:numPr>
          <w:ilvl w:val="0"/>
          <w:numId w:val="0"/>
        </w:numPr>
        <w:ind w:firstLine="720"/>
      </w:pPr>
      <w:r w:rsidRPr="00B45A69">
        <w:t>________________________</w:t>
      </w:r>
    </w:p>
    <w:p w14:paraId="7C0F7783" w14:textId="77777777" w:rsidR="00A06E32" w:rsidRPr="00B45A69" w:rsidRDefault="00A06E32" w:rsidP="00B45A69">
      <w:pPr>
        <w:pStyle w:val="FERCparanumber"/>
        <w:numPr>
          <w:ilvl w:val="0"/>
          <w:numId w:val="0"/>
        </w:numPr>
        <w:ind w:firstLine="720"/>
      </w:pPr>
      <w:r w:rsidRPr="00B45A69">
        <w:t>Judy W. Chang</w:t>
      </w:r>
    </w:p>
    <w:p w14:paraId="7868DA9E" w14:textId="77777777" w:rsidR="00A06E32" w:rsidRPr="00B45A69" w:rsidRDefault="00A06E32" w:rsidP="00B45A69">
      <w:pPr>
        <w:pStyle w:val="FERCparanumber"/>
        <w:numPr>
          <w:ilvl w:val="0"/>
          <w:numId w:val="0"/>
        </w:numPr>
        <w:ind w:firstLine="720"/>
      </w:pPr>
      <w:r w:rsidRPr="00B45A69">
        <w:t>Commissioner</w:t>
      </w:r>
    </w:p>
    <w:p w14:paraId="6997CD51" w14:textId="77777777" w:rsidR="00A06E32" w:rsidRDefault="00A06E32" w:rsidP="00E176BB">
      <w:pPr>
        <w:pStyle w:val="FERCparanumber"/>
        <w:numPr>
          <w:ilvl w:val="0"/>
          <w:numId w:val="0"/>
        </w:numPr>
      </w:pPr>
    </w:p>
    <w:p w14:paraId="7FAC883E" w14:textId="77777777" w:rsidR="00A06E32" w:rsidRDefault="00A06E32" w:rsidP="00E176BB">
      <w:pPr>
        <w:pStyle w:val="FERCparanumber"/>
        <w:numPr>
          <w:ilvl w:val="0"/>
          <w:numId w:val="0"/>
        </w:numPr>
      </w:pPr>
    </w:p>
    <w:p w14:paraId="341EF01F" w14:textId="2FAB7423" w:rsidR="009231E5" w:rsidRPr="0003382F" w:rsidRDefault="009231E5" w:rsidP="0003382F"/>
    <w:p w14:paraId="21EE9EC5" w14:textId="77777777" w:rsidR="00FF32A1" w:rsidRPr="0003382F" w:rsidRDefault="00FF32A1" w:rsidP="009231E5">
      <w:pPr>
        <w:pStyle w:val="FootnoteText"/>
        <w:ind w:firstLine="0"/>
        <w:jc w:val="right"/>
      </w:pPr>
    </w:p>
    <w:sectPr w:rsidR="00FF32A1" w:rsidRPr="0003382F" w:rsidSect="009231E5">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2A07" w14:textId="77777777" w:rsidR="001B5A7D" w:rsidRDefault="001B5A7D" w:rsidP="0048020B">
      <w:r>
        <w:separator/>
      </w:r>
    </w:p>
  </w:endnote>
  <w:endnote w:type="continuationSeparator" w:id="0">
    <w:p w14:paraId="4216F15D" w14:textId="77777777" w:rsidR="001B5A7D" w:rsidRDefault="001B5A7D" w:rsidP="0048020B">
      <w:r>
        <w:continuationSeparator/>
      </w:r>
    </w:p>
  </w:endnote>
  <w:endnote w:type="continuationNotice" w:id="1">
    <w:p w14:paraId="124F76A9" w14:textId="77777777" w:rsidR="001B5A7D" w:rsidRDefault="001B5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564A" w14:textId="77777777" w:rsidR="001B5A7D" w:rsidRDefault="001B5A7D" w:rsidP="0048020B">
      <w:r>
        <w:separator/>
      </w:r>
    </w:p>
  </w:footnote>
  <w:footnote w:type="continuationSeparator" w:id="0">
    <w:p w14:paraId="0D5B24D6" w14:textId="77777777" w:rsidR="001B5A7D" w:rsidRDefault="001B5A7D" w:rsidP="0048020B">
      <w:r>
        <w:continuationSeparator/>
      </w:r>
    </w:p>
  </w:footnote>
  <w:footnote w:type="continuationNotice" w:id="1">
    <w:p w14:paraId="40DF94D8" w14:textId="77777777" w:rsidR="001B5A7D" w:rsidRPr="005B18AB" w:rsidRDefault="001B5A7D" w:rsidP="005B18AB">
      <w:pPr>
        <w:spacing w:line="14" w:lineRule="exact"/>
        <w:rPr>
          <w:sz w:val="2"/>
        </w:rPr>
      </w:pPr>
    </w:p>
  </w:footnote>
  <w:footnote w:id="2">
    <w:p w14:paraId="5E9AF481" w14:textId="6668BC0B" w:rsidR="002715FE" w:rsidRDefault="002715FE" w:rsidP="002715FE">
      <w:pPr>
        <w:pStyle w:val="FootnoteText"/>
      </w:pPr>
      <w:r>
        <w:rPr>
          <w:rStyle w:val="FootnoteReference"/>
        </w:rPr>
        <w:footnoteRef/>
      </w:r>
      <w:r>
        <w:t xml:space="preserve"> </w:t>
      </w:r>
      <w:r w:rsidRPr="004D6F26">
        <w:rPr>
          <w:i/>
        </w:rPr>
        <w:t>See</w:t>
      </w:r>
      <w:r w:rsidRPr="004D6F26">
        <w:t xml:space="preserve"> </w:t>
      </w:r>
      <w:r>
        <w:t xml:space="preserve">NAESB WGQ </w:t>
      </w:r>
      <w:r w:rsidRPr="004D6F26">
        <w:t xml:space="preserve">Business Practice </w:t>
      </w:r>
      <w:r w:rsidRPr="003C29E4">
        <w:t xml:space="preserve">Standards Version 4.0 Report, Docket </w:t>
      </w:r>
      <w:r w:rsidR="00103A17">
        <w:br/>
      </w:r>
      <w:r w:rsidRPr="003C29E4">
        <w:t>No. RM96-1</w:t>
      </w:r>
      <w:r>
        <w:t>-0</w:t>
      </w:r>
      <w:r w:rsidR="00D145E0">
        <w:t>44</w:t>
      </w:r>
      <w:r w:rsidRPr="003C29E4">
        <w:t xml:space="preserve"> (</w:t>
      </w:r>
      <w:r w:rsidRPr="005064EA">
        <w:t>Dec. 4,</w:t>
      </w:r>
      <w:r w:rsidRPr="003C29E4">
        <w:t xml:space="preserve"> 202</w:t>
      </w:r>
      <w:r>
        <w:t>4</w:t>
      </w:r>
      <w:r w:rsidRPr="003C29E4">
        <w:t>).</w:t>
      </w:r>
    </w:p>
  </w:footnote>
  <w:footnote w:id="3">
    <w:p w14:paraId="79A2D1BA" w14:textId="28347689" w:rsidR="002715FE" w:rsidRPr="002C77C5" w:rsidRDefault="002715FE" w:rsidP="001A2E7C">
      <w:pPr>
        <w:pStyle w:val="FootnoteText"/>
        <w:rPr>
          <w:lang w:val="de-DE"/>
        </w:rPr>
      </w:pPr>
      <w:r w:rsidRPr="009A3DEC">
        <w:rPr>
          <w:rStyle w:val="FootnoteReference"/>
        </w:rPr>
        <w:footnoteRef/>
      </w:r>
      <w:r w:rsidRPr="009A3DEC">
        <w:t xml:space="preserve"> </w:t>
      </w:r>
      <w:r w:rsidRPr="00223EC6">
        <w:t xml:space="preserve">As explained below, NAESB has adopted </w:t>
      </w:r>
      <w:r w:rsidRPr="00223EC6">
        <w:rPr>
          <w:snapToGrid w:val="0"/>
        </w:rPr>
        <w:t>two new standards and revisions to one existing standard in res</w:t>
      </w:r>
      <w:r w:rsidRPr="00223EC6">
        <w:rPr>
          <w:snapToGrid w:val="0"/>
          <w:color w:val="000000"/>
        </w:rPr>
        <w:t xml:space="preserve">ponse to Recommendation 5 of the </w:t>
      </w:r>
      <w:r w:rsidR="00AE28EB" w:rsidRPr="00223EC6">
        <w:rPr>
          <w:snapToGrid w:val="0"/>
          <w:color w:val="000000"/>
        </w:rPr>
        <w:t xml:space="preserve">report that the </w:t>
      </w:r>
      <w:r w:rsidR="00CB208C" w:rsidRPr="00223EC6">
        <w:rPr>
          <w:snapToGrid w:val="0"/>
          <w:color w:val="000000"/>
        </w:rPr>
        <w:t xml:space="preserve">staffs of the </w:t>
      </w:r>
      <w:r w:rsidRPr="00223EC6">
        <w:rPr>
          <w:snapToGrid w:val="0"/>
          <w:color w:val="000000"/>
        </w:rPr>
        <w:t>Commission, North American Electric Reliability Corporation (NERC), and Regional Entit</w:t>
      </w:r>
      <w:r w:rsidR="00A14372" w:rsidRPr="00223EC6">
        <w:rPr>
          <w:snapToGrid w:val="0"/>
          <w:color w:val="000000"/>
        </w:rPr>
        <w:t>ies</w:t>
      </w:r>
      <w:r w:rsidR="00CB208C" w:rsidRPr="00223EC6">
        <w:rPr>
          <w:snapToGrid w:val="0"/>
          <w:color w:val="000000"/>
        </w:rPr>
        <w:t xml:space="preserve"> issued </w:t>
      </w:r>
      <w:r w:rsidR="00840468" w:rsidRPr="00223EC6">
        <w:rPr>
          <w:snapToGrid w:val="0"/>
          <w:color w:val="000000"/>
        </w:rPr>
        <w:t>November 7, 2023</w:t>
      </w:r>
      <w:r w:rsidR="009F62AB" w:rsidRPr="00223EC6">
        <w:rPr>
          <w:rStyle w:val="FootnoteTextChar"/>
        </w:rPr>
        <w:t>:</w:t>
      </w:r>
      <w:r w:rsidR="0054345C" w:rsidRPr="00223EC6">
        <w:rPr>
          <w:rStyle w:val="FootnoteTextChar"/>
        </w:rPr>
        <w:t xml:space="preserve"> </w:t>
      </w:r>
      <w:r w:rsidR="005204E2" w:rsidRPr="00223EC6">
        <w:rPr>
          <w:rStyle w:val="FootnoteTextChar"/>
        </w:rPr>
        <w:t>FERC</w:t>
      </w:r>
      <w:r w:rsidR="00954FA6" w:rsidRPr="00223EC6">
        <w:rPr>
          <w:rStyle w:val="FootnoteTextChar"/>
        </w:rPr>
        <w:t xml:space="preserve"> et</w:t>
      </w:r>
      <w:r w:rsidR="009A5BD9" w:rsidRPr="00223EC6">
        <w:rPr>
          <w:rStyle w:val="FootnoteTextChar"/>
        </w:rPr>
        <w:t xml:space="preserve"> al.</w:t>
      </w:r>
      <w:r w:rsidR="005204E2" w:rsidRPr="00223EC6">
        <w:rPr>
          <w:rStyle w:val="FootnoteTextChar"/>
        </w:rPr>
        <w:t xml:space="preserve">, </w:t>
      </w:r>
      <w:r w:rsidR="009A5BD9" w:rsidRPr="00223EC6">
        <w:rPr>
          <w:rStyle w:val="FootnoteTextChar"/>
          <w:i/>
          <w:iCs/>
        </w:rPr>
        <w:t>FERC</w:t>
      </w:r>
      <w:r w:rsidR="00131E44" w:rsidRPr="00223EC6">
        <w:rPr>
          <w:rStyle w:val="FootnoteTextChar"/>
          <w:i/>
          <w:iCs/>
        </w:rPr>
        <w:t xml:space="preserve">, </w:t>
      </w:r>
      <w:r w:rsidR="005204E2" w:rsidRPr="00223EC6">
        <w:rPr>
          <w:rStyle w:val="FootnoteTextChar"/>
        </w:rPr>
        <w:t>NERC &amp; Reg’l Entit</w:t>
      </w:r>
      <w:r w:rsidR="00131E44" w:rsidRPr="001A2E7C">
        <w:rPr>
          <w:rStyle w:val="FootnoteTextChar"/>
        </w:rPr>
        <w:t>y</w:t>
      </w:r>
      <w:r w:rsidR="00131E44" w:rsidRPr="00223EC6">
        <w:rPr>
          <w:rStyle w:val="FootnoteTextChar"/>
          <w:i/>
          <w:iCs/>
        </w:rPr>
        <w:t xml:space="preserve"> </w:t>
      </w:r>
      <w:r w:rsidR="005204E2" w:rsidRPr="00223EC6">
        <w:rPr>
          <w:rStyle w:val="FootnoteTextChar"/>
        </w:rPr>
        <w:t xml:space="preserve">Staff Rep.: Inquiry into Bulk-Power Sys. Operations During Dec. 2022 Winter Storm Elliott, Docket No. AD23-8-000, at 143 (Nov. 7, 2023) (Recommendation 5), </w:t>
      </w:r>
      <w:r w:rsidR="0071189C" w:rsidRPr="00223EC6">
        <w:rPr>
          <w:rStyle w:val="FootnoteTextChar"/>
        </w:rPr>
        <w:t>https://elibrary.ferc.gov/eLibrary/filedownload?fileid=00F8FAAC-A049-C84B-8784-8BB5FEC00000</w:t>
      </w:r>
      <w:r w:rsidR="005204E2" w:rsidRPr="00223EC6">
        <w:rPr>
          <w:rStyle w:val="FootnoteTextChar"/>
        </w:rPr>
        <w:t xml:space="preserve"> (as updated Feb. 28. </w:t>
      </w:r>
      <w:r w:rsidR="005204E2" w:rsidRPr="00223EC6">
        <w:rPr>
          <w:rStyle w:val="FootnoteTextChar"/>
          <w:lang w:val="de-DE"/>
        </w:rPr>
        <w:t xml:space="preserve">2024, </w:t>
      </w:r>
      <w:hyperlink r:id="rId1" w:history="1">
        <w:r w:rsidR="005204E2" w:rsidRPr="00223EC6">
          <w:rPr>
            <w:rStyle w:val="FootnoteTextChar"/>
            <w:lang w:val="de-DE"/>
          </w:rPr>
          <w:t>https://elibrary.ferc.gov/eLibrary/filedownload?fileid=BB92A244-97DD-C8A7-96AC-8D897D600000</w:t>
        </w:r>
      </w:hyperlink>
      <w:r w:rsidR="005204E2" w:rsidRPr="00223EC6">
        <w:rPr>
          <w:rStyle w:val="FootnoteTextChar"/>
          <w:lang w:val="de-DE"/>
        </w:rPr>
        <w:t>)</w:t>
      </w:r>
      <w:r w:rsidR="00FF3BD4" w:rsidRPr="00223EC6">
        <w:rPr>
          <w:rStyle w:val="FootnoteTextChar"/>
          <w:lang w:val="de-DE"/>
        </w:rPr>
        <w:t xml:space="preserve"> [hereinafter Winter Storm </w:t>
      </w:r>
      <w:r w:rsidR="005D056F" w:rsidRPr="00223EC6">
        <w:rPr>
          <w:rStyle w:val="FootnoteTextChar"/>
          <w:lang w:val="de-DE"/>
        </w:rPr>
        <w:t>Elliot Report</w:t>
      </w:r>
      <w:r w:rsidR="00B2477D" w:rsidRPr="00223EC6">
        <w:rPr>
          <w:rStyle w:val="FootnoteTextChar"/>
          <w:lang w:val="de-DE"/>
        </w:rPr>
        <w:t>]</w:t>
      </w:r>
      <w:r w:rsidR="005204E2" w:rsidRPr="00223EC6">
        <w:rPr>
          <w:rStyle w:val="FootnoteTextChar"/>
          <w:lang w:val="de-DE"/>
        </w:rPr>
        <w:t>.</w:t>
      </w:r>
      <w:r w:rsidR="0071189C" w:rsidRPr="002C77C5">
        <w:rPr>
          <w:rStyle w:val="FootnoteTextChar"/>
          <w:lang w:val="de-DE"/>
        </w:rPr>
        <w:t xml:space="preserve"> </w:t>
      </w:r>
      <w:r w:rsidR="005064EA" w:rsidRPr="002C77C5">
        <w:rPr>
          <w:snapToGrid w:val="0"/>
          <w:color w:val="000000"/>
          <w:lang w:val="de-DE"/>
        </w:rPr>
        <w:t xml:space="preserve"> </w:t>
      </w:r>
    </w:p>
  </w:footnote>
  <w:footnote w:id="4">
    <w:p w14:paraId="3072F85B" w14:textId="382E7904" w:rsidR="002715FE" w:rsidRDefault="002715FE" w:rsidP="002715FE">
      <w:pPr>
        <w:pStyle w:val="FootnoteText"/>
      </w:pPr>
      <w:r w:rsidRPr="00932257">
        <w:rPr>
          <w:rStyle w:val="FootnoteReference"/>
        </w:rPr>
        <w:footnoteRef/>
      </w:r>
      <w:r>
        <w:t xml:space="preserve"> </w:t>
      </w:r>
      <w:r w:rsidRPr="00110725">
        <w:t xml:space="preserve">This series of orders began with the Commission’s issuance of </w:t>
      </w:r>
      <w:r>
        <w:t xml:space="preserve">Order No. 587, </w:t>
      </w:r>
      <w:bookmarkStart w:id="5" w:name="_Hlk191054374"/>
      <w:r w:rsidRPr="00110725">
        <w:rPr>
          <w:i/>
        </w:rPr>
        <w:t xml:space="preserve">Standards for </w:t>
      </w:r>
      <w:r w:rsidR="00C024EF">
        <w:rPr>
          <w:i/>
        </w:rPr>
        <w:t>Bus.</w:t>
      </w:r>
      <w:r w:rsidRPr="00110725">
        <w:rPr>
          <w:i/>
        </w:rPr>
        <w:t xml:space="preserve"> </w:t>
      </w:r>
      <w:r w:rsidR="00370575">
        <w:rPr>
          <w:i/>
        </w:rPr>
        <w:t>P</w:t>
      </w:r>
      <w:r w:rsidR="00E41C47">
        <w:rPr>
          <w:i/>
        </w:rPr>
        <w:t>r</w:t>
      </w:r>
      <w:r w:rsidR="00370575">
        <w:rPr>
          <w:i/>
        </w:rPr>
        <w:t>ac</w:t>
      </w:r>
      <w:r w:rsidR="00370575" w:rsidRPr="00110725">
        <w:rPr>
          <w:i/>
        </w:rPr>
        <w:t>s</w:t>
      </w:r>
      <w:r w:rsidR="00C024EF">
        <w:rPr>
          <w:i/>
        </w:rPr>
        <w:t>.</w:t>
      </w:r>
      <w:r w:rsidRPr="00110725">
        <w:rPr>
          <w:i/>
        </w:rPr>
        <w:t xml:space="preserve"> of Interstate </w:t>
      </w:r>
      <w:r w:rsidR="00C024EF">
        <w:rPr>
          <w:i/>
        </w:rPr>
        <w:t>Nat.</w:t>
      </w:r>
      <w:r w:rsidRPr="00110725">
        <w:rPr>
          <w:i/>
        </w:rPr>
        <w:t xml:space="preserve"> Gas Pipe</w:t>
      </w:r>
      <w:r>
        <w:rPr>
          <w:i/>
        </w:rPr>
        <w:t>lines</w:t>
      </w:r>
      <w:r w:rsidRPr="0002352D">
        <w:t>,</w:t>
      </w:r>
      <w:r w:rsidRPr="00110725">
        <w:t xml:space="preserve"> </w:t>
      </w:r>
      <w:bookmarkEnd w:id="5"/>
      <w:r w:rsidRPr="00680C2B">
        <w:t>61 FR 39053</w:t>
      </w:r>
      <w:r>
        <w:t xml:space="preserve"> (July 26, 1996), </w:t>
      </w:r>
      <w:r w:rsidRPr="00BA1F44">
        <w:t xml:space="preserve">FERC Stats. &amp; Regs. </w:t>
      </w:r>
      <w:r w:rsidR="0002352D" w:rsidRPr="00BA1F44">
        <w:t>¶</w:t>
      </w:r>
      <w:r w:rsidR="0002352D">
        <w:t> </w:t>
      </w:r>
      <w:r w:rsidR="0002352D" w:rsidRPr="00BA1F44">
        <w:t>3</w:t>
      </w:r>
      <w:r w:rsidRPr="00BA1F44">
        <w:t>1,038</w:t>
      </w:r>
      <w:r w:rsidRPr="0000262C">
        <w:t xml:space="preserve"> (1996)</w:t>
      </w:r>
      <w:r>
        <w:t xml:space="preserve"> (cross-referenced at </w:t>
      </w:r>
      <w:r w:rsidRPr="00680C2B">
        <w:t xml:space="preserve">76 FERC </w:t>
      </w:r>
      <w:r w:rsidR="0002352D" w:rsidRPr="00680C2B">
        <w:t>¶</w:t>
      </w:r>
      <w:r w:rsidR="0002352D">
        <w:t> </w:t>
      </w:r>
      <w:r w:rsidR="0002352D" w:rsidRPr="00680C2B">
        <w:t>6</w:t>
      </w:r>
      <w:r w:rsidRPr="00680C2B">
        <w:t>1,042</w:t>
      </w:r>
      <w:r>
        <w:t>)</w:t>
      </w:r>
      <w:r w:rsidRPr="0000262C">
        <w:t>.</w:t>
      </w:r>
    </w:p>
  </w:footnote>
  <w:footnote w:id="5">
    <w:p w14:paraId="3CAA0B37" w14:textId="68FB89B3" w:rsidR="00EE6071" w:rsidRDefault="00EE6071">
      <w:pPr>
        <w:pStyle w:val="FootnoteText"/>
      </w:pPr>
      <w:r>
        <w:rPr>
          <w:rStyle w:val="FootnoteReference"/>
        </w:rPr>
        <w:footnoteRef/>
      </w:r>
      <w:r>
        <w:t xml:space="preserve"> Letter </w:t>
      </w:r>
      <w:r w:rsidR="00110A83">
        <w:t xml:space="preserve">from </w:t>
      </w:r>
      <w:r w:rsidR="00462405">
        <w:t>then-</w:t>
      </w:r>
      <w:r w:rsidR="00110A83" w:rsidRPr="00110A83">
        <w:t xml:space="preserve">Chairman Richard Glick of the </w:t>
      </w:r>
      <w:r w:rsidR="00110A83">
        <w:t xml:space="preserve">Federal Energy Regulatory </w:t>
      </w:r>
      <w:r w:rsidR="00110A83" w:rsidRPr="00110A83">
        <w:t xml:space="preserve">Commission and Jim Robb, President and CEO of the North American Reliability Corporation </w:t>
      </w:r>
      <w:r>
        <w:t>to Michae</w:t>
      </w:r>
      <w:r w:rsidR="00826382">
        <w:t>l Desselle</w:t>
      </w:r>
      <w:r w:rsidR="00BA754F">
        <w:t>, Chairman of NAESB,</w:t>
      </w:r>
      <w:r w:rsidR="00826382">
        <w:t xml:space="preserve"> and Jonathan Booe, </w:t>
      </w:r>
      <w:r w:rsidR="00BA754F">
        <w:t>Executive Vice President and Chief Operating Officer</w:t>
      </w:r>
      <w:r w:rsidR="00785419">
        <w:t xml:space="preserve"> (July 25,</w:t>
      </w:r>
      <w:r w:rsidR="00EA3A1C">
        <w:t xml:space="preserve"> </w:t>
      </w:r>
      <w:r w:rsidR="00785419">
        <w:t>2022)</w:t>
      </w:r>
      <w:r w:rsidR="008021D3">
        <w:t xml:space="preserve"> (on file at NAESB)</w:t>
      </w:r>
      <w:r w:rsidR="00781F23">
        <w:t xml:space="preserve">, </w:t>
      </w:r>
      <w:r w:rsidR="005064EA" w:rsidRPr="005064EA">
        <w:t>https://naesb.org/pdf4/FERC_NERC_Letter_072922_to_NAESB.pdf</w:t>
      </w:r>
      <w:r w:rsidR="00781F23">
        <w:t>.</w:t>
      </w:r>
      <w:r w:rsidR="00785419">
        <w:t xml:space="preserve"> </w:t>
      </w:r>
      <w:r w:rsidR="0094203D">
        <w:t xml:space="preserve"> </w:t>
      </w:r>
      <w:r w:rsidR="00840468" w:rsidRPr="005064EA">
        <w:rPr>
          <w:i/>
          <w:iCs/>
        </w:rPr>
        <w:t>See</w:t>
      </w:r>
      <w:r w:rsidR="006E4BB3">
        <w:rPr>
          <w:i/>
          <w:iCs/>
        </w:rPr>
        <w:t xml:space="preserve"> </w:t>
      </w:r>
      <w:r w:rsidR="0094203D">
        <w:rPr>
          <w:i/>
          <w:iCs/>
        </w:rPr>
        <w:t>a</w:t>
      </w:r>
      <w:r w:rsidR="006E4BB3">
        <w:rPr>
          <w:i/>
          <w:iCs/>
        </w:rPr>
        <w:t>lso,</w:t>
      </w:r>
      <w:r w:rsidR="00840468" w:rsidRPr="005064EA">
        <w:t xml:space="preserve"> FERC, NERC, and Regional Entity Staff Report, </w:t>
      </w:r>
      <w:r w:rsidR="00840468" w:rsidRPr="005064EA">
        <w:rPr>
          <w:i/>
          <w:iCs/>
        </w:rPr>
        <w:t xml:space="preserve">The February 2021 Cold Weather Outage in Texas and the </w:t>
      </w:r>
      <w:r w:rsidR="00840468" w:rsidRPr="005064EA">
        <w:rPr>
          <w:i/>
          <w:iCs/>
        </w:rPr>
        <w:t>South Central United States</w:t>
      </w:r>
      <w:r w:rsidR="00840468" w:rsidRPr="005064EA">
        <w:t xml:space="preserve"> (</w:t>
      </w:r>
      <w:r w:rsidR="00840468">
        <w:t xml:space="preserve">Nov. </w:t>
      </w:r>
      <w:r w:rsidR="00840468" w:rsidRPr="005064EA">
        <w:t>2021)</w:t>
      </w:r>
      <w:r w:rsidR="006E4BB3">
        <w:t xml:space="preserve"> (</w:t>
      </w:r>
      <w:r w:rsidR="006E4BB3" w:rsidRPr="002259A1">
        <w:t>Recommendation 7</w:t>
      </w:r>
      <w:r w:rsidR="006E4BB3">
        <w:t>)</w:t>
      </w:r>
      <w:r w:rsidR="00840468" w:rsidRPr="005064EA">
        <w:t>, https://www.ferc.gov/media/february-2021-cold-weather-outages-texas-and-south-central-united-states-ferc-nerc-and.</w:t>
      </w:r>
    </w:p>
  </w:footnote>
  <w:footnote w:id="6">
    <w:p w14:paraId="20702CF0" w14:textId="11D4FB66" w:rsidR="00CA1053" w:rsidRDefault="00CA1053" w:rsidP="00CA1053">
      <w:pPr>
        <w:pStyle w:val="FootnoteText"/>
      </w:pPr>
      <w:r>
        <w:rPr>
          <w:rStyle w:val="FootnoteReference"/>
        </w:rPr>
        <w:footnoteRef/>
      </w:r>
      <w:r>
        <w:t xml:space="preserve"> </w:t>
      </w:r>
      <w:r w:rsidR="006E4BB3" w:rsidRPr="0099726C">
        <w:rPr>
          <w:snapToGrid w:val="0"/>
          <w:color w:val="000000"/>
        </w:rPr>
        <w:t>Winter Storm Elliott Report</w:t>
      </w:r>
      <w:r w:rsidR="004032DC">
        <w:rPr>
          <w:snapToGrid w:val="0"/>
          <w:color w:val="000000"/>
        </w:rPr>
        <w:t xml:space="preserve">, </w:t>
      </w:r>
      <w:r w:rsidR="004032DC">
        <w:rPr>
          <w:i/>
          <w:iCs/>
          <w:snapToGrid w:val="0"/>
          <w:color w:val="000000"/>
        </w:rPr>
        <w:t xml:space="preserve">supra </w:t>
      </w:r>
      <w:r w:rsidR="004032DC">
        <w:rPr>
          <w:snapToGrid w:val="0"/>
          <w:color w:val="000000"/>
        </w:rPr>
        <w:t xml:space="preserve">note </w:t>
      </w:r>
      <w:r w:rsidR="007E49F3">
        <w:rPr>
          <w:snapToGrid w:val="0"/>
          <w:color w:val="000000"/>
        </w:rPr>
        <w:fldChar w:fldCharType="begin"/>
      </w:r>
      <w:r w:rsidR="007E49F3">
        <w:rPr>
          <w:snapToGrid w:val="0"/>
          <w:color w:val="000000"/>
        </w:rPr>
        <w:instrText xml:space="preserve"> NOTEREF _Ref210999961 \h </w:instrText>
      </w:r>
      <w:r w:rsidR="007E49F3">
        <w:rPr>
          <w:snapToGrid w:val="0"/>
          <w:color w:val="000000"/>
        </w:rPr>
      </w:r>
      <w:r w:rsidR="007E49F3">
        <w:rPr>
          <w:snapToGrid w:val="0"/>
          <w:color w:val="000000"/>
        </w:rPr>
        <w:fldChar w:fldCharType="separate"/>
      </w:r>
      <w:r w:rsidR="007E49F3">
        <w:rPr>
          <w:snapToGrid w:val="0"/>
          <w:color w:val="000000"/>
        </w:rPr>
        <w:t>2</w:t>
      </w:r>
      <w:r w:rsidR="007E49F3">
        <w:rPr>
          <w:snapToGrid w:val="0"/>
          <w:color w:val="000000"/>
        </w:rPr>
        <w:fldChar w:fldCharType="end"/>
      </w:r>
      <w:r>
        <w:t>.</w:t>
      </w:r>
    </w:p>
  </w:footnote>
  <w:footnote w:id="7">
    <w:p w14:paraId="72618869" w14:textId="69EC3790" w:rsidR="00D34ED4" w:rsidRPr="00F3506C" w:rsidRDefault="00D34ED4">
      <w:pPr>
        <w:pStyle w:val="FootnoteText"/>
      </w:pPr>
      <w:r>
        <w:rPr>
          <w:rStyle w:val="FootnoteReference"/>
        </w:rPr>
        <w:footnoteRef/>
      </w:r>
      <w:r>
        <w:t xml:space="preserve"> </w:t>
      </w:r>
      <w:r w:rsidR="00F95D41">
        <w:rPr>
          <w:i/>
          <w:iCs/>
        </w:rPr>
        <w:t>Id.</w:t>
      </w:r>
      <w:r w:rsidR="00F3506C">
        <w:t xml:space="preserve"> at </w:t>
      </w:r>
      <w:r w:rsidR="00225FFB">
        <w:t xml:space="preserve">143. </w:t>
      </w:r>
    </w:p>
  </w:footnote>
  <w:footnote w:id="8">
    <w:p w14:paraId="332259A8" w14:textId="43CAEAEC" w:rsidR="00CD64E7" w:rsidRDefault="00CD64E7">
      <w:pPr>
        <w:pStyle w:val="FootnoteText"/>
      </w:pPr>
      <w:r>
        <w:rPr>
          <w:rStyle w:val="FootnoteReference"/>
        </w:rPr>
        <w:footnoteRef/>
      </w:r>
      <w:r>
        <w:t xml:space="preserve"> </w:t>
      </w:r>
      <w:r w:rsidR="002F064E">
        <w:t>Informational Filing a</w:t>
      </w:r>
      <w:r w:rsidR="00B30B94">
        <w:t>t 3.</w:t>
      </w:r>
    </w:p>
  </w:footnote>
  <w:footnote w:id="9">
    <w:p w14:paraId="37202748" w14:textId="7EA77063" w:rsidR="00D0454A" w:rsidRPr="0024453D" w:rsidRDefault="00D0454A" w:rsidP="00D0454A">
      <w:pPr>
        <w:pStyle w:val="FootnoteText"/>
      </w:pPr>
      <w:r>
        <w:rPr>
          <w:rStyle w:val="FootnoteReference"/>
        </w:rPr>
        <w:footnoteRef/>
      </w:r>
      <w:r>
        <w:t xml:space="preserve"> </w:t>
      </w:r>
      <w:r w:rsidRPr="00E426A2">
        <w:t>18 CFR 284.12</w:t>
      </w:r>
      <w:r>
        <w:t xml:space="preserve"> (a)(1)(v), </w:t>
      </w:r>
      <w:r w:rsidRPr="00E426A2">
        <w:t>(b)(3)(</w:t>
      </w:r>
      <w:r w:rsidRPr="00E426A2">
        <w:t>i)(A)</w:t>
      </w:r>
      <w:r>
        <w:t xml:space="preserve">.  </w:t>
      </w:r>
      <w:r>
        <w:rPr>
          <w:i/>
          <w:iCs/>
        </w:rPr>
        <w:t>See</w:t>
      </w:r>
      <w:r>
        <w:t xml:space="preserve"> </w:t>
      </w:r>
      <w:r w:rsidRPr="00B27FCE">
        <w:rPr>
          <w:i/>
        </w:rPr>
        <w:t>Standards for Bus. Pracs. of Interstate Nat. Gas Pipelines</w:t>
      </w:r>
      <w:r>
        <w:t xml:space="preserve">, Order No. 587-G, 83 FERC ¶ 61,029, at text accompanying note 58 (1998), </w:t>
      </w:r>
      <w:r w:rsidRPr="003D0789">
        <w:t>63 FR 20072 (April 23, 1998)</w:t>
      </w:r>
      <w:r>
        <w:t>.</w:t>
      </w:r>
    </w:p>
  </w:footnote>
  <w:footnote w:id="10">
    <w:p w14:paraId="226ABBC5" w14:textId="77777777" w:rsidR="002715FE" w:rsidRDefault="002715FE" w:rsidP="002715FE">
      <w:pPr>
        <w:pStyle w:val="FootnoteText"/>
      </w:pPr>
      <w:r>
        <w:rPr>
          <w:rStyle w:val="FootnoteReference"/>
        </w:rPr>
        <w:footnoteRef/>
      </w:r>
      <w:r>
        <w:t xml:space="preserve"> Pub. L. No. 104-113, 12(d), 110 Stat. 775 (1996).</w:t>
      </w:r>
    </w:p>
  </w:footnote>
  <w:footnote w:id="11">
    <w:p w14:paraId="3DADDD59" w14:textId="77777777" w:rsidR="002715FE" w:rsidRDefault="002715FE" w:rsidP="002715FE">
      <w:pPr>
        <w:pStyle w:val="FootnoteText"/>
      </w:pPr>
      <w:r>
        <w:rPr>
          <w:rStyle w:val="FootnoteReference"/>
        </w:rPr>
        <w:footnoteRef/>
      </w:r>
      <w:r>
        <w:t xml:space="preserve"> Critical notices are notices posted on a transportation service provider’s website that, according to existing WGQ Version 4.0 Standard No. 5.2.1, “</w:t>
      </w:r>
      <w:r w:rsidRPr="005443CC">
        <w:t>pertain to</w:t>
      </w:r>
      <w:r>
        <w:t xml:space="preserve"> information on transportation service provider conditions that affect scheduling or adversely affect scheduled gas flow.”</w:t>
      </w:r>
    </w:p>
  </w:footnote>
  <w:footnote w:id="12">
    <w:p w14:paraId="252B9322" w14:textId="28C2B3F8" w:rsidR="002715FE" w:rsidRDefault="002715FE" w:rsidP="002715FE">
      <w:pPr>
        <w:pStyle w:val="FootnoteText"/>
      </w:pPr>
      <w:r w:rsidRPr="00932257">
        <w:rPr>
          <w:rStyle w:val="FootnoteReference"/>
        </w:rPr>
        <w:footnoteRef/>
      </w:r>
      <w:r>
        <w:t xml:space="preserve"> </w:t>
      </w:r>
      <w:r w:rsidR="00A77057" w:rsidRPr="00277E9F">
        <w:rPr>
          <w:i/>
        </w:rPr>
        <w:t xml:space="preserve">Standards for Bus. </w:t>
      </w:r>
      <w:r w:rsidR="00A77057" w:rsidRPr="00277E9F">
        <w:rPr>
          <w:i/>
        </w:rPr>
        <w:t>Pracs. of Interstate Nat. Gas Pipelines</w:t>
      </w:r>
      <w:r w:rsidR="00A77057">
        <w:t>, Order No.</w:t>
      </w:r>
      <w:r w:rsidR="00A77057" w:rsidRPr="00561059">
        <w:t xml:space="preserve"> 587-</w:t>
      </w:r>
      <w:r w:rsidR="00A77057" w:rsidRPr="00271804">
        <w:t>V</w:t>
      </w:r>
      <w:r w:rsidR="00A77057" w:rsidRPr="007E045D">
        <w:t xml:space="preserve">, </w:t>
      </w:r>
      <w:r w:rsidR="00A77057">
        <w:br/>
        <w:t xml:space="preserve">77 FR 43711 (July 26, 2012), </w:t>
      </w:r>
      <w:r w:rsidR="00A77057" w:rsidRPr="00271804">
        <w:t>140 FERC ¶</w:t>
      </w:r>
      <w:r w:rsidR="00A77057">
        <w:t> </w:t>
      </w:r>
      <w:r w:rsidR="00A77057" w:rsidRPr="00271804">
        <w:t>61,036</w:t>
      </w:r>
      <w:r w:rsidR="00A77057">
        <w:t>,</w:t>
      </w:r>
      <w:r w:rsidR="00A77057" w:rsidRPr="00271804">
        <w:t xml:space="preserve"> at PP</w:t>
      </w:r>
      <w:r w:rsidR="00A77057">
        <w:t> </w:t>
      </w:r>
      <w:r w:rsidR="00A77057" w:rsidRPr="00271804">
        <w:t>36-39</w:t>
      </w:r>
      <w:r w:rsidR="00A77057">
        <w:t xml:space="preserve"> (2012)</w:t>
      </w:r>
      <w:r w:rsidR="00A77057" w:rsidRPr="007E045D">
        <w:t>.</w:t>
      </w:r>
    </w:p>
  </w:footnote>
  <w:footnote w:id="13">
    <w:p w14:paraId="13B835AD" w14:textId="1A2EF058" w:rsidR="002715FE" w:rsidRDefault="002715FE" w:rsidP="002715FE">
      <w:pPr>
        <w:pStyle w:val="FootnoteText"/>
      </w:pPr>
      <w:r w:rsidRPr="00932257">
        <w:rPr>
          <w:rStyle w:val="FootnoteReference"/>
        </w:rPr>
        <w:footnoteRef/>
      </w:r>
      <w:r>
        <w:t xml:space="preserve"> </w:t>
      </w:r>
      <w:r w:rsidRPr="00716C7A">
        <w:rPr>
          <w:i/>
        </w:rPr>
        <w:t>Trans-Union Interstate Pipeline L.P</w:t>
      </w:r>
      <w:r w:rsidRPr="00716C7A">
        <w:t>.</w:t>
      </w:r>
      <w:r>
        <w:t xml:space="preserve">, </w:t>
      </w:r>
      <w:r w:rsidRPr="00561059">
        <w:t xml:space="preserve">141 FERC </w:t>
      </w:r>
      <w:r w:rsidR="0002352D" w:rsidRPr="00561059">
        <w:t>¶</w:t>
      </w:r>
      <w:r w:rsidR="0002352D">
        <w:t> </w:t>
      </w:r>
      <w:r w:rsidR="0002352D" w:rsidRPr="00561059">
        <w:t>6</w:t>
      </w:r>
      <w:r w:rsidRPr="00561059">
        <w:t>1,167</w:t>
      </w:r>
      <w:r>
        <w:t xml:space="preserve">, at </w:t>
      </w:r>
      <w:r w:rsidR="0002352D">
        <w:t>P 3</w:t>
      </w:r>
      <w:r>
        <w:t>6 (2012) (Order No.</w:t>
      </w:r>
      <w:r w:rsidRPr="00716C7A">
        <w:t xml:space="preserve"> 587-V</w:t>
      </w:r>
      <w:r>
        <w:t xml:space="preserve"> Compliance Order).</w:t>
      </w:r>
    </w:p>
  </w:footnote>
  <w:footnote w:id="14">
    <w:p w14:paraId="475AA2AE" w14:textId="2C65780D" w:rsidR="002715FE" w:rsidRDefault="002715FE" w:rsidP="002715FE">
      <w:pPr>
        <w:pStyle w:val="FootnoteText"/>
      </w:pPr>
      <w:r w:rsidRPr="00932257">
        <w:rPr>
          <w:rStyle w:val="FootnoteReference"/>
        </w:rPr>
        <w:footnoteRef/>
      </w:r>
      <w:r>
        <w:t xml:space="preserve"> </w:t>
      </w:r>
      <w:r w:rsidRPr="00E832D2">
        <w:rPr>
          <w:i/>
        </w:rPr>
        <w:t>Id.</w:t>
      </w:r>
      <w:r w:rsidRPr="00E832D2">
        <w:t xml:space="preserve"> </w:t>
      </w:r>
      <w:r w:rsidR="0002352D" w:rsidRPr="00E832D2">
        <w:t>P</w:t>
      </w:r>
      <w:r w:rsidR="0002352D">
        <w:t> </w:t>
      </w:r>
      <w:r w:rsidR="0002352D" w:rsidRPr="00E832D2">
        <w:t>3</w:t>
      </w:r>
      <w:r>
        <w:t xml:space="preserve">6; </w:t>
      </w:r>
      <w:r w:rsidR="00277E9F" w:rsidRPr="00277E9F">
        <w:rPr>
          <w:i/>
          <w:iCs/>
        </w:rPr>
        <w:t xml:space="preserve">Standards for Bus. </w:t>
      </w:r>
      <w:r w:rsidR="00277E9F" w:rsidRPr="00277E9F">
        <w:rPr>
          <w:i/>
          <w:iCs/>
        </w:rPr>
        <w:t>Pracs. of Interstate Nat. Gas Pipelines</w:t>
      </w:r>
      <w:r>
        <w:t xml:space="preserve">, </w:t>
      </w:r>
      <w:r w:rsidRPr="0039464E">
        <w:t>1</w:t>
      </w:r>
      <w:r>
        <w:t>7</w:t>
      </w:r>
      <w:r w:rsidRPr="0039464E">
        <w:t xml:space="preserve">4 FERC </w:t>
      </w:r>
      <w:r w:rsidR="0002352D" w:rsidRPr="0039464E">
        <w:t>¶</w:t>
      </w:r>
      <w:r w:rsidR="0002352D">
        <w:t> </w:t>
      </w:r>
      <w:r w:rsidR="0002352D" w:rsidRPr="0039464E">
        <w:t>6</w:t>
      </w:r>
      <w:r w:rsidRPr="0039464E">
        <w:t>1,1</w:t>
      </w:r>
      <w:r>
        <w:t>03</w:t>
      </w:r>
      <w:r w:rsidR="00045B41">
        <w:t>,</w:t>
      </w:r>
      <w:r>
        <w:t xml:space="preserve"> at </w:t>
      </w:r>
      <w:r w:rsidR="0002352D">
        <w:t>P 2</w:t>
      </w:r>
      <w:r>
        <w:t>1</w:t>
      </w:r>
      <w:r w:rsidR="002011C6">
        <w:t xml:space="preserve"> (2021) (Version 3.2 NOPR)</w:t>
      </w:r>
      <w:r w:rsidRPr="00E832D2">
        <w:t>.</w:t>
      </w:r>
    </w:p>
  </w:footnote>
  <w:footnote w:id="15">
    <w:p w14:paraId="7B1FB883" w14:textId="77777777" w:rsidR="002715FE" w:rsidRDefault="002715FE" w:rsidP="002715FE">
      <w:pPr>
        <w:pStyle w:val="FootnoteText"/>
      </w:pPr>
      <w:r>
        <w:rPr>
          <w:rStyle w:val="FootnoteReference"/>
        </w:rPr>
        <w:footnoteRef/>
      </w:r>
      <w:r>
        <w:t xml:space="preserve"> </w:t>
      </w:r>
      <w:r w:rsidRPr="00F34FE4">
        <w:t>Shippers can use the Commission’s electronic tariff system to locate the tariff record containing the NAESB standards, which will indicate the docket in which any waiver or extension of time was granted.</w:t>
      </w:r>
    </w:p>
  </w:footnote>
  <w:footnote w:id="16">
    <w:p w14:paraId="27653E0B" w14:textId="53B419AB" w:rsidR="005546CC" w:rsidRDefault="005546CC" w:rsidP="005546CC">
      <w:pPr>
        <w:pStyle w:val="FootnoteText"/>
      </w:pPr>
      <w:r w:rsidRPr="00932257">
        <w:rPr>
          <w:rStyle w:val="FootnoteReference"/>
        </w:rPr>
        <w:footnoteRef/>
      </w:r>
      <w:r>
        <w:t xml:space="preserve"> Order No. 587-V, </w:t>
      </w:r>
      <w:r w:rsidRPr="008127C6">
        <w:t xml:space="preserve">140 FERC </w:t>
      </w:r>
      <w:r w:rsidR="0002352D" w:rsidRPr="008127C6">
        <w:t>¶</w:t>
      </w:r>
      <w:r w:rsidR="0002352D">
        <w:t> </w:t>
      </w:r>
      <w:r w:rsidR="0002352D" w:rsidRPr="008127C6">
        <w:t>6</w:t>
      </w:r>
      <w:r w:rsidRPr="008127C6">
        <w:t>1,036</w:t>
      </w:r>
      <w:r>
        <w:t>.</w:t>
      </w:r>
    </w:p>
  </w:footnote>
  <w:footnote w:id="17">
    <w:p w14:paraId="7209EBFB" w14:textId="3C428F6A" w:rsidR="005546CC" w:rsidRDefault="005546CC" w:rsidP="005546CC">
      <w:pPr>
        <w:pStyle w:val="FootnoteText"/>
      </w:pPr>
      <w:r>
        <w:rPr>
          <w:rStyle w:val="FootnoteReference"/>
        </w:rPr>
        <w:footnoteRef/>
      </w:r>
      <w:r>
        <w:t xml:space="preserve"> </w:t>
      </w:r>
      <w:r w:rsidRPr="001437FC">
        <w:t xml:space="preserve">Order No. 587-V Compliance Order, 141 FERC </w:t>
      </w:r>
      <w:r w:rsidR="0002352D" w:rsidRPr="001437FC">
        <w:t>¶</w:t>
      </w:r>
      <w:r w:rsidR="0002352D">
        <w:t> </w:t>
      </w:r>
      <w:r w:rsidR="0002352D" w:rsidRPr="001437FC">
        <w:t>6</w:t>
      </w:r>
      <w:r w:rsidRPr="001437FC">
        <w:t>1,167 at P</w:t>
      </w:r>
      <w:r w:rsidR="0002352D" w:rsidRPr="001437FC">
        <w:t>P</w:t>
      </w:r>
      <w:r w:rsidR="0002352D">
        <w:t> </w:t>
      </w:r>
      <w:r w:rsidR="0002352D" w:rsidRPr="001437FC">
        <w:t>4</w:t>
      </w:r>
      <w:r w:rsidRPr="001437FC">
        <w:t>, 38 (a pipeline does not need to seek a waiver for standards that address business practices that the pipeline does not offer).</w:t>
      </w:r>
    </w:p>
  </w:footnote>
  <w:footnote w:id="18">
    <w:p w14:paraId="18CA5289" w14:textId="0E27D3FE" w:rsidR="005546CC" w:rsidRDefault="005546CC" w:rsidP="005546CC">
      <w:pPr>
        <w:pStyle w:val="FootnoteText"/>
      </w:pPr>
      <w:r w:rsidRPr="009231E5">
        <w:rPr>
          <w:rStyle w:val="FootnoteReference"/>
        </w:rPr>
        <w:footnoteRef/>
      </w:r>
      <w:r>
        <w:t xml:space="preserve"> 1 CFR 51.5.  </w:t>
      </w:r>
      <w:r w:rsidRPr="006F15D6">
        <w:rPr>
          <w:i/>
          <w:iCs/>
        </w:rPr>
        <w:t>See Incorporation by Reference</w:t>
      </w:r>
      <w:r>
        <w:t>, 79 FR 66267 (Nov. 7, 2014).</w:t>
      </w:r>
    </w:p>
  </w:footnote>
  <w:footnote w:id="19">
    <w:p w14:paraId="727F7EE2" w14:textId="15C39FE9" w:rsidR="00504B6D" w:rsidRDefault="00504B6D">
      <w:pPr>
        <w:pStyle w:val="FootnoteText"/>
      </w:pPr>
      <w:r>
        <w:rPr>
          <w:rStyle w:val="FootnoteReference"/>
        </w:rPr>
        <w:footnoteRef/>
      </w:r>
      <w:r>
        <w:t xml:space="preserve"> </w:t>
      </w:r>
      <w:r w:rsidRPr="00504B6D">
        <w:t xml:space="preserve">In addition to the new and revised standards described above and included in NAESB’s December 4, </w:t>
      </w:r>
      <w:r w:rsidRPr="00504B6D">
        <w:t xml:space="preserve">2024 report, the Commission also is incorporating by reference recently revised WGQ Invoicing Related Standards (Version 4.0) that includes the Minor Correction incorporated by reference in </w:t>
      </w:r>
      <w:r w:rsidR="00277E9F" w:rsidRPr="00277E9F">
        <w:rPr>
          <w:i/>
          <w:iCs/>
        </w:rPr>
        <w:t xml:space="preserve">Standards for Bus. </w:t>
      </w:r>
      <w:r w:rsidR="00277E9F" w:rsidRPr="00277E9F">
        <w:rPr>
          <w:i/>
          <w:iCs/>
        </w:rPr>
        <w:t>Pracs. of Interstate Nat. Gas Pipelines</w:t>
      </w:r>
      <w:r w:rsidRPr="00504B6D">
        <w:t>, Order No. 587-AA, 89 FR 97518 (Dec. 9, 2024), 189 FERC ¶ 61,135 (2024). The standard contains no substantive changes from those adopted in Order No. 587-AA</w:t>
      </w:r>
      <w:r>
        <w:t>.</w:t>
      </w:r>
    </w:p>
  </w:footnote>
  <w:footnote w:id="20">
    <w:p w14:paraId="5A257058" w14:textId="77777777" w:rsidR="005546CC" w:rsidRDefault="005546CC" w:rsidP="005546CC">
      <w:pPr>
        <w:pStyle w:val="FootnoteText"/>
      </w:pPr>
      <w:r>
        <w:rPr>
          <w:rStyle w:val="FootnoteReference"/>
        </w:rPr>
        <w:footnoteRef/>
      </w:r>
      <w:r>
        <w:t xml:space="preserve"> </w:t>
      </w:r>
      <w:r w:rsidRPr="00810CD1">
        <w:t xml:space="preserve">For more information on </w:t>
      </w:r>
      <w:r w:rsidRPr="00810CD1">
        <w:t xml:space="preserve">Locklizard, please refer to the company’s website: </w:t>
      </w:r>
      <w:r>
        <w:t xml:space="preserve"> https://</w:t>
      </w:r>
      <w:r w:rsidRPr="00810CD1">
        <w:t>www.locklizard.com.</w:t>
      </w:r>
    </w:p>
  </w:footnote>
  <w:footnote w:id="21">
    <w:p w14:paraId="6953B636" w14:textId="67FE30B4" w:rsidR="005546CC" w:rsidRPr="0080606A" w:rsidRDefault="005546CC" w:rsidP="005546CC">
      <w:pPr>
        <w:pStyle w:val="FootnoteText"/>
      </w:pPr>
      <w:r w:rsidRPr="00932257">
        <w:rPr>
          <w:rStyle w:val="FootnoteReference"/>
        </w:rPr>
        <w:footnoteRef/>
      </w:r>
      <w:r>
        <w:t xml:space="preserve"> 5 CFR 1320.1</w:t>
      </w:r>
      <w:r w:rsidR="00EA47F2">
        <w:t>1</w:t>
      </w:r>
      <w:r w:rsidRPr="0080606A">
        <w:t>.</w:t>
      </w:r>
    </w:p>
  </w:footnote>
  <w:footnote w:id="22">
    <w:p w14:paraId="325A2796" w14:textId="77777777" w:rsidR="005546CC" w:rsidRDefault="005546CC" w:rsidP="005546CC">
      <w:pPr>
        <w:pStyle w:val="FootnoteText"/>
      </w:pPr>
      <w:r w:rsidRPr="00932257">
        <w:rPr>
          <w:rStyle w:val="FootnoteReference"/>
        </w:rPr>
        <w:footnoteRef/>
      </w:r>
      <w:r>
        <w:t xml:space="preserve"> </w:t>
      </w:r>
      <w:r w:rsidRPr="00E64311">
        <w:t>FERC-545 covers rate change filings made by natural gas pipelines, including tariff changes.</w:t>
      </w:r>
    </w:p>
  </w:footnote>
  <w:footnote w:id="23">
    <w:p w14:paraId="47AD6D20" w14:textId="77777777" w:rsidR="005546CC" w:rsidRDefault="005546CC" w:rsidP="005546CC">
      <w:pPr>
        <w:pStyle w:val="FootnoteText"/>
      </w:pPr>
      <w:r w:rsidRPr="00932257">
        <w:rPr>
          <w:rStyle w:val="FootnoteReference"/>
        </w:rPr>
        <w:footnoteRef/>
      </w:r>
      <w:r>
        <w:t xml:space="preserve"> </w:t>
      </w:r>
      <w:r w:rsidRPr="00E64311">
        <w:t>FERC-549C covers Standards for Business Practices of Interstate Natural Gas Pipelines.</w:t>
      </w:r>
    </w:p>
  </w:footnote>
  <w:footnote w:id="24">
    <w:p w14:paraId="20F3516B" w14:textId="77777777" w:rsidR="005546CC" w:rsidRDefault="005546CC" w:rsidP="005546CC">
      <w:pPr>
        <w:pStyle w:val="FootnoteText"/>
      </w:pPr>
      <w:r w:rsidRPr="00932257">
        <w:rPr>
          <w:rStyle w:val="FootnoteReference"/>
        </w:rPr>
        <w:footnoteRef/>
      </w:r>
      <w:r>
        <w:t xml:space="preserve"> The number of respondents is the number of entities in which a change in burden from the current standards to the proposed exists, not the total number of entities from the current or proposed standards that are applicable.</w:t>
      </w:r>
    </w:p>
  </w:footnote>
  <w:footnote w:id="25">
    <w:p w14:paraId="318736E9" w14:textId="6656EEF3" w:rsidR="005546CC" w:rsidRPr="005C1356" w:rsidRDefault="005546CC" w:rsidP="005546CC">
      <w:pPr>
        <w:pStyle w:val="FootnoteText"/>
        <w:spacing w:after="0"/>
        <w:rPr>
          <w:rFonts w:eastAsia="Times New Roman"/>
          <w:szCs w:val="26"/>
        </w:rPr>
      </w:pPr>
      <w:r w:rsidRPr="00932257">
        <w:rPr>
          <w:rStyle w:val="FootnoteReference"/>
        </w:rPr>
        <w:footnoteRef/>
      </w:r>
      <w:r>
        <w:t xml:space="preserve"> </w:t>
      </w:r>
      <w:r w:rsidRPr="00086BC1">
        <w:rPr>
          <w:rFonts w:eastAsia="Times New Roman"/>
          <w:szCs w:val="26"/>
        </w:rPr>
        <w:t>The estimated hourly cost (salary plus benefits) provided in this section is ba</w:t>
      </w:r>
      <w:r w:rsidRPr="00086BC1" w:rsidDel="002F09CE">
        <w:rPr>
          <w:rFonts w:eastAsia="Times New Roman"/>
          <w:szCs w:val="26"/>
        </w:rPr>
        <w:t>s</w:t>
      </w:r>
      <w:r w:rsidRPr="00086BC1">
        <w:rPr>
          <w:rFonts w:eastAsia="Times New Roman"/>
          <w:szCs w:val="26"/>
        </w:rPr>
        <w:t>ed on</w:t>
      </w:r>
      <w:r>
        <w:rPr>
          <w:rFonts w:eastAsia="Times New Roman"/>
          <w:szCs w:val="26"/>
        </w:rPr>
        <w:t xml:space="preserve"> the salary figures </w:t>
      </w:r>
      <w:r w:rsidRPr="005C1356">
        <w:rPr>
          <w:rFonts w:eastAsia="Times New Roman"/>
          <w:szCs w:val="26"/>
        </w:rPr>
        <w:t xml:space="preserve">for May </w:t>
      </w:r>
      <w:r w:rsidR="005606A0">
        <w:rPr>
          <w:rFonts w:eastAsia="Times New Roman"/>
          <w:szCs w:val="26"/>
        </w:rPr>
        <w:t>2024</w:t>
      </w:r>
      <w:r w:rsidRPr="005C1356">
        <w:rPr>
          <w:rFonts w:eastAsia="Times New Roman"/>
          <w:szCs w:val="26"/>
        </w:rPr>
        <w:t xml:space="preserve"> posted </w:t>
      </w:r>
      <w:r w:rsidRPr="009F3EA7">
        <w:rPr>
          <w:rFonts w:eastAsia="Times New Roman"/>
          <w:szCs w:val="26"/>
        </w:rPr>
        <w:t xml:space="preserve">on April </w:t>
      </w:r>
      <w:r w:rsidR="005606A0">
        <w:rPr>
          <w:rFonts w:eastAsia="Times New Roman"/>
          <w:szCs w:val="26"/>
        </w:rPr>
        <w:t>2</w:t>
      </w:r>
      <w:r w:rsidRPr="009F3EA7">
        <w:rPr>
          <w:rFonts w:eastAsia="Times New Roman"/>
          <w:szCs w:val="26"/>
        </w:rPr>
        <w:t xml:space="preserve">, </w:t>
      </w:r>
      <w:r w:rsidR="005606A0">
        <w:rPr>
          <w:rFonts w:eastAsia="Times New Roman"/>
          <w:szCs w:val="26"/>
        </w:rPr>
        <w:t xml:space="preserve">2025 </w:t>
      </w:r>
      <w:r w:rsidRPr="005C1356">
        <w:rPr>
          <w:rFonts w:eastAsia="Times New Roman"/>
          <w:szCs w:val="26"/>
        </w:rPr>
        <w:t>by the Bureau of Labor Statistics for the Utilities sector (</w:t>
      </w:r>
      <w:r w:rsidRPr="009B430C">
        <w:rPr>
          <w:rFonts w:eastAsia="Times New Roman"/>
          <w:szCs w:val="26"/>
        </w:rPr>
        <w:t>available at</w:t>
      </w:r>
      <w:r w:rsidR="008826C2">
        <w:rPr>
          <w:rFonts w:eastAsia="Times New Roman"/>
          <w:szCs w:val="26"/>
        </w:rPr>
        <w:t xml:space="preserve"> </w:t>
      </w:r>
      <w:r w:rsidRPr="002F09CE">
        <w:rPr>
          <w:rFonts w:eastAsia="Times New Roman"/>
          <w:szCs w:val="26"/>
        </w:rPr>
        <w:t>https://www.bls.gov/oes/current/naics2_22.htm</w:t>
      </w:r>
      <w:r w:rsidRPr="005C1356">
        <w:rPr>
          <w:rFonts w:eastAsia="Times New Roman"/>
          <w:szCs w:val="26"/>
        </w:rPr>
        <w:t>) and scaled to reflect benefits using the relative importance of employer costs for employee compensation (</w:t>
      </w:r>
      <w:r w:rsidRPr="009B430C">
        <w:rPr>
          <w:rFonts w:eastAsia="Times New Roman"/>
          <w:szCs w:val="26"/>
        </w:rPr>
        <w:t xml:space="preserve">available at </w:t>
      </w:r>
      <w:r w:rsidRPr="00862CB3">
        <w:rPr>
          <w:rFonts w:eastAsia="Times New Roman"/>
          <w:szCs w:val="26"/>
        </w:rPr>
        <w:t>https://www.bls.gov/news.release/ecec.nr0.htm</w:t>
      </w:r>
      <w:r w:rsidRPr="00356C09">
        <w:rPr>
          <w:rFonts w:eastAsia="Times New Roman"/>
          <w:szCs w:val="26"/>
        </w:rPr>
        <w:t xml:space="preserve">).  </w:t>
      </w:r>
      <w:r w:rsidRPr="005C1356">
        <w:rPr>
          <w:rFonts w:eastAsia="Times New Roman"/>
          <w:szCs w:val="26"/>
        </w:rPr>
        <w:t xml:space="preserve">The hourly estimates for salary plus benefits are: </w:t>
      </w:r>
    </w:p>
    <w:p w14:paraId="2B525599" w14:textId="10550BCB" w:rsidR="005546CC" w:rsidRPr="005C1356" w:rsidRDefault="005546CC" w:rsidP="005546CC">
      <w:pPr>
        <w:pStyle w:val="FootnoteText"/>
        <w:spacing w:after="0"/>
        <w:rPr>
          <w:rFonts w:eastAsia="Calibri"/>
          <w:szCs w:val="26"/>
        </w:rPr>
      </w:pPr>
      <w:r w:rsidRPr="005C1356">
        <w:rPr>
          <w:rFonts w:eastAsia="Calibri"/>
          <w:szCs w:val="26"/>
        </w:rPr>
        <w:t>Computer and Information Systems Manager (Occupation Code:</w:t>
      </w:r>
      <w:r>
        <w:rPr>
          <w:rFonts w:eastAsia="Calibri"/>
          <w:szCs w:val="26"/>
        </w:rPr>
        <w:t xml:space="preserve">  </w:t>
      </w:r>
      <w:r w:rsidRPr="005C1356">
        <w:rPr>
          <w:rFonts w:eastAsia="Calibri"/>
          <w:szCs w:val="26"/>
        </w:rPr>
        <w:t>11-3021), $</w:t>
      </w:r>
      <w:r w:rsidR="005606A0">
        <w:rPr>
          <w:rFonts w:eastAsia="Calibri"/>
          <w:szCs w:val="26"/>
        </w:rPr>
        <w:t>110.62</w:t>
      </w:r>
    </w:p>
    <w:p w14:paraId="10AA96F7" w14:textId="6F04F30B" w:rsidR="005546CC" w:rsidRPr="005C1356" w:rsidRDefault="005546CC" w:rsidP="005546CC">
      <w:pPr>
        <w:pStyle w:val="FootnoteText"/>
        <w:spacing w:after="0"/>
        <w:rPr>
          <w:rFonts w:eastAsia="Calibri"/>
          <w:szCs w:val="26"/>
        </w:rPr>
      </w:pPr>
      <w:r w:rsidRPr="005C1356">
        <w:rPr>
          <w:rFonts w:eastAsia="Calibri"/>
          <w:szCs w:val="26"/>
        </w:rPr>
        <w:t>Computer and Information Analysts (Occupation Code:  15-1</w:t>
      </w:r>
      <w:r>
        <w:rPr>
          <w:rFonts w:eastAsia="Calibri"/>
          <w:szCs w:val="26"/>
        </w:rPr>
        <w:t>210</w:t>
      </w:r>
      <w:r w:rsidRPr="005C1356">
        <w:rPr>
          <w:rFonts w:eastAsia="Calibri"/>
          <w:szCs w:val="26"/>
        </w:rPr>
        <w:t>), $</w:t>
      </w:r>
      <w:r w:rsidR="005606A0">
        <w:rPr>
          <w:rFonts w:eastAsia="Calibri"/>
          <w:szCs w:val="26"/>
        </w:rPr>
        <w:t>68.34</w:t>
      </w:r>
    </w:p>
    <w:p w14:paraId="7B6E4709" w14:textId="17FFB7BF" w:rsidR="005546CC" w:rsidRPr="005C1356" w:rsidRDefault="005546CC" w:rsidP="005546CC">
      <w:pPr>
        <w:pStyle w:val="FootnoteText"/>
        <w:spacing w:after="0"/>
        <w:rPr>
          <w:rFonts w:eastAsia="Calibri"/>
          <w:szCs w:val="26"/>
        </w:rPr>
      </w:pPr>
      <w:r w:rsidRPr="005C1356">
        <w:rPr>
          <w:rFonts w:eastAsia="Calibri"/>
          <w:szCs w:val="26"/>
        </w:rPr>
        <w:t xml:space="preserve">Electrical Engineer (Occupation Code: </w:t>
      </w:r>
      <w:r>
        <w:rPr>
          <w:rFonts w:eastAsia="Calibri"/>
          <w:szCs w:val="26"/>
        </w:rPr>
        <w:t xml:space="preserve"> </w:t>
      </w:r>
      <w:r w:rsidRPr="005C1356">
        <w:rPr>
          <w:rFonts w:eastAsia="Calibri"/>
          <w:szCs w:val="26"/>
        </w:rPr>
        <w:t>17-2071), $</w:t>
      </w:r>
      <w:r w:rsidR="005606A0">
        <w:rPr>
          <w:rFonts w:eastAsia="Calibri"/>
          <w:szCs w:val="26"/>
        </w:rPr>
        <w:t>71.19</w:t>
      </w:r>
    </w:p>
    <w:p w14:paraId="50A82525" w14:textId="5926BAD0" w:rsidR="005546CC" w:rsidRPr="005C1356" w:rsidRDefault="005546CC" w:rsidP="005546CC">
      <w:pPr>
        <w:pStyle w:val="FootnoteText"/>
        <w:spacing w:after="0"/>
        <w:rPr>
          <w:rFonts w:eastAsia="Calibri"/>
          <w:szCs w:val="26"/>
        </w:rPr>
      </w:pPr>
      <w:r w:rsidRPr="005C1356">
        <w:rPr>
          <w:rFonts w:eastAsia="Calibri"/>
          <w:szCs w:val="26"/>
        </w:rPr>
        <w:t>Legal (Occupation Code:</w:t>
      </w:r>
      <w:r>
        <w:rPr>
          <w:rFonts w:eastAsia="Calibri"/>
          <w:szCs w:val="26"/>
        </w:rPr>
        <w:t xml:space="preserve">  </w:t>
      </w:r>
      <w:r w:rsidRPr="005C1356">
        <w:rPr>
          <w:rFonts w:eastAsia="Calibri"/>
          <w:szCs w:val="26"/>
        </w:rPr>
        <w:t>23-0000), $</w:t>
      </w:r>
      <w:r w:rsidR="005606A0">
        <w:rPr>
          <w:rFonts w:eastAsia="Calibri"/>
          <w:szCs w:val="26"/>
        </w:rPr>
        <w:t>140.76</w:t>
      </w:r>
    </w:p>
    <w:p w14:paraId="5DA5E677" w14:textId="6C86CB8A" w:rsidR="005546CC" w:rsidRPr="00C328EF" w:rsidRDefault="005546CC" w:rsidP="005546CC">
      <w:pPr>
        <w:autoSpaceDE w:val="0"/>
        <w:autoSpaceDN w:val="0"/>
        <w:adjustRightInd w:val="0"/>
        <w:spacing w:after="240"/>
        <w:rPr>
          <w:rFonts w:eastAsia="Times New Roman"/>
          <w:szCs w:val="26"/>
        </w:rPr>
      </w:pPr>
      <w:r w:rsidRPr="005C1356">
        <w:rPr>
          <w:rFonts w:eastAsia="Times New Roman"/>
          <w:szCs w:val="26"/>
        </w:rPr>
        <w:t>The average hourly cost (salary plus benefits), weighting these skill sets evenly, is $</w:t>
      </w:r>
      <w:r w:rsidR="005606A0">
        <w:rPr>
          <w:rFonts w:eastAsia="Times New Roman"/>
          <w:szCs w:val="26"/>
        </w:rPr>
        <w:t>97.728</w:t>
      </w:r>
      <w:r w:rsidRPr="005C1356">
        <w:rPr>
          <w:rFonts w:eastAsia="Times New Roman"/>
          <w:szCs w:val="26"/>
        </w:rPr>
        <w:t>.  We round it to $</w:t>
      </w:r>
      <w:r w:rsidR="005606A0">
        <w:rPr>
          <w:rFonts w:eastAsia="Times New Roman"/>
          <w:szCs w:val="26"/>
        </w:rPr>
        <w:t>98</w:t>
      </w:r>
      <w:r w:rsidRPr="005C1356">
        <w:rPr>
          <w:rFonts w:eastAsia="Times New Roman"/>
          <w:szCs w:val="26"/>
        </w:rPr>
        <w:t>/hour.</w:t>
      </w:r>
    </w:p>
  </w:footnote>
  <w:footnote w:id="26">
    <w:p w14:paraId="40873DE5" w14:textId="4224C32F" w:rsidR="005546CC" w:rsidRDefault="005546CC" w:rsidP="005546CC">
      <w:pPr>
        <w:pStyle w:val="FootnoteText"/>
      </w:pPr>
      <w:r w:rsidRPr="009231E5">
        <w:rPr>
          <w:rStyle w:val="FootnoteReference"/>
        </w:rPr>
        <w:footnoteRef/>
      </w:r>
      <w:r>
        <w:t xml:space="preserve"> </w:t>
      </w:r>
      <w:r w:rsidR="00C024EF">
        <w:rPr>
          <w:i/>
          <w:iCs/>
        </w:rPr>
        <w:t>Regul</w:t>
      </w:r>
      <w:r w:rsidRPr="004473E6">
        <w:rPr>
          <w:i/>
          <w:iCs/>
        </w:rPr>
        <w:t>s</w:t>
      </w:r>
      <w:r w:rsidR="00C024EF">
        <w:rPr>
          <w:i/>
          <w:iCs/>
        </w:rPr>
        <w:t>.</w:t>
      </w:r>
      <w:r w:rsidRPr="004473E6">
        <w:rPr>
          <w:i/>
          <w:iCs/>
        </w:rPr>
        <w:t xml:space="preserve"> Implementing the </w:t>
      </w:r>
      <w:r w:rsidR="00C024EF">
        <w:rPr>
          <w:i/>
          <w:iCs/>
        </w:rPr>
        <w:t>Nat’l</w:t>
      </w:r>
      <w:r w:rsidRPr="004473E6">
        <w:rPr>
          <w:i/>
          <w:iCs/>
        </w:rPr>
        <w:t xml:space="preserve"> </w:t>
      </w:r>
      <w:r w:rsidR="00C024EF">
        <w:rPr>
          <w:i/>
          <w:iCs/>
        </w:rPr>
        <w:t>Envt’l</w:t>
      </w:r>
      <w:r w:rsidRPr="004473E6">
        <w:rPr>
          <w:i/>
          <w:iCs/>
        </w:rPr>
        <w:t xml:space="preserve"> </w:t>
      </w:r>
      <w:r w:rsidR="00C024EF">
        <w:rPr>
          <w:i/>
          <w:iCs/>
        </w:rPr>
        <w:t>Pol’y</w:t>
      </w:r>
      <w:r w:rsidRPr="004473E6">
        <w:rPr>
          <w:i/>
          <w:iCs/>
        </w:rPr>
        <w:t xml:space="preserve"> Act</w:t>
      </w:r>
      <w:r>
        <w:t xml:space="preserve">, </w:t>
      </w:r>
      <w:r w:rsidRPr="00346257">
        <w:t>Ord</w:t>
      </w:r>
      <w:r>
        <w:t>er</w:t>
      </w:r>
      <w:r w:rsidRPr="00346257">
        <w:t xml:space="preserve"> No. 486</w:t>
      </w:r>
      <w:r>
        <w:t xml:space="preserve">, 52 FR 47897 (Dec. 17, 1987), FERC Stats. &amp; Regs. Preambles 1986-1990 </w:t>
      </w:r>
      <w:r w:rsidR="0002352D">
        <w:t>¶ 3</w:t>
      </w:r>
      <w:r>
        <w:t>0,783 (1987) (</w:t>
      </w:r>
      <w:r w:rsidRPr="00E950E7">
        <w:t xml:space="preserve">cross-referenced at 41 FERC </w:t>
      </w:r>
      <w:r w:rsidR="0002352D" w:rsidRPr="00E950E7">
        <w:t>¶</w:t>
      </w:r>
      <w:r w:rsidR="0002352D">
        <w:t> </w:t>
      </w:r>
      <w:r w:rsidR="0002352D" w:rsidRPr="00E950E7">
        <w:t>6</w:t>
      </w:r>
      <w:r w:rsidRPr="00E950E7">
        <w:t>1,284).</w:t>
      </w:r>
    </w:p>
  </w:footnote>
  <w:footnote w:id="27">
    <w:p w14:paraId="1F5E4BCA" w14:textId="04D8CBB1" w:rsidR="005546CC" w:rsidRDefault="005546CC" w:rsidP="005546CC">
      <w:pPr>
        <w:pStyle w:val="FootnoteText"/>
      </w:pPr>
      <w:r w:rsidRPr="00932257">
        <w:rPr>
          <w:rStyle w:val="FootnoteReference"/>
        </w:rPr>
        <w:footnoteRef/>
      </w:r>
      <w:r w:rsidRPr="005A12B9">
        <w:t xml:space="preserve"> </w:t>
      </w:r>
      <w:r w:rsidRPr="00765E03">
        <w:rPr>
          <w:i/>
        </w:rPr>
        <w:t>See</w:t>
      </w:r>
      <w:r w:rsidRPr="005A12B9">
        <w:t xml:space="preserve"> 18 CFR</w:t>
      </w:r>
      <w:r>
        <w:t xml:space="preserve"> </w:t>
      </w:r>
      <w:r w:rsidRPr="005A12B9">
        <w:t>380.4(a)(2)(ii), 380.4(a)(5),</w:t>
      </w:r>
      <w:r>
        <w:t xml:space="preserve"> </w:t>
      </w:r>
      <w:r w:rsidRPr="005A12B9">
        <w:t>380.4(a)(27).</w:t>
      </w:r>
    </w:p>
  </w:footnote>
  <w:footnote w:id="28">
    <w:p w14:paraId="7F8E56CD" w14:textId="77777777" w:rsidR="005546CC" w:rsidRPr="00060537" w:rsidRDefault="005546CC" w:rsidP="005546CC">
      <w:pPr>
        <w:pStyle w:val="FootnoteText"/>
      </w:pPr>
      <w:r w:rsidRPr="00C923CC">
        <w:rPr>
          <w:rStyle w:val="FootnoteReference"/>
        </w:rPr>
        <w:footnoteRef/>
      </w:r>
      <w:r>
        <w:t xml:space="preserve"> 5 U.S.C. 601-612.</w:t>
      </w:r>
    </w:p>
  </w:footnote>
  <w:footnote w:id="29">
    <w:p w14:paraId="12A4EF2F" w14:textId="69FAB607" w:rsidR="005546CC" w:rsidRDefault="005546CC" w:rsidP="005546CC">
      <w:pPr>
        <w:pStyle w:val="FootnoteText"/>
      </w:pPr>
      <w:r w:rsidRPr="00932257">
        <w:rPr>
          <w:rStyle w:val="FootnoteReference"/>
        </w:rPr>
        <w:footnoteRef/>
      </w:r>
      <w:r>
        <w:t xml:space="preserve"> </w:t>
      </w:r>
      <w:r w:rsidRPr="00183575">
        <w:rPr>
          <w:i/>
        </w:rPr>
        <w:t>See</w:t>
      </w:r>
      <w:r>
        <w:t xml:space="preserve"> 5 U.S.C. 601(3) citing section 3 of the Small Business Act (SBA), 15 U.S.C. 623.  Section 3 of the SBA defines a “small business concern” as a business that is independently owned and operated, and that is not dominant in its field of </w:t>
      </w:r>
      <w:r w:rsidRPr="001D1903">
        <w:t>operation.</w:t>
      </w:r>
    </w:p>
  </w:footnote>
  <w:footnote w:id="30">
    <w:p w14:paraId="5C78A987" w14:textId="72856ADD" w:rsidR="005546CC" w:rsidRDefault="005546CC" w:rsidP="005546CC">
      <w:pPr>
        <w:pStyle w:val="FootnoteText"/>
      </w:pPr>
      <w:r w:rsidRPr="00932257">
        <w:rPr>
          <w:rStyle w:val="FootnoteReference"/>
        </w:rPr>
        <w:footnoteRef/>
      </w:r>
      <w:r>
        <w:t xml:space="preserve"> 13 CFR</w:t>
      </w:r>
      <w:r w:rsidR="0002352D">
        <w:t xml:space="preserve"> </w:t>
      </w:r>
      <w:r>
        <w:t>121.201 (Subsector 486-Pipeline Transportation; North American Industry Classification System code 486210; Pipeline Transportation of Natural Gas) (</w:t>
      </w:r>
      <w:r w:rsidRPr="00B05C4F">
        <w:t>202</w:t>
      </w:r>
      <w:r w:rsidR="00F50C5C">
        <w:t>5</w:t>
      </w:r>
      <w:r>
        <w:t>)  “Annual Receipts” are total income plus cost of goods sold.</w:t>
      </w:r>
    </w:p>
  </w:footnote>
  <w:footnote w:id="31">
    <w:p w14:paraId="1C0C7683" w14:textId="255FA819" w:rsidR="005546CC" w:rsidRDefault="005546CC" w:rsidP="005546CC">
      <w:pPr>
        <w:pStyle w:val="FootnoteText"/>
      </w:pPr>
      <w:r w:rsidRPr="00932257">
        <w:rPr>
          <w:rStyle w:val="FootnoteReference"/>
        </w:rPr>
        <w:footnoteRef/>
      </w:r>
      <w:r>
        <w:t xml:space="preserve"> This number is derived by dividing the total cost figure by the number of </w:t>
      </w:r>
      <w:r w:rsidRPr="005C1356">
        <w:t>respondents.  $</w:t>
      </w:r>
      <w:r w:rsidR="00A14372">
        <w:rPr>
          <w:rFonts w:eastAsia="Calibri"/>
        </w:rPr>
        <w:t>2,080,504</w:t>
      </w:r>
      <w:r w:rsidR="00F55F67">
        <w:rPr>
          <w:rFonts w:eastAsia="Calibri"/>
        </w:rPr>
        <w:t xml:space="preserve"> </w:t>
      </w:r>
      <w:r w:rsidRPr="005C1356">
        <w:t>/193 = $</w:t>
      </w:r>
      <w:r w:rsidR="00A14372">
        <w:t>10,780</w:t>
      </w:r>
      <w:r w:rsidRPr="005C1356">
        <w:t>.</w:t>
      </w:r>
    </w:p>
  </w:footnote>
  <w:footnote w:id="32">
    <w:p w14:paraId="252B4A98" w14:textId="77777777" w:rsidR="005546CC" w:rsidRDefault="005546CC" w:rsidP="005546CC">
      <w:pPr>
        <w:pStyle w:val="FootnoteText"/>
      </w:pPr>
      <w:r w:rsidRPr="00932257">
        <w:rPr>
          <w:rStyle w:val="FootnoteReference"/>
        </w:rPr>
        <w:footnoteRef/>
      </w:r>
      <w:r>
        <w:t xml:space="preserve"> 5 U.S.C. 605(b).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53A8" w14:textId="77777777" w:rsidR="009231E5" w:rsidRDefault="009231E5" w:rsidP="00C64C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91C0B1B" w14:textId="77777777" w:rsidR="009231E5" w:rsidRDefault="009231E5" w:rsidP="00C64C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5DB0" w14:textId="5693B962" w:rsidR="009231E5" w:rsidRDefault="009231E5" w:rsidP="009231E5">
    <w:pPr>
      <w:pStyle w:val="Header"/>
      <w:tabs>
        <w:tab w:val="clear" w:pos="4680"/>
      </w:tabs>
      <w:spacing w:after="240"/>
    </w:pPr>
    <w:r>
      <w:t xml:space="preserve">Docket No.  </w:t>
    </w:r>
    <w:r w:rsidR="005361D2">
      <w:t>RM96-1-044</w:t>
    </w:r>
    <w:r>
      <w:tab/>
    </w:r>
    <w:r>
      <w:fldChar w:fldCharType="begin"/>
    </w:r>
    <w:r>
      <w:instrText xml:space="preserve"> PAGE  \* MERGEFORMAT </w:instrText>
    </w:r>
    <w:r>
      <w:fldChar w:fldCharType="separate"/>
    </w:r>
    <w:r>
      <w:rPr>
        <w:noProof/>
      </w:rPr>
      <w:t>ii</w:t>
    </w:r>
    <w: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4EEE" w14:textId="77777777" w:rsidR="009231E5" w:rsidRDefault="009231E5" w:rsidP="00C64C9C">
    <w:pPr>
      <w:pStyle w:val="Header"/>
      <w:tabs>
        <w:tab w:val="clear" w:pos="4680"/>
        <w:tab w:val="clear" w:pos="9360"/>
        <w:tab w:val="left"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A08B" w14:textId="77777777" w:rsidR="00653D8D" w:rsidRDefault="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1E15BE27" w14:textId="77777777" w:rsidR="00653D8D" w:rsidRDefault="00653D8D" w:rsidP="00407EE0">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B404" w14:textId="24AE44EB" w:rsidR="00653D8D" w:rsidRDefault="009231E5" w:rsidP="009231E5">
    <w:pPr>
      <w:pStyle w:val="Header"/>
      <w:tabs>
        <w:tab w:val="clear" w:pos="4680"/>
      </w:tabs>
      <w:spacing w:after="240"/>
    </w:pPr>
    <w:r>
      <w:t xml:space="preserve">Docket No. </w:t>
    </w:r>
    <w:r w:rsidR="00816674">
      <w:t>RM96-1-</w:t>
    </w:r>
    <w:r w:rsidR="005546CC">
      <w:t>0</w:t>
    </w:r>
    <w:r w:rsidR="00816674">
      <w:t>44</w:t>
    </w:r>
    <w:r>
      <w:tab/>
    </w:r>
    <w:r>
      <w:fldChar w:fldCharType="begin"/>
    </w:r>
    <w:r>
      <w:instrText xml:space="preserve"> PAGE  \* MERGEFORMAT </w:instrText>
    </w:r>
    <w:r>
      <w:fldChar w:fldCharType="separate"/>
    </w:r>
    <w:r>
      <w:rPr>
        <w:noProof/>
      </w:rPr>
      <w:t>- 2 -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A534" w14:textId="77777777" w:rsidR="00653D8D" w:rsidRDefault="00653D8D"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3E8F3056"/>
    <w:multiLevelType w:val="hybridMultilevel"/>
    <w:tmpl w:val="33A8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502FF"/>
    <w:multiLevelType w:val="multilevel"/>
    <w:tmpl w:val="A61E4522"/>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15:restartNumberingAfterBreak="0">
    <w:nsid w:val="637662F5"/>
    <w:multiLevelType w:val="hybridMultilevel"/>
    <w:tmpl w:val="4BF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4C7D3A"/>
    <w:multiLevelType w:val="hybridMultilevel"/>
    <w:tmpl w:val="32F2D67C"/>
    <w:lvl w:ilvl="0" w:tplc="2B943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2"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9"/>
  </w:num>
  <w:num w:numId="13">
    <w:abstractNumId w:val="13"/>
  </w:num>
  <w:num w:numId="14">
    <w:abstractNumId w:val="21"/>
  </w:num>
  <w:num w:numId="15">
    <w:abstractNumId w:val="1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3"/>
  </w:num>
  <w:num w:numId="22">
    <w:abstractNumId w:val="16"/>
  </w:num>
  <w:num w:numId="23">
    <w:abstractNumId w:val="20"/>
  </w:num>
  <w:num w:numId="24">
    <w:abstractNumId w:val="15"/>
  </w:num>
  <w:num w:numId="25">
    <w:abstractNumId w:val="18"/>
  </w:num>
  <w:num w:numId="2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E5"/>
    <w:rsid w:val="00000750"/>
    <w:rsid w:val="00000AD8"/>
    <w:rsid w:val="000010AA"/>
    <w:rsid w:val="0000153E"/>
    <w:rsid w:val="00001596"/>
    <w:rsid w:val="000016C3"/>
    <w:rsid w:val="00001843"/>
    <w:rsid w:val="0000292B"/>
    <w:rsid w:val="00002946"/>
    <w:rsid w:val="00002B28"/>
    <w:rsid w:val="00002DEE"/>
    <w:rsid w:val="00003340"/>
    <w:rsid w:val="00003659"/>
    <w:rsid w:val="00003F38"/>
    <w:rsid w:val="0000647C"/>
    <w:rsid w:val="0000731D"/>
    <w:rsid w:val="00010FA6"/>
    <w:rsid w:val="00011791"/>
    <w:rsid w:val="000118C8"/>
    <w:rsid w:val="00011C6A"/>
    <w:rsid w:val="00011C82"/>
    <w:rsid w:val="00012AE5"/>
    <w:rsid w:val="00012AE6"/>
    <w:rsid w:val="00013286"/>
    <w:rsid w:val="00013516"/>
    <w:rsid w:val="000143AA"/>
    <w:rsid w:val="00014A7D"/>
    <w:rsid w:val="00015F26"/>
    <w:rsid w:val="000163C4"/>
    <w:rsid w:val="0001762D"/>
    <w:rsid w:val="0002042F"/>
    <w:rsid w:val="00021A3B"/>
    <w:rsid w:val="00022644"/>
    <w:rsid w:val="00022A33"/>
    <w:rsid w:val="0002352D"/>
    <w:rsid w:val="0002355F"/>
    <w:rsid w:val="00026146"/>
    <w:rsid w:val="00026815"/>
    <w:rsid w:val="000272CA"/>
    <w:rsid w:val="0002754C"/>
    <w:rsid w:val="00027BFF"/>
    <w:rsid w:val="00030459"/>
    <w:rsid w:val="00030B62"/>
    <w:rsid w:val="00031F87"/>
    <w:rsid w:val="0003258A"/>
    <w:rsid w:val="00032F86"/>
    <w:rsid w:val="0003382F"/>
    <w:rsid w:val="000344E3"/>
    <w:rsid w:val="000345D0"/>
    <w:rsid w:val="00035671"/>
    <w:rsid w:val="00035D1A"/>
    <w:rsid w:val="0003780E"/>
    <w:rsid w:val="00037D95"/>
    <w:rsid w:val="00040F8B"/>
    <w:rsid w:val="0004190B"/>
    <w:rsid w:val="00041A06"/>
    <w:rsid w:val="000428C4"/>
    <w:rsid w:val="00042A76"/>
    <w:rsid w:val="00042BD8"/>
    <w:rsid w:val="00043099"/>
    <w:rsid w:val="0004377C"/>
    <w:rsid w:val="00044CAC"/>
    <w:rsid w:val="00045B41"/>
    <w:rsid w:val="0004624A"/>
    <w:rsid w:val="000503AF"/>
    <w:rsid w:val="000512A3"/>
    <w:rsid w:val="0005135D"/>
    <w:rsid w:val="0005159D"/>
    <w:rsid w:val="00051669"/>
    <w:rsid w:val="00052370"/>
    <w:rsid w:val="0005246A"/>
    <w:rsid w:val="00052759"/>
    <w:rsid w:val="00053540"/>
    <w:rsid w:val="00053C85"/>
    <w:rsid w:val="000550DC"/>
    <w:rsid w:val="00055F5F"/>
    <w:rsid w:val="000561C6"/>
    <w:rsid w:val="000569C7"/>
    <w:rsid w:val="00056D2A"/>
    <w:rsid w:val="00057068"/>
    <w:rsid w:val="000570D1"/>
    <w:rsid w:val="00057811"/>
    <w:rsid w:val="00057B13"/>
    <w:rsid w:val="0006117F"/>
    <w:rsid w:val="00061768"/>
    <w:rsid w:val="00062003"/>
    <w:rsid w:val="000620A1"/>
    <w:rsid w:val="00062732"/>
    <w:rsid w:val="00062D3D"/>
    <w:rsid w:val="00063EF8"/>
    <w:rsid w:val="000655DF"/>
    <w:rsid w:val="00065DEE"/>
    <w:rsid w:val="00065E46"/>
    <w:rsid w:val="00067474"/>
    <w:rsid w:val="00070857"/>
    <w:rsid w:val="000711B6"/>
    <w:rsid w:val="00072373"/>
    <w:rsid w:val="000726A2"/>
    <w:rsid w:val="00072962"/>
    <w:rsid w:val="0007377C"/>
    <w:rsid w:val="00073EB2"/>
    <w:rsid w:val="00075835"/>
    <w:rsid w:val="00075BA1"/>
    <w:rsid w:val="00075D00"/>
    <w:rsid w:val="0007636C"/>
    <w:rsid w:val="00076BB5"/>
    <w:rsid w:val="00077846"/>
    <w:rsid w:val="0007794F"/>
    <w:rsid w:val="000800A0"/>
    <w:rsid w:val="00080A9E"/>
    <w:rsid w:val="000811DB"/>
    <w:rsid w:val="000817E7"/>
    <w:rsid w:val="0008340B"/>
    <w:rsid w:val="0008368D"/>
    <w:rsid w:val="0008478C"/>
    <w:rsid w:val="00084A31"/>
    <w:rsid w:val="00085601"/>
    <w:rsid w:val="000858BE"/>
    <w:rsid w:val="000865C8"/>
    <w:rsid w:val="00086D98"/>
    <w:rsid w:val="0008778D"/>
    <w:rsid w:val="00090596"/>
    <w:rsid w:val="00090621"/>
    <w:rsid w:val="00091E3D"/>
    <w:rsid w:val="00092564"/>
    <w:rsid w:val="00092634"/>
    <w:rsid w:val="000955FD"/>
    <w:rsid w:val="000956DD"/>
    <w:rsid w:val="00095FD5"/>
    <w:rsid w:val="000964F2"/>
    <w:rsid w:val="00097833"/>
    <w:rsid w:val="00097B31"/>
    <w:rsid w:val="00097C05"/>
    <w:rsid w:val="000A01EA"/>
    <w:rsid w:val="000A0453"/>
    <w:rsid w:val="000A1472"/>
    <w:rsid w:val="000A19D2"/>
    <w:rsid w:val="000A2C93"/>
    <w:rsid w:val="000A3D2F"/>
    <w:rsid w:val="000A3D6F"/>
    <w:rsid w:val="000A4BA1"/>
    <w:rsid w:val="000A5A04"/>
    <w:rsid w:val="000A6835"/>
    <w:rsid w:val="000A6C08"/>
    <w:rsid w:val="000A6F2A"/>
    <w:rsid w:val="000A75FD"/>
    <w:rsid w:val="000A77C4"/>
    <w:rsid w:val="000A78C0"/>
    <w:rsid w:val="000B0E47"/>
    <w:rsid w:val="000B4124"/>
    <w:rsid w:val="000B4394"/>
    <w:rsid w:val="000B4A1A"/>
    <w:rsid w:val="000B4AD2"/>
    <w:rsid w:val="000B546A"/>
    <w:rsid w:val="000B5B4B"/>
    <w:rsid w:val="000B5BEF"/>
    <w:rsid w:val="000B5C3E"/>
    <w:rsid w:val="000B6B02"/>
    <w:rsid w:val="000B74CF"/>
    <w:rsid w:val="000B7AAB"/>
    <w:rsid w:val="000B7E62"/>
    <w:rsid w:val="000C0253"/>
    <w:rsid w:val="000C034A"/>
    <w:rsid w:val="000C0B0A"/>
    <w:rsid w:val="000C0F5B"/>
    <w:rsid w:val="000C1F49"/>
    <w:rsid w:val="000C1FCA"/>
    <w:rsid w:val="000C2326"/>
    <w:rsid w:val="000C40F5"/>
    <w:rsid w:val="000C4A0B"/>
    <w:rsid w:val="000C57E1"/>
    <w:rsid w:val="000C5898"/>
    <w:rsid w:val="000C6736"/>
    <w:rsid w:val="000C6812"/>
    <w:rsid w:val="000C6869"/>
    <w:rsid w:val="000C69A6"/>
    <w:rsid w:val="000C69CF"/>
    <w:rsid w:val="000C6A2A"/>
    <w:rsid w:val="000C6C0E"/>
    <w:rsid w:val="000C6CC5"/>
    <w:rsid w:val="000C6E08"/>
    <w:rsid w:val="000C70AC"/>
    <w:rsid w:val="000D04C3"/>
    <w:rsid w:val="000D0EE6"/>
    <w:rsid w:val="000D1430"/>
    <w:rsid w:val="000D156D"/>
    <w:rsid w:val="000D1C88"/>
    <w:rsid w:val="000D1D4B"/>
    <w:rsid w:val="000D1FB6"/>
    <w:rsid w:val="000D2461"/>
    <w:rsid w:val="000D250B"/>
    <w:rsid w:val="000D2552"/>
    <w:rsid w:val="000D3380"/>
    <w:rsid w:val="000D4417"/>
    <w:rsid w:val="000D5A41"/>
    <w:rsid w:val="000D5ECE"/>
    <w:rsid w:val="000D6003"/>
    <w:rsid w:val="000D6721"/>
    <w:rsid w:val="000D739B"/>
    <w:rsid w:val="000D7DD4"/>
    <w:rsid w:val="000D7E4E"/>
    <w:rsid w:val="000D7E96"/>
    <w:rsid w:val="000E065C"/>
    <w:rsid w:val="000E0857"/>
    <w:rsid w:val="000E0FB3"/>
    <w:rsid w:val="000E2BFA"/>
    <w:rsid w:val="000E3703"/>
    <w:rsid w:val="000E37F2"/>
    <w:rsid w:val="000E53D3"/>
    <w:rsid w:val="000E6E00"/>
    <w:rsid w:val="000E75B2"/>
    <w:rsid w:val="000F02CC"/>
    <w:rsid w:val="000F041E"/>
    <w:rsid w:val="000F0793"/>
    <w:rsid w:val="000F1308"/>
    <w:rsid w:val="000F1FF3"/>
    <w:rsid w:val="000F2039"/>
    <w:rsid w:val="000F2DC1"/>
    <w:rsid w:val="000F372C"/>
    <w:rsid w:val="000F3903"/>
    <w:rsid w:val="000F3D8A"/>
    <w:rsid w:val="000F57EF"/>
    <w:rsid w:val="000F603B"/>
    <w:rsid w:val="000F6403"/>
    <w:rsid w:val="000F65E7"/>
    <w:rsid w:val="000F6C7F"/>
    <w:rsid w:val="00100E1B"/>
    <w:rsid w:val="00101107"/>
    <w:rsid w:val="00101C24"/>
    <w:rsid w:val="00102736"/>
    <w:rsid w:val="0010290F"/>
    <w:rsid w:val="001031D2"/>
    <w:rsid w:val="001035A5"/>
    <w:rsid w:val="00103A17"/>
    <w:rsid w:val="00104218"/>
    <w:rsid w:val="00104F76"/>
    <w:rsid w:val="00106FE7"/>
    <w:rsid w:val="00107349"/>
    <w:rsid w:val="001075D6"/>
    <w:rsid w:val="001078C5"/>
    <w:rsid w:val="001107A0"/>
    <w:rsid w:val="00110A83"/>
    <w:rsid w:val="00110D3A"/>
    <w:rsid w:val="00110DE6"/>
    <w:rsid w:val="00111218"/>
    <w:rsid w:val="001122EA"/>
    <w:rsid w:val="001139E9"/>
    <w:rsid w:val="00113AF0"/>
    <w:rsid w:val="00114B0F"/>
    <w:rsid w:val="00114C7D"/>
    <w:rsid w:val="00114F03"/>
    <w:rsid w:val="00115759"/>
    <w:rsid w:val="00115FB4"/>
    <w:rsid w:val="00116412"/>
    <w:rsid w:val="001174B6"/>
    <w:rsid w:val="001201D9"/>
    <w:rsid w:val="001205A9"/>
    <w:rsid w:val="00120603"/>
    <w:rsid w:val="001208A2"/>
    <w:rsid w:val="001209EF"/>
    <w:rsid w:val="001212BE"/>
    <w:rsid w:val="001217A0"/>
    <w:rsid w:val="001236E4"/>
    <w:rsid w:val="0012433D"/>
    <w:rsid w:val="00124901"/>
    <w:rsid w:val="00124C66"/>
    <w:rsid w:val="001267F2"/>
    <w:rsid w:val="00126933"/>
    <w:rsid w:val="00127117"/>
    <w:rsid w:val="0012713F"/>
    <w:rsid w:val="00127478"/>
    <w:rsid w:val="0012777E"/>
    <w:rsid w:val="001279B9"/>
    <w:rsid w:val="00130CCE"/>
    <w:rsid w:val="00131E44"/>
    <w:rsid w:val="00132D57"/>
    <w:rsid w:val="001335A6"/>
    <w:rsid w:val="00135D4E"/>
    <w:rsid w:val="00137C06"/>
    <w:rsid w:val="00137CE3"/>
    <w:rsid w:val="00137E7B"/>
    <w:rsid w:val="00140134"/>
    <w:rsid w:val="00140824"/>
    <w:rsid w:val="00141053"/>
    <w:rsid w:val="001418DF"/>
    <w:rsid w:val="0014206C"/>
    <w:rsid w:val="001421AA"/>
    <w:rsid w:val="00143ECB"/>
    <w:rsid w:val="0014480B"/>
    <w:rsid w:val="00144AB0"/>
    <w:rsid w:val="00145CDB"/>
    <w:rsid w:val="00146074"/>
    <w:rsid w:val="00146A50"/>
    <w:rsid w:val="00146BD4"/>
    <w:rsid w:val="00146CE7"/>
    <w:rsid w:val="00151249"/>
    <w:rsid w:val="001512A7"/>
    <w:rsid w:val="001520D4"/>
    <w:rsid w:val="00152EBC"/>
    <w:rsid w:val="001549DE"/>
    <w:rsid w:val="00154C7A"/>
    <w:rsid w:val="00154EE9"/>
    <w:rsid w:val="00155D35"/>
    <w:rsid w:val="0015707D"/>
    <w:rsid w:val="00161DCB"/>
    <w:rsid w:val="00162383"/>
    <w:rsid w:val="00162CCD"/>
    <w:rsid w:val="0016531B"/>
    <w:rsid w:val="001661E7"/>
    <w:rsid w:val="00167CAC"/>
    <w:rsid w:val="0017057E"/>
    <w:rsid w:val="00170E10"/>
    <w:rsid w:val="00171840"/>
    <w:rsid w:val="00173644"/>
    <w:rsid w:val="00173E1B"/>
    <w:rsid w:val="00174F72"/>
    <w:rsid w:val="0017696A"/>
    <w:rsid w:val="0017701D"/>
    <w:rsid w:val="00177374"/>
    <w:rsid w:val="00180674"/>
    <w:rsid w:val="001810A3"/>
    <w:rsid w:val="00181797"/>
    <w:rsid w:val="00181A65"/>
    <w:rsid w:val="00183763"/>
    <w:rsid w:val="0018387A"/>
    <w:rsid w:val="00184325"/>
    <w:rsid w:val="0018559D"/>
    <w:rsid w:val="00185C92"/>
    <w:rsid w:val="0018623C"/>
    <w:rsid w:val="0018758C"/>
    <w:rsid w:val="00187917"/>
    <w:rsid w:val="00190007"/>
    <w:rsid w:val="001902B0"/>
    <w:rsid w:val="00191617"/>
    <w:rsid w:val="0019292E"/>
    <w:rsid w:val="001938B0"/>
    <w:rsid w:val="00195716"/>
    <w:rsid w:val="001960DD"/>
    <w:rsid w:val="00196388"/>
    <w:rsid w:val="001974D9"/>
    <w:rsid w:val="001A01AE"/>
    <w:rsid w:val="001A1641"/>
    <w:rsid w:val="001A1693"/>
    <w:rsid w:val="001A1F9E"/>
    <w:rsid w:val="001A20EA"/>
    <w:rsid w:val="001A2AF1"/>
    <w:rsid w:val="001A2E7C"/>
    <w:rsid w:val="001A30CF"/>
    <w:rsid w:val="001A33D6"/>
    <w:rsid w:val="001A3A2B"/>
    <w:rsid w:val="001A3A82"/>
    <w:rsid w:val="001A3EF7"/>
    <w:rsid w:val="001A4E4F"/>
    <w:rsid w:val="001A563A"/>
    <w:rsid w:val="001A5755"/>
    <w:rsid w:val="001A6D80"/>
    <w:rsid w:val="001B010E"/>
    <w:rsid w:val="001B042B"/>
    <w:rsid w:val="001B11A1"/>
    <w:rsid w:val="001B13DD"/>
    <w:rsid w:val="001B150C"/>
    <w:rsid w:val="001B1839"/>
    <w:rsid w:val="001B1FE9"/>
    <w:rsid w:val="001B273E"/>
    <w:rsid w:val="001B27E9"/>
    <w:rsid w:val="001B2C6D"/>
    <w:rsid w:val="001B2DF9"/>
    <w:rsid w:val="001B2E3E"/>
    <w:rsid w:val="001B362D"/>
    <w:rsid w:val="001B3B21"/>
    <w:rsid w:val="001B405C"/>
    <w:rsid w:val="001B49F3"/>
    <w:rsid w:val="001B4FB2"/>
    <w:rsid w:val="001B5A7D"/>
    <w:rsid w:val="001B5B2D"/>
    <w:rsid w:val="001B62FF"/>
    <w:rsid w:val="001B6694"/>
    <w:rsid w:val="001B6984"/>
    <w:rsid w:val="001B70F4"/>
    <w:rsid w:val="001B71CA"/>
    <w:rsid w:val="001B7E30"/>
    <w:rsid w:val="001B7ECA"/>
    <w:rsid w:val="001C2565"/>
    <w:rsid w:val="001C2E2D"/>
    <w:rsid w:val="001C2FBB"/>
    <w:rsid w:val="001C3535"/>
    <w:rsid w:val="001C3C97"/>
    <w:rsid w:val="001C50C6"/>
    <w:rsid w:val="001C67E9"/>
    <w:rsid w:val="001C7F41"/>
    <w:rsid w:val="001D046B"/>
    <w:rsid w:val="001D1F1C"/>
    <w:rsid w:val="001D2423"/>
    <w:rsid w:val="001D264B"/>
    <w:rsid w:val="001D3541"/>
    <w:rsid w:val="001D3B0D"/>
    <w:rsid w:val="001D3F50"/>
    <w:rsid w:val="001D40B5"/>
    <w:rsid w:val="001D4648"/>
    <w:rsid w:val="001D49EC"/>
    <w:rsid w:val="001D5838"/>
    <w:rsid w:val="001D5D83"/>
    <w:rsid w:val="001D6183"/>
    <w:rsid w:val="001D7927"/>
    <w:rsid w:val="001E093A"/>
    <w:rsid w:val="001E10B0"/>
    <w:rsid w:val="001E10E6"/>
    <w:rsid w:val="001E2DC5"/>
    <w:rsid w:val="001E30BB"/>
    <w:rsid w:val="001E33EF"/>
    <w:rsid w:val="001E348C"/>
    <w:rsid w:val="001E39ED"/>
    <w:rsid w:val="001E49A7"/>
    <w:rsid w:val="001E59F9"/>
    <w:rsid w:val="001E5C26"/>
    <w:rsid w:val="001E74ED"/>
    <w:rsid w:val="001E78F7"/>
    <w:rsid w:val="001E7A8F"/>
    <w:rsid w:val="001F19B6"/>
    <w:rsid w:val="001F19E7"/>
    <w:rsid w:val="001F3853"/>
    <w:rsid w:val="001F387A"/>
    <w:rsid w:val="001F4894"/>
    <w:rsid w:val="001F4C30"/>
    <w:rsid w:val="001F4EFE"/>
    <w:rsid w:val="001F51A0"/>
    <w:rsid w:val="001F5CC6"/>
    <w:rsid w:val="001F5CD9"/>
    <w:rsid w:val="001F66D3"/>
    <w:rsid w:val="001F6A24"/>
    <w:rsid w:val="001F7531"/>
    <w:rsid w:val="001F7942"/>
    <w:rsid w:val="002011C6"/>
    <w:rsid w:val="00201D76"/>
    <w:rsid w:val="00202BC3"/>
    <w:rsid w:val="00203911"/>
    <w:rsid w:val="00203B4A"/>
    <w:rsid w:val="002042B6"/>
    <w:rsid w:val="002047B4"/>
    <w:rsid w:val="00205A8E"/>
    <w:rsid w:val="002072CF"/>
    <w:rsid w:val="0020794A"/>
    <w:rsid w:val="002079EC"/>
    <w:rsid w:val="00211765"/>
    <w:rsid w:val="00211F04"/>
    <w:rsid w:val="00211FD1"/>
    <w:rsid w:val="0021212E"/>
    <w:rsid w:val="00212367"/>
    <w:rsid w:val="00212CA6"/>
    <w:rsid w:val="00212D59"/>
    <w:rsid w:val="002136E7"/>
    <w:rsid w:val="00213F8C"/>
    <w:rsid w:val="0021415D"/>
    <w:rsid w:val="00215654"/>
    <w:rsid w:val="002206DB"/>
    <w:rsid w:val="00220A25"/>
    <w:rsid w:val="0022182D"/>
    <w:rsid w:val="00221AFA"/>
    <w:rsid w:val="00223902"/>
    <w:rsid w:val="00223EC6"/>
    <w:rsid w:val="00223FD7"/>
    <w:rsid w:val="00224175"/>
    <w:rsid w:val="00224859"/>
    <w:rsid w:val="0022588D"/>
    <w:rsid w:val="00225A12"/>
    <w:rsid w:val="00225FFB"/>
    <w:rsid w:val="002261B3"/>
    <w:rsid w:val="00226EC8"/>
    <w:rsid w:val="002273DF"/>
    <w:rsid w:val="002315E0"/>
    <w:rsid w:val="002318B6"/>
    <w:rsid w:val="002323B4"/>
    <w:rsid w:val="002323D8"/>
    <w:rsid w:val="00233CEF"/>
    <w:rsid w:val="00233FD0"/>
    <w:rsid w:val="00234000"/>
    <w:rsid w:val="00234E99"/>
    <w:rsid w:val="002352B0"/>
    <w:rsid w:val="002354E4"/>
    <w:rsid w:val="00236E44"/>
    <w:rsid w:val="00237134"/>
    <w:rsid w:val="00237196"/>
    <w:rsid w:val="00237AC8"/>
    <w:rsid w:val="00237F8E"/>
    <w:rsid w:val="00240286"/>
    <w:rsid w:val="00240493"/>
    <w:rsid w:val="002423AF"/>
    <w:rsid w:val="0024241B"/>
    <w:rsid w:val="00243942"/>
    <w:rsid w:val="0024453D"/>
    <w:rsid w:val="002448EA"/>
    <w:rsid w:val="00244ECD"/>
    <w:rsid w:val="002456C0"/>
    <w:rsid w:val="00245704"/>
    <w:rsid w:val="002464E8"/>
    <w:rsid w:val="00246E21"/>
    <w:rsid w:val="0024710C"/>
    <w:rsid w:val="00250A92"/>
    <w:rsid w:val="002510CC"/>
    <w:rsid w:val="002512FD"/>
    <w:rsid w:val="00251762"/>
    <w:rsid w:val="00253776"/>
    <w:rsid w:val="00254D3A"/>
    <w:rsid w:val="00255417"/>
    <w:rsid w:val="0025603E"/>
    <w:rsid w:val="00256480"/>
    <w:rsid w:val="00257989"/>
    <w:rsid w:val="00260517"/>
    <w:rsid w:val="002626F4"/>
    <w:rsid w:val="00262B82"/>
    <w:rsid w:val="00262FED"/>
    <w:rsid w:val="00264D76"/>
    <w:rsid w:val="002666C4"/>
    <w:rsid w:val="00267328"/>
    <w:rsid w:val="0026782B"/>
    <w:rsid w:val="00267A5F"/>
    <w:rsid w:val="00267AEF"/>
    <w:rsid w:val="0027041A"/>
    <w:rsid w:val="002715FE"/>
    <w:rsid w:val="00271804"/>
    <w:rsid w:val="00271B39"/>
    <w:rsid w:val="002727D0"/>
    <w:rsid w:val="002737DB"/>
    <w:rsid w:val="00273868"/>
    <w:rsid w:val="00273995"/>
    <w:rsid w:val="00274963"/>
    <w:rsid w:val="00274CA1"/>
    <w:rsid w:val="00276AB2"/>
    <w:rsid w:val="00276FB3"/>
    <w:rsid w:val="00277E9F"/>
    <w:rsid w:val="00280499"/>
    <w:rsid w:val="00280829"/>
    <w:rsid w:val="002817CE"/>
    <w:rsid w:val="00281DCD"/>
    <w:rsid w:val="00282282"/>
    <w:rsid w:val="002822E6"/>
    <w:rsid w:val="00282670"/>
    <w:rsid w:val="00282E83"/>
    <w:rsid w:val="00283AA6"/>
    <w:rsid w:val="0028432C"/>
    <w:rsid w:val="002849F0"/>
    <w:rsid w:val="00284A8C"/>
    <w:rsid w:val="00284E46"/>
    <w:rsid w:val="00284E82"/>
    <w:rsid w:val="002853E0"/>
    <w:rsid w:val="002857E2"/>
    <w:rsid w:val="00285D1B"/>
    <w:rsid w:val="002870A9"/>
    <w:rsid w:val="002874DA"/>
    <w:rsid w:val="00287CB3"/>
    <w:rsid w:val="00290ABD"/>
    <w:rsid w:val="002919AC"/>
    <w:rsid w:val="00291FE0"/>
    <w:rsid w:val="00292DAB"/>
    <w:rsid w:val="00293E05"/>
    <w:rsid w:val="00294CB5"/>
    <w:rsid w:val="00294D79"/>
    <w:rsid w:val="00294E13"/>
    <w:rsid w:val="00297D39"/>
    <w:rsid w:val="002A0B4A"/>
    <w:rsid w:val="002A1EE8"/>
    <w:rsid w:val="002A24FA"/>
    <w:rsid w:val="002A2669"/>
    <w:rsid w:val="002A2A93"/>
    <w:rsid w:val="002A2CE6"/>
    <w:rsid w:val="002A34C1"/>
    <w:rsid w:val="002A4517"/>
    <w:rsid w:val="002A512A"/>
    <w:rsid w:val="002A5B4C"/>
    <w:rsid w:val="002A5C43"/>
    <w:rsid w:val="002A5E27"/>
    <w:rsid w:val="002A6E34"/>
    <w:rsid w:val="002A729E"/>
    <w:rsid w:val="002A7FB5"/>
    <w:rsid w:val="002B20C1"/>
    <w:rsid w:val="002B262D"/>
    <w:rsid w:val="002B32A1"/>
    <w:rsid w:val="002B35F2"/>
    <w:rsid w:val="002B3941"/>
    <w:rsid w:val="002B6125"/>
    <w:rsid w:val="002B613D"/>
    <w:rsid w:val="002B6242"/>
    <w:rsid w:val="002B6DA0"/>
    <w:rsid w:val="002B79B1"/>
    <w:rsid w:val="002B7DC8"/>
    <w:rsid w:val="002B7EAA"/>
    <w:rsid w:val="002C0A9D"/>
    <w:rsid w:val="002C1BE0"/>
    <w:rsid w:val="002C1C3A"/>
    <w:rsid w:val="002C1EEF"/>
    <w:rsid w:val="002C1FF9"/>
    <w:rsid w:val="002C2AE5"/>
    <w:rsid w:val="002C4CEE"/>
    <w:rsid w:val="002C4F99"/>
    <w:rsid w:val="002C52E6"/>
    <w:rsid w:val="002C57E5"/>
    <w:rsid w:val="002C591D"/>
    <w:rsid w:val="002C64E4"/>
    <w:rsid w:val="002C7704"/>
    <w:rsid w:val="002C77C5"/>
    <w:rsid w:val="002C7F13"/>
    <w:rsid w:val="002D0A34"/>
    <w:rsid w:val="002D1528"/>
    <w:rsid w:val="002D206A"/>
    <w:rsid w:val="002D23B6"/>
    <w:rsid w:val="002D29D0"/>
    <w:rsid w:val="002D2A01"/>
    <w:rsid w:val="002D358E"/>
    <w:rsid w:val="002D4D53"/>
    <w:rsid w:val="002D4FA0"/>
    <w:rsid w:val="002D560B"/>
    <w:rsid w:val="002D5EEA"/>
    <w:rsid w:val="002D65B3"/>
    <w:rsid w:val="002D6903"/>
    <w:rsid w:val="002D7D6B"/>
    <w:rsid w:val="002E04A7"/>
    <w:rsid w:val="002E1CEC"/>
    <w:rsid w:val="002E2247"/>
    <w:rsid w:val="002E2653"/>
    <w:rsid w:val="002E3C77"/>
    <w:rsid w:val="002E4B01"/>
    <w:rsid w:val="002E4C03"/>
    <w:rsid w:val="002E4E8A"/>
    <w:rsid w:val="002E558F"/>
    <w:rsid w:val="002E5DDB"/>
    <w:rsid w:val="002E5E22"/>
    <w:rsid w:val="002E6031"/>
    <w:rsid w:val="002E608D"/>
    <w:rsid w:val="002E681E"/>
    <w:rsid w:val="002E6E67"/>
    <w:rsid w:val="002F0077"/>
    <w:rsid w:val="002F064E"/>
    <w:rsid w:val="002F08DF"/>
    <w:rsid w:val="002F09BE"/>
    <w:rsid w:val="002F0AE4"/>
    <w:rsid w:val="002F1207"/>
    <w:rsid w:val="002F1D92"/>
    <w:rsid w:val="002F2859"/>
    <w:rsid w:val="002F2D5C"/>
    <w:rsid w:val="002F38C1"/>
    <w:rsid w:val="002F3C82"/>
    <w:rsid w:val="002F52A9"/>
    <w:rsid w:val="002F6133"/>
    <w:rsid w:val="002F76D3"/>
    <w:rsid w:val="002F79BB"/>
    <w:rsid w:val="00300404"/>
    <w:rsid w:val="00301804"/>
    <w:rsid w:val="00301D68"/>
    <w:rsid w:val="003031DA"/>
    <w:rsid w:val="00303C9C"/>
    <w:rsid w:val="00304DFC"/>
    <w:rsid w:val="0030718C"/>
    <w:rsid w:val="00307C19"/>
    <w:rsid w:val="00307E5E"/>
    <w:rsid w:val="00310C4B"/>
    <w:rsid w:val="003111B3"/>
    <w:rsid w:val="00312651"/>
    <w:rsid w:val="00313356"/>
    <w:rsid w:val="00313634"/>
    <w:rsid w:val="003148DD"/>
    <w:rsid w:val="00315EE8"/>
    <w:rsid w:val="0031647F"/>
    <w:rsid w:val="00316A2F"/>
    <w:rsid w:val="00316E59"/>
    <w:rsid w:val="003175A1"/>
    <w:rsid w:val="00317B93"/>
    <w:rsid w:val="00320641"/>
    <w:rsid w:val="00321BD9"/>
    <w:rsid w:val="00322281"/>
    <w:rsid w:val="00322F05"/>
    <w:rsid w:val="00322F60"/>
    <w:rsid w:val="003242DE"/>
    <w:rsid w:val="003243C3"/>
    <w:rsid w:val="00324F79"/>
    <w:rsid w:val="00325A1F"/>
    <w:rsid w:val="00325DCD"/>
    <w:rsid w:val="00326274"/>
    <w:rsid w:val="00326EF6"/>
    <w:rsid w:val="00327401"/>
    <w:rsid w:val="00327FA5"/>
    <w:rsid w:val="00331E60"/>
    <w:rsid w:val="00331FFE"/>
    <w:rsid w:val="0033269A"/>
    <w:rsid w:val="00332B94"/>
    <w:rsid w:val="00332C64"/>
    <w:rsid w:val="00334144"/>
    <w:rsid w:val="0033428B"/>
    <w:rsid w:val="003346EB"/>
    <w:rsid w:val="0033485C"/>
    <w:rsid w:val="003350B2"/>
    <w:rsid w:val="00335450"/>
    <w:rsid w:val="00335667"/>
    <w:rsid w:val="00335933"/>
    <w:rsid w:val="00336180"/>
    <w:rsid w:val="00336254"/>
    <w:rsid w:val="00336E48"/>
    <w:rsid w:val="003370E4"/>
    <w:rsid w:val="00337B76"/>
    <w:rsid w:val="00340D3D"/>
    <w:rsid w:val="003410C7"/>
    <w:rsid w:val="003412CD"/>
    <w:rsid w:val="00341484"/>
    <w:rsid w:val="00343695"/>
    <w:rsid w:val="003437BD"/>
    <w:rsid w:val="00343D67"/>
    <w:rsid w:val="00344A37"/>
    <w:rsid w:val="00345DEF"/>
    <w:rsid w:val="00346C96"/>
    <w:rsid w:val="00346DEF"/>
    <w:rsid w:val="00346F93"/>
    <w:rsid w:val="003478CF"/>
    <w:rsid w:val="00350E98"/>
    <w:rsid w:val="00350FC8"/>
    <w:rsid w:val="003520AD"/>
    <w:rsid w:val="0035446E"/>
    <w:rsid w:val="00354568"/>
    <w:rsid w:val="00355014"/>
    <w:rsid w:val="00355792"/>
    <w:rsid w:val="00356733"/>
    <w:rsid w:val="0035691B"/>
    <w:rsid w:val="00356EAF"/>
    <w:rsid w:val="003602C7"/>
    <w:rsid w:val="003608E7"/>
    <w:rsid w:val="00360AA1"/>
    <w:rsid w:val="00361886"/>
    <w:rsid w:val="00362D78"/>
    <w:rsid w:val="00364E6F"/>
    <w:rsid w:val="0036500A"/>
    <w:rsid w:val="0036532A"/>
    <w:rsid w:val="00365A13"/>
    <w:rsid w:val="00365E07"/>
    <w:rsid w:val="00370575"/>
    <w:rsid w:val="00370CF3"/>
    <w:rsid w:val="003716E0"/>
    <w:rsid w:val="00372F5E"/>
    <w:rsid w:val="003736D9"/>
    <w:rsid w:val="0037381D"/>
    <w:rsid w:val="00374532"/>
    <w:rsid w:val="00374868"/>
    <w:rsid w:val="003748A5"/>
    <w:rsid w:val="00374E11"/>
    <w:rsid w:val="00375DF4"/>
    <w:rsid w:val="00376313"/>
    <w:rsid w:val="0037768B"/>
    <w:rsid w:val="00377932"/>
    <w:rsid w:val="0038011E"/>
    <w:rsid w:val="00380665"/>
    <w:rsid w:val="00380B57"/>
    <w:rsid w:val="00380B73"/>
    <w:rsid w:val="00380D74"/>
    <w:rsid w:val="00381093"/>
    <w:rsid w:val="00381A26"/>
    <w:rsid w:val="00381E32"/>
    <w:rsid w:val="00383004"/>
    <w:rsid w:val="003830CE"/>
    <w:rsid w:val="00385651"/>
    <w:rsid w:val="00385D78"/>
    <w:rsid w:val="00385E2D"/>
    <w:rsid w:val="00387269"/>
    <w:rsid w:val="0038737C"/>
    <w:rsid w:val="0039262E"/>
    <w:rsid w:val="00392FB5"/>
    <w:rsid w:val="003937C5"/>
    <w:rsid w:val="003937F3"/>
    <w:rsid w:val="0039424A"/>
    <w:rsid w:val="00394618"/>
    <w:rsid w:val="0039525E"/>
    <w:rsid w:val="00396456"/>
    <w:rsid w:val="0039654F"/>
    <w:rsid w:val="003A007B"/>
    <w:rsid w:val="003A0D7A"/>
    <w:rsid w:val="003A15D6"/>
    <w:rsid w:val="003A237A"/>
    <w:rsid w:val="003A2998"/>
    <w:rsid w:val="003A2E57"/>
    <w:rsid w:val="003A3074"/>
    <w:rsid w:val="003A3278"/>
    <w:rsid w:val="003A35D1"/>
    <w:rsid w:val="003A35D3"/>
    <w:rsid w:val="003A4ED8"/>
    <w:rsid w:val="003A5068"/>
    <w:rsid w:val="003A5145"/>
    <w:rsid w:val="003A5939"/>
    <w:rsid w:val="003A6910"/>
    <w:rsid w:val="003A6B26"/>
    <w:rsid w:val="003B0057"/>
    <w:rsid w:val="003B2301"/>
    <w:rsid w:val="003B2445"/>
    <w:rsid w:val="003B3B83"/>
    <w:rsid w:val="003B4101"/>
    <w:rsid w:val="003B61C4"/>
    <w:rsid w:val="003B6A5F"/>
    <w:rsid w:val="003B7E9A"/>
    <w:rsid w:val="003B7F05"/>
    <w:rsid w:val="003C0533"/>
    <w:rsid w:val="003C1BDD"/>
    <w:rsid w:val="003C29E4"/>
    <w:rsid w:val="003C3627"/>
    <w:rsid w:val="003C3796"/>
    <w:rsid w:val="003C394A"/>
    <w:rsid w:val="003C3A1E"/>
    <w:rsid w:val="003C505B"/>
    <w:rsid w:val="003C6277"/>
    <w:rsid w:val="003C6703"/>
    <w:rsid w:val="003C6F0F"/>
    <w:rsid w:val="003C71CF"/>
    <w:rsid w:val="003C789D"/>
    <w:rsid w:val="003D0789"/>
    <w:rsid w:val="003D0FDF"/>
    <w:rsid w:val="003D11EB"/>
    <w:rsid w:val="003D1A59"/>
    <w:rsid w:val="003D1CB2"/>
    <w:rsid w:val="003D260B"/>
    <w:rsid w:val="003D3318"/>
    <w:rsid w:val="003D3815"/>
    <w:rsid w:val="003D3CF2"/>
    <w:rsid w:val="003D4A56"/>
    <w:rsid w:val="003D4B8D"/>
    <w:rsid w:val="003D4D7F"/>
    <w:rsid w:val="003D572C"/>
    <w:rsid w:val="003D5827"/>
    <w:rsid w:val="003D6452"/>
    <w:rsid w:val="003D6552"/>
    <w:rsid w:val="003D6AEC"/>
    <w:rsid w:val="003D7B2C"/>
    <w:rsid w:val="003E0611"/>
    <w:rsid w:val="003E0CED"/>
    <w:rsid w:val="003E155E"/>
    <w:rsid w:val="003E1917"/>
    <w:rsid w:val="003E234E"/>
    <w:rsid w:val="003E259A"/>
    <w:rsid w:val="003E37FC"/>
    <w:rsid w:val="003E413D"/>
    <w:rsid w:val="003E5211"/>
    <w:rsid w:val="003E5E0C"/>
    <w:rsid w:val="003E639D"/>
    <w:rsid w:val="003E6CF0"/>
    <w:rsid w:val="003E6EDE"/>
    <w:rsid w:val="003F0ABE"/>
    <w:rsid w:val="003F140C"/>
    <w:rsid w:val="003F26C9"/>
    <w:rsid w:val="003F2F9F"/>
    <w:rsid w:val="003F31D2"/>
    <w:rsid w:val="003F3716"/>
    <w:rsid w:val="003F3DC0"/>
    <w:rsid w:val="003F4845"/>
    <w:rsid w:val="003F4C93"/>
    <w:rsid w:val="003F4CCA"/>
    <w:rsid w:val="003F4DBE"/>
    <w:rsid w:val="003F557E"/>
    <w:rsid w:val="003F614A"/>
    <w:rsid w:val="003F674D"/>
    <w:rsid w:val="003F6B43"/>
    <w:rsid w:val="003F6C32"/>
    <w:rsid w:val="003F71BE"/>
    <w:rsid w:val="003F7CC5"/>
    <w:rsid w:val="00400D68"/>
    <w:rsid w:val="00401646"/>
    <w:rsid w:val="00401827"/>
    <w:rsid w:val="00401A63"/>
    <w:rsid w:val="00401BBE"/>
    <w:rsid w:val="00401D97"/>
    <w:rsid w:val="00401E3B"/>
    <w:rsid w:val="00402E98"/>
    <w:rsid w:val="004032DC"/>
    <w:rsid w:val="00405141"/>
    <w:rsid w:val="004067AD"/>
    <w:rsid w:val="0040683D"/>
    <w:rsid w:val="004069BE"/>
    <w:rsid w:val="00406B22"/>
    <w:rsid w:val="00406C37"/>
    <w:rsid w:val="00407058"/>
    <w:rsid w:val="00407817"/>
    <w:rsid w:val="00407B07"/>
    <w:rsid w:val="00407EE0"/>
    <w:rsid w:val="0041089B"/>
    <w:rsid w:val="0041143F"/>
    <w:rsid w:val="0041171D"/>
    <w:rsid w:val="0041210E"/>
    <w:rsid w:val="0041361C"/>
    <w:rsid w:val="00413B59"/>
    <w:rsid w:val="00414806"/>
    <w:rsid w:val="00414B30"/>
    <w:rsid w:val="004150FC"/>
    <w:rsid w:val="00415587"/>
    <w:rsid w:val="00415ABD"/>
    <w:rsid w:val="00417378"/>
    <w:rsid w:val="004205A4"/>
    <w:rsid w:val="0042068B"/>
    <w:rsid w:val="0042082A"/>
    <w:rsid w:val="00420A60"/>
    <w:rsid w:val="00420D22"/>
    <w:rsid w:val="00420F26"/>
    <w:rsid w:val="00422891"/>
    <w:rsid w:val="00423CCB"/>
    <w:rsid w:val="00424B78"/>
    <w:rsid w:val="00425627"/>
    <w:rsid w:val="00427003"/>
    <w:rsid w:val="004270D7"/>
    <w:rsid w:val="004304AE"/>
    <w:rsid w:val="004304B2"/>
    <w:rsid w:val="00430826"/>
    <w:rsid w:val="00432AAD"/>
    <w:rsid w:val="004335E8"/>
    <w:rsid w:val="00433CDD"/>
    <w:rsid w:val="00434C81"/>
    <w:rsid w:val="00436369"/>
    <w:rsid w:val="00436A3E"/>
    <w:rsid w:val="00436BCE"/>
    <w:rsid w:val="004373C5"/>
    <w:rsid w:val="004377FE"/>
    <w:rsid w:val="00440397"/>
    <w:rsid w:val="00440B24"/>
    <w:rsid w:val="00440D78"/>
    <w:rsid w:val="00441A2A"/>
    <w:rsid w:val="004420F6"/>
    <w:rsid w:val="0044359A"/>
    <w:rsid w:val="00444C53"/>
    <w:rsid w:val="00444F65"/>
    <w:rsid w:val="00445236"/>
    <w:rsid w:val="004455CF"/>
    <w:rsid w:val="004462A3"/>
    <w:rsid w:val="00446720"/>
    <w:rsid w:val="004476C6"/>
    <w:rsid w:val="00447856"/>
    <w:rsid w:val="004504AA"/>
    <w:rsid w:val="0045130C"/>
    <w:rsid w:val="00451C7E"/>
    <w:rsid w:val="004524E5"/>
    <w:rsid w:val="00452DD6"/>
    <w:rsid w:val="00453578"/>
    <w:rsid w:val="0045459B"/>
    <w:rsid w:val="00454A58"/>
    <w:rsid w:val="00455214"/>
    <w:rsid w:val="00456136"/>
    <w:rsid w:val="00456A56"/>
    <w:rsid w:val="00456A81"/>
    <w:rsid w:val="00456BF4"/>
    <w:rsid w:val="00456D5A"/>
    <w:rsid w:val="004602BA"/>
    <w:rsid w:val="0046133D"/>
    <w:rsid w:val="0046149F"/>
    <w:rsid w:val="0046160C"/>
    <w:rsid w:val="00462405"/>
    <w:rsid w:val="004634A0"/>
    <w:rsid w:val="00464328"/>
    <w:rsid w:val="00464DA6"/>
    <w:rsid w:val="00465EC3"/>
    <w:rsid w:val="00466504"/>
    <w:rsid w:val="00466FFA"/>
    <w:rsid w:val="004673E8"/>
    <w:rsid w:val="0047115A"/>
    <w:rsid w:val="00472779"/>
    <w:rsid w:val="00472C9B"/>
    <w:rsid w:val="00473A5E"/>
    <w:rsid w:val="004758A9"/>
    <w:rsid w:val="004760AE"/>
    <w:rsid w:val="004761AD"/>
    <w:rsid w:val="00476273"/>
    <w:rsid w:val="00476E5E"/>
    <w:rsid w:val="00477399"/>
    <w:rsid w:val="00477578"/>
    <w:rsid w:val="0048020B"/>
    <w:rsid w:val="00481283"/>
    <w:rsid w:val="00482600"/>
    <w:rsid w:val="00483940"/>
    <w:rsid w:val="0048423D"/>
    <w:rsid w:val="004861E4"/>
    <w:rsid w:val="004864DA"/>
    <w:rsid w:val="00486D6D"/>
    <w:rsid w:val="004872BC"/>
    <w:rsid w:val="004874A4"/>
    <w:rsid w:val="00491975"/>
    <w:rsid w:val="00492B79"/>
    <w:rsid w:val="004931C5"/>
    <w:rsid w:val="004933FE"/>
    <w:rsid w:val="004934DA"/>
    <w:rsid w:val="0049392D"/>
    <w:rsid w:val="00494355"/>
    <w:rsid w:val="004946C3"/>
    <w:rsid w:val="00494945"/>
    <w:rsid w:val="00494C6D"/>
    <w:rsid w:val="00495E07"/>
    <w:rsid w:val="004963C9"/>
    <w:rsid w:val="00496E2D"/>
    <w:rsid w:val="004972B7"/>
    <w:rsid w:val="004979E9"/>
    <w:rsid w:val="00497F11"/>
    <w:rsid w:val="00497F70"/>
    <w:rsid w:val="004A017A"/>
    <w:rsid w:val="004A026B"/>
    <w:rsid w:val="004A03E5"/>
    <w:rsid w:val="004A0EF2"/>
    <w:rsid w:val="004A1356"/>
    <w:rsid w:val="004A1474"/>
    <w:rsid w:val="004A1942"/>
    <w:rsid w:val="004A1B32"/>
    <w:rsid w:val="004A2348"/>
    <w:rsid w:val="004A2500"/>
    <w:rsid w:val="004A252B"/>
    <w:rsid w:val="004A397A"/>
    <w:rsid w:val="004A3F01"/>
    <w:rsid w:val="004A503D"/>
    <w:rsid w:val="004A543E"/>
    <w:rsid w:val="004A5CC1"/>
    <w:rsid w:val="004A62C1"/>
    <w:rsid w:val="004A6E63"/>
    <w:rsid w:val="004B0FFF"/>
    <w:rsid w:val="004B103A"/>
    <w:rsid w:val="004B141F"/>
    <w:rsid w:val="004B1A92"/>
    <w:rsid w:val="004B1EBF"/>
    <w:rsid w:val="004B20E0"/>
    <w:rsid w:val="004B2F02"/>
    <w:rsid w:val="004B457F"/>
    <w:rsid w:val="004B4A44"/>
    <w:rsid w:val="004B4A8D"/>
    <w:rsid w:val="004C09DC"/>
    <w:rsid w:val="004C0E28"/>
    <w:rsid w:val="004C1357"/>
    <w:rsid w:val="004C190E"/>
    <w:rsid w:val="004C197E"/>
    <w:rsid w:val="004C42BD"/>
    <w:rsid w:val="004C456B"/>
    <w:rsid w:val="004C4D5F"/>
    <w:rsid w:val="004D2F39"/>
    <w:rsid w:val="004D35E8"/>
    <w:rsid w:val="004D44A4"/>
    <w:rsid w:val="004D562C"/>
    <w:rsid w:val="004D5C45"/>
    <w:rsid w:val="004D614C"/>
    <w:rsid w:val="004E03D7"/>
    <w:rsid w:val="004E06B2"/>
    <w:rsid w:val="004E1DAE"/>
    <w:rsid w:val="004E20F4"/>
    <w:rsid w:val="004E2205"/>
    <w:rsid w:val="004E25A6"/>
    <w:rsid w:val="004E2C1F"/>
    <w:rsid w:val="004E3DE0"/>
    <w:rsid w:val="004E40D8"/>
    <w:rsid w:val="004E4667"/>
    <w:rsid w:val="004E4F9B"/>
    <w:rsid w:val="004E5909"/>
    <w:rsid w:val="004E5B6A"/>
    <w:rsid w:val="004E5FA5"/>
    <w:rsid w:val="004E7163"/>
    <w:rsid w:val="004E74E7"/>
    <w:rsid w:val="004E7C46"/>
    <w:rsid w:val="004F0813"/>
    <w:rsid w:val="004F0FDD"/>
    <w:rsid w:val="004F1282"/>
    <w:rsid w:val="004F245C"/>
    <w:rsid w:val="004F269A"/>
    <w:rsid w:val="004F313F"/>
    <w:rsid w:val="004F3357"/>
    <w:rsid w:val="004F53A6"/>
    <w:rsid w:val="004F53C2"/>
    <w:rsid w:val="004F5759"/>
    <w:rsid w:val="004F63AE"/>
    <w:rsid w:val="004F6475"/>
    <w:rsid w:val="004F7405"/>
    <w:rsid w:val="0050001C"/>
    <w:rsid w:val="00500B36"/>
    <w:rsid w:val="00501CC5"/>
    <w:rsid w:val="005023E7"/>
    <w:rsid w:val="00502AEA"/>
    <w:rsid w:val="00504052"/>
    <w:rsid w:val="005047DF"/>
    <w:rsid w:val="00504B6D"/>
    <w:rsid w:val="00504BBB"/>
    <w:rsid w:val="0050502C"/>
    <w:rsid w:val="00505D83"/>
    <w:rsid w:val="005064EA"/>
    <w:rsid w:val="005066B5"/>
    <w:rsid w:val="00506AB7"/>
    <w:rsid w:val="00506BB7"/>
    <w:rsid w:val="0050743C"/>
    <w:rsid w:val="0051125B"/>
    <w:rsid w:val="005114A5"/>
    <w:rsid w:val="005115C2"/>
    <w:rsid w:val="00513E14"/>
    <w:rsid w:val="00514012"/>
    <w:rsid w:val="00514017"/>
    <w:rsid w:val="005154C1"/>
    <w:rsid w:val="005157CF"/>
    <w:rsid w:val="005162AB"/>
    <w:rsid w:val="005165DF"/>
    <w:rsid w:val="00516A72"/>
    <w:rsid w:val="00517309"/>
    <w:rsid w:val="00517954"/>
    <w:rsid w:val="00517AFF"/>
    <w:rsid w:val="005204E2"/>
    <w:rsid w:val="00520765"/>
    <w:rsid w:val="005208A4"/>
    <w:rsid w:val="00521122"/>
    <w:rsid w:val="00521C6D"/>
    <w:rsid w:val="005226CA"/>
    <w:rsid w:val="0052351B"/>
    <w:rsid w:val="00524A99"/>
    <w:rsid w:val="00524E52"/>
    <w:rsid w:val="00527BAB"/>
    <w:rsid w:val="00527FE1"/>
    <w:rsid w:val="00533001"/>
    <w:rsid w:val="0053350F"/>
    <w:rsid w:val="00533C7F"/>
    <w:rsid w:val="005354DD"/>
    <w:rsid w:val="005361D2"/>
    <w:rsid w:val="005365E5"/>
    <w:rsid w:val="005376D6"/>
    <w:rsid w:val="00537728"/>
    <w:rsid w:val="005377E0"/>
    <w:rsid w:val="00540B9A"/>
    <w:rsid w:val="00541146"/>
    <w:rsid w:val="00542814"/>
    <w:rsid w:val="0054345C"/>
    <w:rsid w:val="00543856"/>
    <w:rsid w:val="00543884"/>
    <w:rsid w:val="00544487"/>
    <w:rsid w:val="005445F0"/>
    <w:rsid w:val="00545CC2"/>
    <w:rsid w:val="00546238"/>
    <w:rsid w:val="005469A7"/>
    <w:rsid w:val="00546F93"/>
    <w:rsid w:val="00547135"/>
    <w:rsid w:val="00547818"/>
    <w:rsid w:val="00547B45"/>
    <w:rsid w:val="00547D3F"/>
    <w:rsid w:val="00547EEE"/>
    <w:rsid w:val="00550B8B"/>
    <w:rsid w:val="00550C0D"/>
    <w:rsid w:val="0055187D"/>
    <w:rsid w:val="00551A9D"/>
    <w:rsid w:val="00552271"/>
    <w:rsid w:val="00552A11"/>
    <w:rsid w:val="00553C5F"/>
    <w:rsid w:val="005546CC"/>
    <w:rsid w:val="00554A0B"/>
    <w:rsid w:val="00555419"/>
    <w:rsid w:val="00555CC7"/>
    <w:rsid w:val="005577D9"/>
    <w:rsid w:val="0055796C"/>
    <w:rsid w:val="00557B5B"/>
    <w:rsid w:val="00560550"/>
    <w:rsid w:val="005606A0"/>
    <w:rsid w:val="005612A0"/>
    <w:rsid w:val="00561955"/>
    <w:rsid w:val="00561DA8"/>
    <w:rsid w:val="005621A2"/>
    <w:rsid w:val="00562C82"/>
    <w:rsid w:val="00562CB2"/>
    <w:rsid w:val="0056435B"/>
    <w:rsid w:val="00564759"/>
    <w:rsid w:val="0056650D"/>
    <w:rsid w:val="00566F77"/>
    <w:rsid w:val="005672B4"/>
    <w:rsid w:val="00567B1E"/>
    <w:rsid w:val="00570756"/>
    <w:rsid w:val="00571329"/>
    <w:rsid w:val="00571D6D"/>
    <w:rsid w:val="005728AC"/>
    <w:rsid w:val="00572F46"/>
    <w:rsid w:val="00574A02"/>
    <w:rsid w:val="005758AB"/>
    <w:rsid w:val="00576151"/>
    <w:rsid w:val="005761D8"/>
    <w:rsid w:val="00576363"/>
    <w:rsid w:val="0057638B"/>
    <w:rsid w:val="00576937"/>
    <w:rsid w:val="00576A54"/>
    <w:rsid w:val="00577DC6"/>
    <w:rsid w:val="00580137"/>
    <w:rsid w:val="0058070F"/>
    <w:rsid w:val="005809C0"/>
    <w:rsid w:val="0058128D"/>
    <w:rsid w:val="005812B6"/>
    <w:rsid w:val="00581311"/>
    <w:rsid w:val="005816F4"/>
    <w:rsid w:val="00581BDF"/>
    <w:rsid w:val="00583089"/>
    <w:rsid w:val="00583257"/>
    <w:rsid w:val="00583CBA"/>
    <w:rsid w:val="00585174"/>
    <w:rsid w:val="0058593E"/>
    <w:rsid w:val="00585D3F"/>
    <w:rsid w:val="00585D8A"/>
    <w:rsid w:val="005862A6"/>
    <w:rsid w:val="00587B48"/>
    <w:rsid w:val="0059038C"/>
    <w:rsid w:val="00591192"/>
    <w:rsid w:val="00591518"/>
    <w:rsid w:val="00591C17"/>
    <w:rsid w:val="005921E2"/>
    <w:rsid w:val="0059241B"/>
    <w:rsid w:val="0059266C"/>
    <w:rsid w:val="00593258"/>
    <w:rsid w:val="00594E87"/>
    <w:rsid w:val="005950E5"/>
    <w:rsid w:val="00595F70"/>
    <w:rsid w:val="00596011"/>
    <w:rsid w:val="00596797"/>
    <w:rsid w:val="00596B0F"/>
    <w:rsid w:val="00597309"/>
    <w:rsid w:val="005A0AD3"/>
    <w:rsid w:val="005A0B18"/>
    <w:rsid w:val="005A0F60"/>
    <w:rsid w:val="005A1505"/>
    <w:rsid w:val="005A1772"/>
    <w:rsid w:val="005A21C4"/>
    <w:rsid w:val="005A483F"/>
    <w:rsid w:val="005A4CD3"/>
    <w:rsid w:val="005A5C7C"/>
    <w:rsid w:val="005A6B68"/>
    <w:rsid w:val="005A6F7C"/>
    <w:rsid w:val="005B01BA"/>
    <w:rsid w:val="005B0A9B"/>
    <w:rsid w:val="005B132F"/>
    <w:rsid w:val="005B15EB"/>
    <w:rsid w:val="005B18AB"/>
    <w:rsid w:val="005B18B2"/>
    <w:rsid w:val="005B1B45"/>
    <w:rsid w:val="005B227F"/>
    <w:rsid w:val="005B2A3D"/>
    <w:rsid w:val="005B38E7"/>
    <w:rsid w:val="005B40A6"/>
    <w:rsid w:val="005B4233"/>
    <w:rsid w:val="005B50E1"/>
    <w:rsid w:val="005B5579"/>
    <w:rsid w:val="005B5F74"/>
    <w:rsid w:val="005C0180"/>
    <w:rsid w:val="005C01B7"/>
    <w:rsid w:val="005C1C6D"/>
    <w:rsid w:val="005C2AC4"/>
    <w:rsid w:val="005C3E9B"/>
    <w:rsid w:val="005C40F2"/>
    <w:rsid w:val="005C437E"/>
    <w:rsid w:val="005C4B79"/>
    <w:rsid w:val="005C4D70"/>
    <w:rsid w:val="005C6201"/>
    <w:rsid w:val="005C6582"/>
    <w:rsid w:val="005C6739"/>
    <w:rsid w:val="005C6802"/>
    <w:rsid w:val="005C7DEE"/>
    <w:rsid w:val="005D056F"/>
    <w:rsid w:val="005D1049"/>
    <w:rsid w:val="005D1ACC"/>
    <w:rsid w:val="005D1D93"/>
    <w:rsid w:val="005D1F28"/>
    <w:rsid w:val="005D2A79"/>
    <w:rsid w:val="005D3004"/>
    <w:rsid w:val="005D31AD"/>
    <w:rsid w:val="005D3D39"/>
    <w:rsid w:val="005D4C91"/>
    <w:rsid w:val="005D787E"/>
    <w:rsid w:val="005D7C39"/>
    <w:rsid w:val="005E07C2"/>
    <w:rsid w:val="005E13DF"/>
    <w:rsid w:val="005E1E4A"/>
    <w:rsid w:val="005E1F73"/>
    <w:rsid w:val="005E271A"/>
    <w:rsid w:val="005E3735"/>
    <w:rsid w:val="005E387D"/>
    <w:rsid w:val="005E3B75"/>
    <w:rsid w:val="005E3D15"/>
    <w:rsid w:val="005E4C65"/>
    <w:rsid w:val="005F0F81"/>
    <w:rsid w:val="005F154D"/>
    <w:rsid w:val="005F237A"/>
    <w:rsid w:val="005F2482"/>
    <w:rsid w:val="005F24E4"/>
    <w:rsid w:val="005F2946"/>
    <w:rsid w:val="005F2B8A"/>
    <w:rsid w:val="005F34C6"/>
    <w:rsid w:val="005F3C68"/>
    <w:rsid w:val="005F4318"/>
    <w:rsid w:val="005F4DE4"/>
    <w:rsid w:val="005F4F8E"/>
    <w:rsid w:val="005F54A4"/>
    <w:rsid w:val="005F58B3"/>
    <w:rsid w:val="005F59E4"/>
    <w:rsid w:val="005F71D1"/>
    <w:rsid w:val="0060035F"/>
    <w:rsid w:val="006016E9"/>
    <w:rsid w:val="006021C6"/>
    <w:rsid w:val="00602F36"/>
    <w:rsid w:val="00603922"/>
    <w:rsid w:val="006040B7"/>
    <w:rsid w:val="00607205"/>
    <w:rsid w:val="006074E4"/>
    <w:rsid w:val="006103C7"/>
    <w:rsid w:val="006108B0"/>
    <w:rsid w:val="006112D1"/>
    <w:rsid w:val="006112FA"/>
    <w:rsid w:val="006114F4"/>
    <w:rsid w:val="0061173D"/>
    <w:rsid w:val="00611E4B"/>
    <w:rsid w:val="00612052"/>
    <w:rsid w:val="0061221F"/>
    <w:rsid w:val="00612481"/>
    <w:rsid w:val="006148CA"/>
    <w:rsid w:val="0061497A"/>
    <w:rsid w:val="006177F8"/>
    <w:rsid w:val="00620205"/>
    <w:rsid w:val="0062186C"/>
    <w:rsid w:val="00621E05"/>
    <w:rsid w:val="00622D42"/>
    <w:rsid w:val="00622F63"/>
    <w:rsid w:val="00623402"/>
    <w:rsid w:val="00624B34"/>
    <w:rsid w:val="00625B93"/>
    <w:rsid w:val="0062672C"/>
    <w:rsid w:val="00626AD6"/>
    <w:rsid w:val="00627232"/>
    <w:rsid w:val="006273B6"/>
    <w:rsid w:val="006279FD"/>
    <w:rsid w:val="0063050F"/>
    <w:rsid w:val="006308E9"/>
    <w:rsid w:val="00630E3C"/>
    <w:rsid w:val="00630FFD"/>
    <w:rsid w:val="00631628"/>
    <w:rsid w:val="00631E95"/>
    <w:rsid w:val="006325B7"/>
    <w:rsid w:val="00633563"/>
    <w:rsid w:val="00633973"/>
    <w:rsid w:val="00633CA5"/>
    <w:rsid w:val="00636271"/>
    <w:rsid w:val="00637180"/>
    <w:rsid w:val="00637219"/>
    <w:rsid w:val="006379D3"/>
    <w:rsid w:val="00640E72"/>
    <w:rsid w:val="0064221A"/>
    <w:rsid w:val="006423BD"/>
    <w:rsid w:val="00642CC8"/>
    <w:rsid w:val="006436AD"/>
    <w:rsid w:val="006437E8"/>
    <w:rsid w:val="00643C0C"/>
    <w:rsid w:val="00643C5A"/>
    <w:rsid w:val="00645378"/>
    <w:rsid w:val="00645B71"/>
    <w:rsid w:val="00647BC5"/>
    <w:rsid w:val="006502FA"/>
    <w:rsid w:val="0065099E"/>
    <w:rsid w:val="00650D60"/>
    <w:rsid w:val="0065278C"/>
    <w:rsid w:val="00653D8D"/>
    <w:rsid w:val="0065465A"/>
    <w:rsid w:val="00655A79"/>
    <w:rsid w:val="00655AC6"/>
    <w:rsid w:val="006561DB"/>
    <w:rsid w:val="0065655C"/>
    <w:rsid w:val="00656A65"/>
    <w:rsid w:val="00657334"/>
    <w:rsid w:val="0065753B"/>
    <w:rsid w:val="00661BD1"/>
    <w:rsid w:val="00661E33"/>
    <w:rsid w:val="0066244B"/>
    <w:rsid w:val="00662BC9"/>
    <w:rsid w:val="00663B4C"/>
    <w:rsid w:val="0066419A"/>
    <w:rsid w:val="0066477D"/>
    <w:rsid w:val="00664AA1"/>
    <w:rsid w:val="00666385"/>
    <w:rsid w:val="006666A4"/>
    <w:rsid w:val="006673AD"/>
    <w:rsid w:val="00667B22"/>
    <w:rsid w:val="006710C1"/>
    <w:rsid w:val="006715D0"/>
    <w:rsid w:val="00671E30"/>
    <w:rsid w:val="00671E5F"/>
    <w:rsid w:val="00672489"/>
    <w:rsid w:val="0067304E"/>
    <w:rsid w:val="006736DB"/>
    <w:rsid w:val="006745E5"/>
    <w:rsid w:val="00674BDF"/>
    <w:rsid w:val="00674C01"/>
    <w:rsid w:val="0067611E"/>
    <w:rsid w:val="00676A08"/>
    <w:rsid w:val="00677A0E"/>
    <w:rsid w:val="0068011F"/>
    <w:rsid w:val="00681181"/>
    <w:rsid w:val="00682099"/>
    <w:rsid w:val="00682157"/>
    <w:rsid w:val="006828E0"/>
    <w:rsid w:val="006848C0"/>
    <w:rsid w:val="006849ED"/>
    <w:rsid w:val="00685A22"/>
    <w:rsid w:val="006862B3"/>
    <w:rsid w:val="00686648"/>
    <w:rsid w:val="00687085"/>
    <w:rsid w:val="00690870"/>
    <w:rsid w:val="00690B52"/>
    <w:rsid w:val="0069209D"/>
    <w:rsid w:val="00692DDD"/>
    <w:rsid w:val="0069305B"/>
    <w:rsid w:val="0069376A"/>
    <w:rsid w:val="00693EEF"/>
    <w:rsid w:val="006945B0"/>
    <w:rsid w:val="00694632"/>
    <w:rsid w:val="00694D8A"/>
    <w:rsid w:val="00694F3D"/>
    <w:rsid w:val="00695884"/>
    <w:rsid w:val="00697634"/>
    <w:rsid w:val="006976BE"/>
    <w:rsid w:val="00697716"/>
    <w:rsid w:val="00697AC9"/>
    <w:rsid w:val="006A0312"/>
    <w:rsid w:val="006A148D"/>
    <w:rsid w:val="006A18B6"/>
    <w:rsid w:val="006A18E6"/>
    <w:rsid w:val="006A1EDC"/>
    <w:rsid w:val="006A2396"/>
    <w:rsid w:val="006A2823"/>
    <w:rsid w:val="006A4342"/>
    <w:rsid w:val="006A4639"/>
    <w:rsid w:val="006A581A"/>
    <w:rsid w:val="006A5B0F"/>
    <w:rsid w:val="006A5ED6"/>
    <w:rsid w:val="006A5FF3"/>
    <w:rsid w:val="006A67CB"/>
    <w:rsid w:val="006A685F"/>
    <w:rsid w:val="006A788C"/>
    <w:rsid w:val="006A7D04"/>
    <w:rsid w:val="006B02E8"/>
    <w:rsid w:val="006B0921"/>
    <w:rsid w:val="006B0AB4"/>
    <w:rsid w:val="006B20EE"/>
    <w:rsid w:val="006B2645"/>
    <w:rsid w:val="006B3266"/>
    <w:rsid w:val="006B3F39"/>
    <w:rsid w:val="006B4826"/>
    <w:rsid w:val="006B4BF0"/>
    <w:rsid w:val="006B5B8D"/>
    <w:rsid w:val="006B5CFF"/>
    <w:rsid w:val="006B6536"/>
    <w:rsid w:val="006B6A83"/>
    <w:rsid w:val="006B6B8D"/>
    <w:rsid w:val="006B761E"/>
    <w:rsid w:val="006C1614"/>
    <w:rsid w:val="006C1ACF"/>
    <w:rsid w:val="006C1D8C"/>
    <w:rsid w:val="006C25F7"/>
    <w:rsid w:val="006C2BB8"/>
    <w:rsid w:val="006C38F7"/>
    <w:rsid w:val="006C3A2E"/>
    <w:rsid w:val="006C3D88"/>
    <w:rsid w:val="006C3FE2"/>
    <w:rsid w:val="006C4296"/>
    <w:rsid w:val="006C45F8"/>
    <w:rsid w:val="006C4986"/>
    <w:rsid w:val="006C51D5"/>
    <w:rsid w:val="006C5492"/>
    <w:rsid w:val="006C7B4F"/>
    <w:rsid w:val="006D051E"/>
    <w:rsid w:val="006D15C8"/>
    <w:rsid w:val="006D1AE4"/>
    <w:rsid w:val="006D1E49"/>
    <w:rsid w:val="006D2553"/>
    <w:rsid w:val="006D41B9"/>
    <w:rsid w:val="006D432E"/>
    <w:rsid w:val="006D5B0E"/>
    <w:rsid w:val="006D608C"/>
    <w:rsid w:val="006D7870"/>
    <w:rsid w:val="006E1CF4"/>
    <w:rsid w:val="006E1FF4"/>
    <w:rsid w:val="006E24D4"/>
    <w:rsid w:val="006E2795"/>
    <w:rsid w:val="006E4894"/>
    <w:rsid w:val="006E4BB3"/>
    <w:rsid w:val="006E4E23"/>
    <w:rsid w:val="006E6044"/>
    <w:rsid w:val="006F0AFA"/>
    <w:rsid w:val="006F1B52"/>
    <w:rsid w:val="006F1D90"/>
    <w:rsid w:val="006F27A6"/>
    <w:rsid w:val="006F39A4"/>
    <w:rsid w:val="006F42DE"/>
    <w:rsid w:val="006F509B"/>
    <w:rsid w:val="006F5408"/>
    <w:rsid w:val="006F56BD"/>
    <w:rsid w:val="006F5A9C"/>
    <w:rsid w:val="006F5DF2"/>
    <w:rsid w:val="006F6CAD"/>
    <w:rsid w:val="007001FB"/>
    <w:rsid w:val="007016A4"/>
    <w:rsid w:val="007018A1"/>
    <w:rsid w:val="007021F3"/>
    <w:rsid w:val="00702C82"/>
    <w:rsid w:val="00703F64"/>
    <w:rsid w:val="00704084"/>
    <w:rsid w:val="00704636"/>
    <w:rsid w:val="00705509"/>
    <w:rsid w:val="00705B33"/>
    <w:rsid w:val="0070615E"/>
    <w:rsid w:val="00706C4B"/>
    <w:rsid w:val="007079BE"/>
    <w:rsid w:val="00707B53"/>
    <w:rsid w:val="00707D50"/>
    <w:rsid w:val="00710A58"/>
    <w:rsid w:val="00710BDE"/>
    <w:rsid w:val="007116AC"/>
    <w:rsid w:val="0071189C"/>
    <w:rsid w:val="007124A2"/>
    <w:rsid w:val="007129C2"/>
    <w:rsid w:val="00712F50"/>
    <w:rsid w:val="00712FE3"/>
    <w:rsid w:val="007133ED"/>
    <w:rsid w:val="0071436D"/>
    <w:rsid w:val="00715954"/>
    <w:rsid w:val="00715960"/>
    <w:rsid w:val="007170C6"/>
    <w:rsid w:val="00720399"/>
    <w:rsid w:val="00720B61"/>
    <w:rsid w:val="0072136C"/>
    <w:rsid w:val="007220C1"/>
    <w:rsid w:val="00722B04"/>
    <w:rsid w:val="007230D6"/>
    <w:rsid w:val="0072387D"/>
    <w:rsid w:val="00723E4B"/>
    <w:rsid w:val="00724553"/>
    <w:rsid w:val="0072469D"/>
    <w:rsid w:val="00724ED7"/>
    <w:rsid w:val="0072563F"/>
    <w:rsid w:val="007259B3"/>
    <w:rsid w:val="0072652C"/>
    <w:rsid w:val="007267CE"/>
    <w:rsid w:val="0073127E"/>
    <w:rsid w:val="00732495"/>
    <w:rsid w:val="00732CFA"/>
    <w:rsid w:val="00732E2C"/>
    <w:rsid w:val="00733398"/>
    <w:rsid w:val="00733B80"/>
    <w:rsid w:val="00733C12"/>
    <w:rsid w:val="00734468"/>
    <w:rsid w:val="007349B6"/>
    <w:rsid w:val="00734A64"/>
    <w:rsid w:val="007358B5"/>
    <w:rsid w:val="00735ADA"/>
    <w:rsid w:val="00735ECF"/>
    <w:rsid w:val="007368A2"/>
    <w:rsid w:val="00736DE9"/>
    <w:rsid w:val="0073728D"/>
    <w:rsid w:val="007376EA"/>
    <w:rsid w:val="00737F9E"/>
    <w:rsid w:val="00740066"/>
    <w:rsid w:val="0074084B"/>
    <w:rsid w:val="00740E8F"/>
    <w:rsid w:val="00740FA3"/>
    <w:rsid w:val="0074184A"/>
    <w:rsid w:val="00741F20"/>
    <w:rsid w:val="00742439"/>
    <w:rsid w:val="00742860"/>
    <w:rsid w:val="00743219"/>
    <w:rsid w:val="00743A10"/>
    <w:rsid w:val="007448A7"/>
    <w:rsid w:val="00745D46"/>
    <w:rsid w:val="00745E3F"/>
    <w:rsid w:val="00745EE2"/>
    <w:rsid w:val="007463F5"/>
    <w:rsid w:val="007465A9"/>
    <w:rsid w:val="00746865"/>
    <w:rsid w:val="0074687C"/>
    <w:rsid w:val="0074743C"/>
    <w:rsid w:val="00747DB9"/>
    <w:rsid w:val="00750932"/>
    <w:rsid w:val="00750E03"/>
    <w:rsid w:val="0075112B"/>
    <w:rsid w:val="0075167B"/>
    <w:rsid w:val="00751698"/>
    <w:rsid w:val="00752D0B"/>
    <w:rsid w:val="007532BC"/>
    <w:rsid w:val="007532C0"/>
    <w:rsid w:val="00753E0F"/>
    <w:rsid w:val="00753F6E"/>
    <w:rsid w:val="00754A0D"/>
    <w:rsid w:val="0075505C"/>
    <w:rsid w:val="007552C1"/>
    <w:rsid w:val="007562E2"/>
    <w:rsid w:val="007575C8"/>
    <w:rsid w:val="007577C2"/>
    <w:rsid w:val="007600C3"/>
    <w:rsid w:val="007607CB"/>
    <w:rsid w:val="00760A8A"/>
    <w:rsid w:val="00762F2B"/>
    <w:rsid w:val="0076328E"/>
    <w:rsid w:val="00763FBF"/>
    <w:rsid w:val="00764253"/>
    <w:rsid w:val="0076561E"/>
    <w:rsid w:val="0076566A"/>
    <w:rsid w:val="00765C86"/>
    <w:rsid w:val="007661B0"/>
    <w:rsid w:val="0077051C"/>
    <w:rsid w:val="007713CA"/>
    <w:rsid w:val="00771B0F"/>
    <w:rsid w:val="00772951"/>
    <w:rsid w:val="00773353"/>
    <w:rsid w:val="00773642"/>
    <w:rsid w:val="00774E4B"/>
    <w:rsid w:val="00775197"/>
    <w:rsid w:val="007753E8"/>
    <w:rsid w:val="0077552E"/>
    <w:rsid w:val="00777069"/>
    <w:rsid w:val="00777D77"/>
    <w:rsid w:val="00780A45"/>
    <w:rsid w:val="00781F23"/>
    <w:rsid w:val="00783842"/>
    <w:rsid w:val="00783C74"/>
    <w:rsid w:val="007842E3"/>
    <w:rsid w:val="00785419"/>
    <w:rsid w:val="0078691D"/>
    <w:rsid w:val="007876E3"/>
    <w:rsid w:val="00787A0B"/>
    <w:rsid w:val="00787BAC"/>
    <w:rsid w:val="0079234A"/>
    <w:rsid w:val="0079241E"/>
    <w:rsid w:val="007928AD"/>
    <w:rsid w:val="00792BC8"/>
    <w:rsid w:val="00793116"/>
    <w:rsid w:val="0079320D"/>
    <w:rsid w:val="007936F1"/>
    <w:rsid w:val="007938ED"/>
    <w:rsid w:val="007944EF"/>
    <w:rsid w:val="00794724"/>
    <w:rsid w:val="00795658"/>
    <w:rsid w:val="00796916"/>
    <w:rsid w:val="00796A1C"/>
    <w:rsid w:val="00796D89"/>
    <w:rsid w:val="007A0174"/>
    <w:rsid w:val="007A0BB2"/>
    <w:rsid w:val="007A1011"/>
    <w:rsid w:val="007A304C"/>
    <w:rsid w:val="007A45AF"/>
    <w:rsid w:val="007A5131"/>
    <w:rsid w:val="007A59D3"/>
    <w:rsid w:val="007A5B0D"/>
    <w:rsid w:val="007A6FF3"/>
    <w:rsid w:val="007A73D9"/>
    <w:rsid w:val="007A7727"/>
    <w:rsid w:val="007B163A"/>
    <w:rsid w:val="007B2F04"/>
    <w:rsid w:val="007B4019"/>
    <w:rsid w:val="007B4843"/>
    <w:rsid w:val="007B66A0"/>
    <w:rsid w:val="007B6E4E"/>
    <w:rsid w:val="007B71E9"/>
    <w:rsid w:val="007B7E7E"/>
    <w:rsid w:val="007B7FBF"/>
    <w:rsid w:val="007C1702"/>
    <w:rsid w:val="007C1A54"/>
    <w:rsid w:val="007C21B4"/>
    <w:rsid w:val="007C2E62"/>
    <w:rsid w:val="007C3260"/>
    <w:rsid w:val="007C3AFC"/>
    <w:rsid w:val="007C3B85"/>
    <w:rsid w:val="007C41D1"/>
    <w:rsid w:val="007C48C7"/>
    <w:rsid w:val="007C51D1"/>
    <w:rsid w:val="007C5BE3"/>
    <w:rsid w:val="007C69D6"/>
    <w:rsid w:val="007D0104"/>
    <w:rsid w:val="007D0C16"/>
    <w:rsid w:val="007D1716"/>
    <w:rsid w:val="007D23B7"/>
    <w:rsid w:val="007D296F"/>
    <w:rsid w:val="007D2CEB"/>
    <w:rsid w:val="007D33F9"/>
    <w:rsid w:val="007D3591"/>
    <w:rsid w:val="007D49A6"/>
    <w:rsid w:val="007D5189"/>
    <w:rsid w:val="007D5384"/>
    <w:rsid w:val="007D5A3D"/>
    <w:rsid w:val="007D5AF5"/>
    <w:rsid w:val="007D6683"/>
    <w:rsid w:val="007D6740"/>
    <w:rsid w:val="007D6B0A"/>
    <w:rsid w:val="007D78D7"/>
    <w:rsid w:val="007D7A89"/>
    <w:rsid w:val="007E0870"/>
    <w:rsid w:val="007E10CE"/>
    <w:rsid w:val="007E1D0A"/>
    <w:rsid w:val="007E1E52"/>
    <w:rsid w:val="007E2CE6"/>
    <w:rsid w:val="007E49F3"/>
    <w:rsid w:val="007E516F"/>
    <w:rsid w:val="007E524C"/>
    <w:rsid w:val="007E6167"/>
    <w:rsid w:val="007E627D"/>
    <w:rsid w:val="007E6B3B"/>
    <w:rsid w:val="007E6F85"/>
    <w:rsid w:val="007E7002"/>
    <w:rsid w:val="007E74C5"/>
    <w:rsid w:val="007F0E34"/>
    <w:rsid w:val="007F17EC"/>
    <w:rsid w:val="007F21A9"/>
    <w:rsid w:val="007F32C6"/>
    <w:rsid w:val="007F33C8"/>
    <w:rsid w:val="007F40B6"/>
    <w:rsid w:val="007F4190"/>
    <w:rsid w:val="007F4829"/>
    <w:rsid w:val="007F48D0"/>
    <w:rsid w:val="007F4A03"/>
    <w:rsid w:val="007F6368"/>
    <w:rsid w:val="007F7850"/>
    <w:rsid w:val="007F7919"/>
    <w:rsid w:val="007F7B7F"/>
    <w:rsid w:val="00801582"/>
    <w:rsid w:val="00801B2D"/>
    <w:rsid w:val="008020BB"/>
    <w:rsid w:val="00802184"/>
    <w:rsid w:val="008021D3"/>
    <w:rsid w:val="008027BB"/>
    <w:rsid w:val="0080392D"/>
    <w:rsid w:val="0080423A"/>
    <w:rsid w:val="008043DE"/>
    <w:rsid w:val="0080441F"/>
    <w:rsid w:val="0080498D"/>
    <w:rsid w:val="00805791"/>
    <w:rsid w:val="0080606A"/>
    <w:rsid w:val="008065F0"/>
    <w:rsid w:val="00806B38"/>
    <w:rsid w:val="008078C7"/>
    <w:rsid w:val="00807C2F"/>
    <w:rsid w:val="0081023B"/>
    <w:rsid w:val="0081059F"/>
    <w:rsid w:val="00810B67"/>
    <w:rsid w:val="00810CD5"/>
    <w:rsid w:val="00811C77"/>
    <w:rsid w:val="0081219E"/>
    <w:rsid w:val="008129C6"/>
    <w:rsid w:val="00812B46"/>
    <w:rsid w:val="00812E0A"/>
    <w:rsid w:val="0081352B"/>
    <w:rsid w:val="00813CF2"/>
    <w:rsid w:val="008140C1"/>
    <w:rsid w:val="00814514"/>
    <w:rsid w:val="00815D74"/>
    <w:rsid w:val="00816674"/>
    <w:rsid w:val="00816AAE"/>
    <w:rsid w:val="008178E6"/>
    <w:rsid w:val="00817A86"/>
    <w:rsid w:val="008204A8"/>
    <w:rsid w:val="008216A7"/>
    <w:rsid w:val="008237BF"/>
    <w:rsid w:val="008237E2"/>
    <w:rsid w:val="008255E4"/>
    <w:rsid w:val="0082585B"/>
    <w:rsid w:val="00825A35"/>
    <w:rsid w:val="00826028"/>
    <w:rsid w:val="00826382"/>
    <w:rsid w:val="0082763C"/>
    <w:rsid w:val="00827BAD"/>
    <w:rsid w:val="00830639"/>
    <w:rsid w:val="008309C9"/>
    <w:rsid w:val="00830BC7"/>
    <w:rsid w:val="00830BE9"/>
    <w:rsid w:val="00831BE8"/>
    <w:rsid w:val="00832445"/>
    <w:rsid w:val="008327A9"/>
    <w:rsid w:val="008335E3"/>
    <w:rsid w:val="00833A76"/>
    <w:rsid w:val="00833ECF"/>
    <w:rsid w:val="00834DCB"/>
    <w:rsid w:val="008361E5"/>
    <w:rsid w:val="0083632C"/>
    <w:rsid w:val="00836673"/>
    <w:rsid w:val="00836B5D"/>
    <w:rsid w:val="00836DA6"/>
    <w:rsid w:val="00837B6A"/>
    <w:rsid w:val="00837F83"/>
    <w:rsid w:val="00840468"/>
    <w:rsid w:val="00840C01"/>
    <w:rsid w:val="00840C42"/>
    <w:rsid w:val="0084167C"/>
    <w:rsid w:val="0084281F"/>
    <w:rsid w:val="00843666"/>
    <w:rsid w:val="00843F61"/>
    <w:rsid w:val="00843FAD"/>
    <w:rsid w:val="00844C37"/>
    <w:rsid w:val="00844F10"/>
    <w:rsid w:val="00844F7F"/>
    <w:rsid w:val="008450CC"/>
    <w:rsid w:val="00845186"/>
    <w:rsid w:val="00845BBC"/>
    <w:rsid w:val="00847113"/>
    <w:rsid w:val="008473D5"/>
    <w:rsid w:val="00847F2B"/>
    <w:rsid w:val="00850048"/>
    <w:rsid w:val="00850C4C"/>
    <w:rsid w:val="008513D8"/>
    <w:rsid w:val="0085175F"/>
    <w:rsid w:val="00852810"/>
    <w:rsid w:val="00852AA8"/>
    <w:rsid w:val="00852C25"/>
    <w:rsid w:val="00852DC5"/>
    <w:rsid w:val="00855289"/>
    <w:rsid w:val="00855911"/>
    <w:rsid w:val="008559FC"/>
    <w:rsid w:val="00855D43"/>
    <w:rsid w:val="008561D7"/>
    <w:rsid w:val="00856626"/>
    <w:rsid w:val="00856A88"/>
    <w:rsid w:val="00856E24"/>
    <w:rsid w:val="00857AF4"/>
    <w:rsid w:val="00857DB3"/>
    <w:rsid w:val="00857EE0"/>
    <w:rsid w:val="008605A4"/>
    <w:rsid w:val="008607B4"/>
    <w:rsid w:val="00860B22"/>
    <w:rsid w:val="00861074"/>
    <w:rsid w:val="00862616"/>
    <w:rsid w:val="008636FC"/>
    <w:rsid w:val="00863DB6"/>
    <w:rsid w:val="00864784"/>
    <w:rsid w:val="00864BC4"/>
    <w:rsid w:val="00865739"/>
    <w:rsid w:val="008659A4"/>
    <w:rsid w:val="008659F0"/>
    <w:rsid w:val="00865A2E"/>
    <w:rsid w:val="00865B86"/>
    <w:rsid w:val="00865FE1"/>
    <w:rsid w:val="0086695B"/>
    <w:rsid w:val="008669E1"/>
    <w:rsid w:val="0086739D"/>
    <w:rsid w:val="00867712"/>
    <w:rsid w:val="008701B3"/>
    <w:rsid w:val="00870368"/>
    <w:rsid w:val="00871164"/>
    <w:rsid w:val="00871CA1"/>
    <w:rsid w:val="00871F2A"/>
    <w:rsid w:val="00872A8B"/>
    <w:rsid w:val="00872B08"/>
    <w:rsid w:val="00873BC6"/>
    <w:rsid w:val="0087459C"/>
    <w:rsid w:val="00874912"/>
    <w:rsid w:val="00874FB1"/>
    <w:rsid w:val="00875060"/>
    <w:rsid w:val="00876CC5"/>
    <w:rsid w:val="00876FD1"/>
    <w:rsid w:val="008771F4"/>
    <w:rsid w:val="00877DA4"/>
    <w:rsid w:val="008802AE"/>
    <w:rsid w:val="00880902"/>
    <w:rsid w:val="008813B8"/>
    <w:rsid w:val="008815DA"/>
    <w:rsid w:val="00881658"/>
    <w:rsid w:val="008817BD"/>
    <w:rsid w:val="00881CAD"/>
    <w:rsid w:val="00881E3C"/>
    <w:rsid w:val="008826C2"/>
    <w:rsid w:val="00883CA5"/>
    <w:rsid w:val="008856FF"/>
    <w:rsid w:val="008861F3"/>
    <w:rsid w:val="0088637D"/>
    <w:rsid w:val="00887250"/>
    <w:rsid w:val="0088740E"/>
    <w:rsid w:val="00890D7B"/>
    <w:rsid w:val="00891B63"/>
    <w:rsid w:val="008921B4"/>
    <w:rsid w:val="00892514"/>
    <w:rsid w:val="00892A4E"/>
    <w:rsid w:val="00892DD7"/>
    <w:rsid w:val="00893717"/>
    <w:rsid w:val="00893B8D"/>
    <w:rsid w:val="00893D05"/>
    <w:rsid w:val="008945B9"/>
    <w:rsid w:val="00894A27"/>
    <w:rsid w:val="00895923"/>
    <w:rsid w:val="0089636A"/>
    <w:rsid w:val="00896A4C"/>
    <w:rsid w:val="00896EBA"/>
    <w:rsid w:val="0089718D"/>
    <w:rsid w:val="0089797F"/>
    <w:rsid w:val="008979A7"/>
    <w:rsid w:val="00897C32"/>
    <w:rsid w:val="00897F44"/>
    <w:rsid w:val="008A0A22"/>
    <w:rsid w:val="008A171B"/>
    <w:rsid w:val="008A23C9"/>
    <w:rsid w:val="008A2939"/>
    <w:rsid w:val="008A3738"/>
    <w:rsid w:val="008A39F8"/>
    <w:rsid w:val="008A453C"/>
    <w:rsid w:val="008A4701"/>
    <w:rsid w:val="008A582A"/>
    <w:rsid w:val="008A77F1"/>
    <w:rsid w:val="008B045F"/>
    <w:rsid w:val="008B0B3A"/>
    <w:rsid w:val="008B0E94"/>
    <w:rsid w:val="008B0EC4"/>
    <w:rsid w:val="008B1CD6"/>
    <w:rsid w:val="008B1F7D"/>
    <w:rsid w:val="008B24D1"/>
    <w:rsid w:val="008B2AA3"/>
    <w:rsid w:val="008B2E71"/>
    <w:rsid w:val="008B2FF7"/>
    <w:rsid w:val="008B32A9"/>
    <w:rsid w:val="008B413B"/>
    <w:rsid w:val="008B4215"/>
    <w:rsid w:val="008B4B36"/>
    <w:rsid w:val="008B53A7"/>
    <w:rsid w:val="008B6096"/>
    <w:rsid w:val="008B6DE2"/>
    <w:rsid w:val="008B7124"/>
    <w:rsid w:val="008C0083"/>
    <w:rsid w:val="008C055D"/>
    <w:rsid w:val="008C0A58"/>
    <w:rsid w:val="008C1F60"/>
    <w:rsid w:val="008C2EDB"/>
    <w:rsid w:val="008C36B8"/>
    <w:rsid w:val="008C3AA9"/>
    <w:rsid w:val="008C3C6C"/>
    <w:rsid w:val="008C509D"/>
    <w:rsid w:val="008C5948"/>
    <w:rsid w:val="008C6C9A"/>
    <w:rsid w:val="008C701E"/>
    <w:rsid w:val="008C78B6"/>
    <w:rsid w:val="008C79C0"/>
    <w:rsid w:val="008C7BAD"/>
    <w:rsid w:val="008D0B17"/>
    <w:rsid w:val="008D1069"/>
    <w:rsid w:val="008D1B64"/>
    <w:rsid w:val="008D26E5"/>
    <w:rsid w:val="008D3344"/>
    <w:rsid w:val="008D3B3B"/>
    <w:rsid w:val="008D3E7E"/>
    <w:rsid w:val="008D3F80"/>
    <w:rsid w:val="008D3FFA"/>
    <w:rsid w:val="008D4162"/>
    <w:rsid w:val="008D47C4"/>
    <w:rsid w:val="008D4E54"/>
    <w:rsid w:val="008D5B9E"/>
    <w:rsid w:val="008D5C44"/>
    <w:rsid w:val="008D6E34"/>
    <w:rsid w:val="008E02F7"/>
    <w:rsid w:val="008E0BDC"/>
    <w:rsid w:val="008E0E74"/>
    <w:rsid w:val="008E23C0"/>
    <w:rsid w:val="008E30F5"/>
    <w:rsid w:val="008E3155"/>
    <w:rsid w:val="008E3568"/>
    <w:rsid w:val="008E36E0"/>
    <w:rsid w:val="008E3813"/>
    <w:rsid w:val="008E4C89"/>
    <w:rsid w:val="008E51AF"/>
    <w:rsid w:val="008E548A"/>
    <w:rsid w:val="008E74A2"/>
    <w:rsid w:val="008E7A5F"/>
    <w:rsid w:val="008F01C1"/>
    <w:rsid w:val="008F17A1"/>
    <w:rsid w:val="008F2413"/>
    <w:rsid w:val="008F2474"/>
    <w:rsid w:val="008F28AA"/>
    <w:rsid w:val="008F4B82"/>
    <w:rsid w:val="008F5308"/>
    <w:rsid w:val="008F5A38"/>
    <w:rsid w:val="008F6833"/>
    <w:rsid w:val="008F69EE"/>
    <w:rsid w:val="008F7A79"/>
    <w:rsid w:val="008F7E00"/>
    <w:rsid w:val="009006A6"/>
    <w:rsid w:val="009016D7"/>
    <w:rsid w:val="00901A12"/>
    <w:rsid w:val="00901F24"/>
    <w:rsid w:val="00902D2E"/>
    <w:rsid w:val="00902D6F"/>
    <w:rsid w:val="00903AC3"/>
    <w:rsid w:val="00903E4A"/>
    <w:rsid w:val="0090412E"/>
    <w:rsid w:val="00904536"/>
    <w:rsid w:val="0090478A"/>
    <w:rsid w:val="00904DBB"/>
    <w:rsid w:val="00905CAA"/>
    <w:rsid w:val="00906B0A"/>
    <w:rsid w:val="0090702B"/>
    <w:rsid w:val="009074B0"/>
    <w:rsid w:val="00907B24"/>
    <w:rsid w:val="00910083"/>
    <w:rsid w:val="009102A7"/>
    <w:rsid w:val="00910E46"/>
    <w:rsid w:val="009116F8"/>
    <w:rsid w:val="00911CA4"/>
    <w:rsid w:val="00911D86"/>
    <w:rsid w:val="009123CE"/>
    <w:rsid w:val="00912A76"/>
    <w:rsid w:val="00912E6A"/>
    <w:rsid w:val="009134D8"/>
    <w:rsid w:val="009135F4"/>
    <w:rsid w:val="0091400C"/>
    <w:rsid w:val="0091405F"/>
    <w:rsid w:val="009144B5"/>
    <w:rsid w:val="009146B7"/>
    <w:rsid w:val="009146F6"/>
    <w:rsid w:val="00915863"/>
    <w:rsid w:val="00915BB1"/>
    <w:rsid w:val="00915E99"/>
    <w:rsid w:val="00916099"/>
    <w:rsid w:val="00916ED7"/>
    <w:rsid w:val="00920FAB"/>
    <w:rsid w:val="009210C8"/>
    <w:rsid w:val="00921172"/>
    <w:rsid w:val="00922D0C"/>
    <w:rsid w:val="00922E70"/>
    <w:rsid w:val="0092300A"/>
    <w:rsid w:val="009231E5"/>
    <w:rsid w:val="009242ED"/>
    <w:rsid w:val="00924DCA"/>
    <w:rsid w:val="009259AC"/>
    <w:rsid w:val="00925FC2"/>
    <w:rsid w:val="00926578"/>
    <w:rsid w:val="00926ADF"/>
    <w:rsid w:val="00926E69"/>
    <w:rsid w:val="00930A78"/>
    <w:rsid w:val="00930EF7"/>
    <w:rsid w:val="0093125C"/>
    <w:rsid w:val="009317B8"/>
    <w:rsid w:val="0093264B"/>
    <w:rsid w:val="00933F58"/>
    <w:rsid w:val="00934A90"/>
    <w:rsid w:val="0093502C"/>
    <w:rsid w:val="00935DC5"/>
    <w:rsid w:val="00935E04"/>
    <w:rsid w:val="009360D6"/>
    <w:rsid w:val="00936282"/>
    <w:rsid w:val="00936510"/>
    <w:rsid w:val="009366C3"/>
    <w:rsid w:val="0093778B"/>
    <w:rsid w:val="00937888"/>
    <w:rsid w:val="009407A1"/>
    <w:rsid w:val="00940A7F"/>
    <w:rsid w:val="00940D5F"/>
    <w:rsid w:val="00941336"/>
    <w:rsid w:val="009416C2"/>
    <w:rsid w:val="0094203D"/>
    <w:rsid w:val="00942CBF"/>
    <w:rsid w:val="00943220"/>
    <w:rsid w:val="009441C1"/>
    <w:rsid w:val="00945476"/>
    <w:rsid w:val="00945E92"/>
    <w:rsid w:val="009466EE"/>
    <w:rsid w:val="009467EC"/>
    <w:rsid w:val="0094689E"/>
    <w:rsid w:val="0094698E"/>
    <w:rsid w:val="00946E33"/>
    <w:rsid w:val="009479AC"/>
    <w:rsid w:val="00947C9B"/>
    <w:rsid w:val="00950D3D"/>
    <w:rsid w:val="009511A3"/>
    <w:rsid w:val="00951AAB"/>
    <w:rsid w:val="00951EC0"/>
    <w:rsid w:val="00951F9F"/>
    <w:rsid w:val="009530F1"/>
    <w:rsid w:val="0095372B"/>
    <w:rsid w:val="00953EA5"/>
    <w:rsid w:val="00954FA6"/>
    <w:rsid w:val="009575E1"/>
    <w:rsid w:val="00957FFD"/>
    <w:rsid w:val="00960715"/>
    <w:rsid w:val="0096076F"/>
    <w:rsid w:val="00960AAB"/>
    <w:rsid w:val="00960BC7"/>
    <w:rsid w:val="00961BE3"/>
    <w:rsid w:val="00962129"/>
    <w:rsid w:val="00963258"/>
    <w:rsid w:val="009632C9"/>
    <w:rsid w:val="00964625"/>
    <w:rsid w:val="009667EE"/>
    <w:rsid w:val="0097038C"/>
    <w:rsid w:val="0097075E"/>
    <w:rsid w:val="00970B15"/>
    <w:rsid w:val="00971337"/>
    <w:rsid w:val="00971BD5"/>
    <w:rsid w:val="009720B6"/>
    <w:rsid w:val="0097316B"/>
    <w:rsid w:val="0097354A"/>
    <w:rsid w:val="009736BD"/>
    <w:rsid w:val="009740EC"/>
    <w:rsid w:val="00974FAA"/>
    <w:rsid w:val="009751B3"/>
    <w:rsid w:val="00975C73"/>
    <w:rsid w:val="0097641C"/>
    <w:rsid w:val="0097670E"/>
    <w:rsid w:val="009767B3"/>
    <w:rsid w:val="00976ABE"/>
    <w:rsid w:val="00977184"/>
    <w:rsid w:val="0097718F"/>
    <w:rsid w:val="00977B5A"/>
    <w:rsid w:val="00977CB4"/>
    <w:rsid w:val="009802C9"/>
    <w:rsid w:val="00981495"/>
    <w:rsid w:val="00982063"/>
    <w:rsid w:val="00982542"/>
    <w:rsid w:val="009838A9"/>
    <w:rsid w:val="00983FBA"/>
    <w:rsid w:val="00984C8F"/>
    <w:rsid w:val="00985ABF"/>
    <w:rsid w:val="00986FF1"/>
    <w:rsid w:val="00987D10"/>
    <w:rsid w:val="00987F6C"/>
    <w:rsid w:val="00990085"/>
    <w:rsid w:val="009907CD"/>
    <w:rsid w:val="00990F7A"/>
    <w:rsid w:val="00991685"/>
    <w:rsid w:val="00991B24"/>
    <w:rsid w:val="00991B9E"/>
    <w:rsid w:val="00991FA1"/>
    <w:rsid w:val="009927FA"/>
    <w:rsid w:val="00993BCA"/>
    <w:rsid w:val="009943A1"/>
    <w:rsid w:val="009944B0"/>
    <w:rsid w:val="009950D9"/>
    <w:rsid w:val="009951F3"/>
    <w:rsid w:val="009960A9"/>
    <w:rsid w:val="009967F2"/>
    <w:rsid w:val="00996A50"/>
    <w:rsid w:val="0099726C"/>
    <w:rsid w:val="00997790"/>
    <w:rsid w:val="00997C4D"/>
    <w:rsid w:val="009A1507"/>
    <w:rsid w:val="009A2169"/>
    <w:rsid w:val="009A37AE"/>
    <w:rsid w:val="009A3C9A"/>
    <w:rsid w:val="009A4542"/>
    <w:rsid w:val="009A5BD9"/>
    <w:rsid w:val="009A66D0"/>
    <w:rsid w:val="009A681E"/>
    <w:rsid w:val="009A75FB"/>
    <w:rsid w:val="009B01FC"/>
    <w:rsid w:val="009B07EF"/>
    <w:rsid w:val="009B081D"/>
    <w:rsid w:val="009B0D29"/>
    <w:rsid w:val="009B1BFE"/>
    <w:rsid w:val="009B2286"/>
    <w:rsid w:val="009B2873"/>
    <w:rsid w:val="009B42E8"/>
    <w:rsid w:val="009B430C"/>
    <w:rsid w:val="009B475F"/>
    <w:rsid w:val="009B4CB3"/>
    <w:rsid w:val="009B55F0"/>
    <w:rsid w:val="009B5DBA"/>
    <w:rsid w:val="009B6241"/>
    <w:rsid w:val="009B6E58"/>
    <w:rsid w:val="009B6EF6"/>
    <w:rsid w:val="009B70C2"/>
    <w:rsid w:val="009B7367"/>
    <w:rsid w:val="009C0982"/>
    <w:rsid w:val="009C0E5A"/>
    <w:rsid w:val="009C12BA"/>
    <w:rsid w:val="009C14AB"/>
    <w:rsid w:val="009C16EE"/>
    <w:rsid w:val="009C1756"/>
    <w:rsid w:val="009C1996"/>
    <w:rsid w:val="009C20B4"/>
    <w:rsid w:val="009C3CD7"/>
    <w:rsid w:val="009C5119"/>
    <w:rsid w:val="009C5D56"/>
    <w:rsid w:val="009C723F"/>
    <w:rsid w:val="009D0D2F"/>
    <w:rsid w:val="009D16B2"/>
    <w:rsid w:val="009D27F8"/>
    <w:rsid w:val="009D3653"/>
    <w:rsid w:val="009D387D"/>
    <w:rsid w:val="009D3F76"/>
    <w:rsid w:val="009D41A6"/>
    <w:rsid w:val="009D4429"/>
    <w:rsid w:val="009D4813"/>
    <w:rsid w:val="009D497A"/>
    <w:rsid w:val="009D5320"/>
    <w:rsid w:val="009D572E"/>
    <w:rsid w:val="009D5EC9"/>
    <w:rsid w:val="009D762F"/>
    <w:rsid w:val="009E0186"/>
    <w:rsid w:val="009E01B2"/>
    <w:rsid w:val="009E0EA2"/>
    <w:rsid w:val="009E17D7"/>
    <w:rsid w:val="009E214D"/>
    <w:rsid w:val="009E28EC"/>
    <w:rsid w:val="009E315A"/>
    <w:rsid w:val="009E317A"/>
    <w:rsid w:val="009E335F"/>
    <w:rsid w:val="009E3894"/>
    <w:rsid w:val="009E3C6E"/>
    <w:rsid w:val="009E4591"/>
    <w:rsid w:val="009E4841"/>
    <w:rsid w:val="009E63D1"/>
    <w:rsid w:val="009E78E7"/>
    <w:rsid w:val="009E7983"/>
    <w:rsid w:val="009F0246"/>
    <w:rsid w:val="009F1163"/>
    <w:rsid w:val="009F18FE"/>
    <w:rsid w:val="009F1BD2"/>
    <w:rsid w:val="009F2584"/>
    <w:rsid w:val="009F2D5C"/>
    <w:rsid w:val="009F2E31"/>
    <w:rsid w:val="009F3452"/>
    <w:rsid w:val="009F3D58"/>
    <w:rsid w:val="009F3F1F"/>
    <w:rsid w:val="009F4AB0"/>
    <w:rsid w:val="009F4DF8"/>
    <w:rsid w:val="009F4FB3"/>
    <w:rsid w:val="009F5D01"/>
    <w:rsid w:val="009F60B4"/>
    <w:rsid w:val="009F62AB"/>
    <w:rsid w:val="009F71D1"/>
    <w:rsid w:val="00A004A5"/>
    <w:rsid w:val="00A00DD6"/>
    <w:rsid w:val="00A015BF"/>
    <w:rsid w:val="00A017BA"/>
    <w:rsid w:val="00A01EFD"/>
    <w:rsid w:val="00A0200F"/>
    <w:rsid w:val="00A02435"/>
    <w:rsid w:val="00A026DF"/>
    <w:rsid w:val="00A03A5F"/>
    <w:rsid w:val="00A03F51"/>
    <w:rsid w:val="00A04100"/>
    <w:rsid w:val="00A050FA"/>
    <w:rsid w:val="00A066DE"/>
    <w:rsid w:val="00A06921"/>
    <w:rsid w:val="00A06E32"/>
    <w:rsid w:val="00A075C8"/>
    <w:rsid w:val="00A07913"/>
    <w:rsid w:val="00A07A13"/>
    <w:rsid w:val="00A10345"/>
    <w:rsid w:val="00A10B65"/>
    <w:rsid w:val="00A112BA"/>
    <w:rsid w:val="00A11BA6"/>
    <w:rsid w:val="00A11E79"/>
    <w:rsid w:val="00A1359B"/>
    <w:rsid w:val="00A1362C"/>
    <w:rsid w:val="00A13A7D"/>
    <w:rsid w:val="00A13D1C"/>
    <w:rsid w:val="00A13E70"/>
    <w:rsid w:val="00A141E5"/>
    <w:rsid w:val="00A14372"/>
    <w:rsid w:val="00A14734"/>
    <w:rsid w:val="00A14B61"/>
    <w:rsid w:val="00A14E2A"/>
    <w:rsid w:val="00A15064"/>
    <w:rsid w:val="00A15581"/>
    <w:rsid w:val="00A1593F"/>
    <w:rsid w:val="00A15A25"/>
    <w:rsid w:val="00A15B57"/>
    <w:rsid w:val="00A16DAE"/>
    <w:rsid w:val="00A17C26"/>
    <w:rsid w:val="00A21F92"/>
    <w:rsid w:val="00A22DC8"/>
    <w:rsid w:val="00A23B43"/>
    <w:rsid w:val="00A23D79"/>
    <w:rsid w:val="00A23D81"/>
    <w:rsid w:val="00A245EC"/>
    <w:rsid w:val="00A2536F"/>
    <w:rsid w:val="00A25AE2"/>
    <w:rsid w:val="00A263F4"/>
    <w:rsid w:val="00A26AF6"/>
    <w:rsid w:val="00A26C4C"/>
    <w:rsid w:val="00A301B3"/>
    <w:rsid w:val="00A30310"/>
    <w:rsid w:val="00A30A6F"/>
    <w:rsid w:val="00A30AF9"/>
    <w:rsid w:val="00A30DB3"/>
    <w:rsid w:val="00A3181A"/>
    <w:rsid w:val="00A33815"/>
    <w:rsid w:val="00A33B9D"/>
    <w:rsid w:val="00A34054"/>
    <w:rsid w:val="00A344A6"/>
    <w:rsid w:val="00A3514E"/>
    <w:rsid w:val="00A36990"/>
    <w:rsid w:val="00A37445"/>
    <w:rsid w:val="00A37686"/>
    <w:rsid w:val="00A379C5"/>
    <w:rsid w:val="00A37BBC"/>
    <w:rsid w:val="00A403E9"/>
    <w:rsid w:val="00A404DA"/>
    <w:rsid w:val="00A40502"/>
    <w:rsid w:val="00A406DC"/>
    <w:rsid w:val="00A41119"/>
    <w:rsid w:val="00A4111F"/>
    <w:rsid w:val="00A41557"/>
    <w:rsid w:val="00A4165C"/>
    <w:rsid w:val="00A4299C"/>
    <w:rsid w:val="00A42BFE"/>
    <w:rsid w:val="00A43062"/>
    <w:rsid w:val="00A4347E"/>
    <w:rsid w:val="00A4381E"/>
    <w:rsid w:val="00A43D9F"/>
    <w:rsid w:val="00A44A4D"/>
    <w:rsid w:val="00A46042"/>
    <w:rsid w:val="00A46203"/>
    <w:rsid w:val="00A4630E"/>
    <w:rsid w:val="00A4659D"/>
    <w:rsid w:val="00A47DE3"/>
    <w:rsid w:val="00A500B3"/>
    <w:rsid w:val="00A509C8"/>
    <w:rsid w:val="00A518FE"/>
    <w:rsid w:val="00A5227A"/>
    <w:rsid w:val="00A531D3"/>
    <w:rsid w:val="00A5340B"/>
    <w:rsid w:val="00A538E2"/>
    <w:rsid w:val="00A54297"/>
    <w:rsid w:val="00A549A7"/>
    <w:rsid w:val="00A54CAE"/>
    <w:rsid w:val="00A55A52"/>
    <w:rsid w:val="00A55DE0"/>
    <w:rsid w:val="00A56876"/>
    <w:rsid w:val="00A56F94"/>
    <w:rsid w:val="00A5731F"/>
    <w:rsid w:val="00A57D42"/>
    <w:rsid w:val="00A57E36"/>
    <w:rsid w:val="00A604D9"/>
    <w:rsid w:val="00A60BBB"/>
    <w:rsid w:val="00A60C83"/>
    <w:rsid w:val="00A62226"/>
    <w:rsid w:val="00A623FB"/>
    <w:rsid w:val="00A62E55"/>
    <w:rsid w:val="00A63A99"/>
    <w:rsid w:val="00A64455"/>
    <w:rsid w:val="00A65111"/>
    <w:rsid w:val="00A65F1E"/>
    <w:rsid w:val="00A6660A"/>
    <w:rsid w:val="00A66EDA"/>
    <w:rsid w:val="00A6729E"/>
    <w:rsid w:val="00A6759B"/>
    <w:rsid w:val="00A7008E"/>
    <w:rsid w:val="00A70432"/>
    <w:rsid w:val="00A71AD6"/>
    <w:rsid w:val="00A71AE3"/>
    <w:rsid w:val="00A72886"/>
    <w:rsid w:val="00A739AD"/>
    <w:rsid w:val="00A7565B"/>
    <w:rsid w:val="00A76FD7"/>
    <w:rsid w:val="00A77057"/>
    <w:rsid w:val="00A7739D"/>
    <w:rsid w:val="00A77C04"/>
    <w:rsid w:val="00A77E0A"/>
    <w:rsid w:val="00A8015A"/>
    <w:rsid w:val="00A8036C"/>
    <w:rsid w:val="00A80964"/>
    <w:rsid w:val="00A822ED"/>
    <w:rsid w:val="00A82D79"/>
    <w:rsid w:val="00A83111"/>
    <w:rsid w:val="00A83C81"/>
    <w:rsid w:val="00A84047"/>
    <w:rsid w:val="00A84CE4"/>
    <w:rsid w:val="00A855AA"/>
    <w:rsid w:val="00A85982"/>
    <w:rsid w:val="00A86578"/>
    <w:rsid w:val="00A868A7"/>
    <w:rsid w:val="00A8750B"/>
    <w:rsid w:val="00A87576"/>
    <w:rsid w:val="00A90123"/>
    <w:rsid w:val="00A905D4"/>
    <w:rsid w:val="00A9131F"/>
    <w:rsid w:val="00A9242F"/>
    <w:rsid w:val="00A927B0"/>
    <w:rsid w:val="00A9295C"/>
    <w:rsid w:val="00A93238"/>
    <w:rsid w:val="00A934C1"/>
    <w:rsid w:val="00A938CE"/>
    <w:rsid w:val="00A957EA"/>
    <w:rsid w:val="00A957F9"/>
    <w:rsid w:val="00A96995"/>
    <w:rsid w:val="00A96AC2"/>
    <w:rsid w:val="00A972FF"/>
    <w:rsid w:val="00A97F54"/>
    <w:rsid w:val="00AA0D56"/>
    <w:rsid w:val="00AA192A"/>
    <w:rsid w:val="00AA1AA4"/>
    <w:rsid w:val="00AA20A3"/>
    <w:rsid w:val="00AA22FC"/>
    <w:rsid w:val="00AA3744"/>
    <w:rsid w:val="00AA37ED"/>
    <w:rsid w:val="00AA4780"/>
    <w:rsid w:val="00AA535D"/>
    <w:rsid w:val="00AA6681"/>
    <w:rsid w:val="00AA6784"/>
    <w:rsid w:val="00AA7176"/>
    <w:rsid w:val="00AB0683"/>
    <w:rsid w:val="00AB0A93"/>
    <w:rsid w:val="00AB10EB"/>
    <w:rsid w:val="00AB14FE"/>
    <w:rsid w:val="00AB179B"/>
    <w:rsid w:val="00AB18E6"/>
    <w:rsid w:val="00AB197C"/>
    <w:rsid w:val="00AB199E"/>
    <w:rsid w:val="00AB2346"/>
    <w:rsid w:val="00AB2416"/>
    <w:rsid w:val="00AB283F"/>
    <w:rsid w:val="00AB2DA9"/>
    <w:rsid w:val="00AB4437"/>
    <w:rsid w:val="00AB4DE4"/>
    <w:rsid w:val="00AB5052"/>
    <w:rsid w:val="00AB5560"/>
    <w:rsid w:val="00AB5D8A"/>
    <w:rsid w:val="00AB603B"/>
    <w:rsid w:val="00AB6417"/>
    <w:rsid w:val="00AB7A8E"/>
    <w:rsid w:val="00AB7BD0"/>
    <w:rsid w:val="00AB7C58"/>
    <w:rsid w:val="00AC01DD"/>
    <w:rsid w:val="00AC12D1"/>
    <w:rsid w:val="00AC1C6F"/>
    <w:rsid w:val="00AC2F1A"/>
    <w:rsid w:val="00AC3B09"/>
    <w:rsid w:val="00AC58FC"/>
    <w:rsid w:val="00AC63B0"/>
    <w:rsid w:val="00AC66BB"/>
    <w:rsid w:val="00AC6DA8"/>
    <w:rsid w:val="00AC7416"/>
    <w:rsid w:val="00AC7714"/>
    <w:rsid w:val="00AC7D76"/>
    <w:rsid w:val="00AD0212"/>
    <w:rsid w:val="00AD080D"/>
    <w:rsid w:val="00AD0AAA"/>
    <w:rsid w:val="00AD182B"/>
    <w:rsid w:val="00AD33A6"/>
    <w:rsid w:val="00AD3C84"/>
    <w:rsid w:val="00AD40B6"/>
    <w:rsid w:val="00AD412A"/>
    <w:rsid w:val="00AD48BE"/>
    <w:rsid w:val="00AD5181"/>
    <w:rsid w:val="00AD52A2"/>
    <w:rsid w:val="00AD5667"/>
    <w:rsid w:val="00AD5AC7"/>
    <w:rsid w:val="00AD5E69"/>
    <w:rsid w:val="00AD7AA1"/>
    <w:rsid w:val="00AE1172"/>
    <w:rsid w:val="00AE1211"/>
    <w:rsid w:val="00AE125A"/>
    <w:rsid w:val="00AE16EC"/>
    <w:rsid w:val="00AE19E4"/>
    <w:rsid w:val="00AE28EB"/>
    <w:rsid w:val="00AE30F2"/>
    <w:rsid w:val="00AE35C9"/>
    <w:rsid w:val="00AE399C"/>
    <w:rsid w:val="00AE3A13"/>
    <w:rsid w:val="00AE493C"/>
    <w:rsid w:val="00AE4A57"/>
    <w:rsid w:val="00AE4D81"/>
    <w:rsid w:val="00AE52EB"/>
    <w:rsid w:val="00AE56C6"/>
    <w:rsid w:val="00AE76AA"/>
    <w:rsid w:val="00AE7702"/>
    <w:rsid w:val="00AE7B86"/>
    <w:rsid w:val="00AF0546"/>
    <w:rsid w:val="00AF2305"/>
    <w:rsid w:val="00AF2A93"/>
    <w:rsid w:val="00AF38A1"/>
    <w:rsid w:val="00AF3CCD"/>
    <w:rsid w:val="00AF403B"/>
    <w:rsid w:val="00AF46AA"/>
    <w:rsid w:val="00AF4971"/>
    <w:rsid w:val="00AF4AB7"/>
    <w:rsid w:val="00AF5D98"/>
    <w:rsid w:val="00AF66DE"/>
    <w:rsid w:val="00AF6CF5"/>
    <w:rsid w:val="00AF7307"/>
    <w:rsid w:val="00B00AFD"/>
    <w:rsid w:val="00B00AFE"/>
    <w:rsid w:val="00B01106"/>
    <w:rsid w:val="00B0156C"/>
    <w:rsid w:val="00B01A79"/>
    <w:rsid w:val="00B02419"/>
    <w:rsid w:val="00B03655"/>
    <w:rsid w:val="00B036EC"/>
    <w:rsid w:val="00B03A57"/>
    <w:rsid w:val="00B04214"/>
    <w:rsid w:val="00B044C6"/>
    <w:rsid w:val="00B05119"/>
    <w:rsid w:val="00B05898"/>
    <w:rsid w:val="00B0589D"/>
    <w:rsid w:val="00B059A0"/>
    <w:rsid w:val="00B068A2"/>
    <w:rsid w:val="00B118AB"/>
    <w:rsid w:val="00B11FF2"/>
    <w:rsid w:val="00B125D8"/>
    <w:rsid w:val="00B12AB7"/>
    <w:rsid w:val="00B14787"/>
    <w:rsid w:val="00B16453"/>
    <w:rsid w:val="00B1657C"/>
    <w:rsid w:val="00B169B7"/>
    <w:rsid w:val="00B173A4"/>
    <w:rsid w:val="00B17861"/>
    <w:rsid w:val="00B21200"/>
    <w:rsid w:val="00B218DE"/>
    <w:rsid w:val="00B2222C"/>
    <w:rsid w:val="00B22DC8"/>
    <w:rsid w:val="00B23311"/>
    <w:rsid w:val="00B23544"/>
    <w:rsid w:val="00B2477D"/>
    <w:rsid w:val="00B24F5B"/>
    <w:rsid w:val="00B24F9D"/>
    <w:rsid w:val="00B250E6"/>
    <w:rsid w:val="00B26221"/>
    <w:rsid w:val="00B267BB"/>
    <w:rsid w:val="00B27A34"/>
    <w:rsid w:val="00B27FCE"/>
    <w:rsid w:val="00B30090"/>
    <w:rsid w:val="00B304C3"/>
    <w:rsid w:val="00B30B94"/>
    <w:rsid w:val="00B320DA"/>
    <w:rsid w:val="00B327FA"/>
    <w:rsid w:val="00B34744"/>
    <w:rsid w:val="00B34747"/>
    <w:rsid w:val="00B34F63"/>
    <w:rsid w:val="00B35670"/>
    <w:rsid w:val="00B371DB"/>
    <w:rsid w:val="00B4012B"/>
    <w:rsid w:val="00B40EDB"/>
    <w:rsid w:val="00B42391"/>
    <w:rsid w:val="00B42640"/>
    <w:rsid w:val="00B428DC"/>
    <w:rsid w:val="00B43126"/>
    <w:rsid w:val="00B44354"/>
    <w:rsid w:val="00B447CB"/>
    <w:rsid w:val="00B452C8"/>
    <w:rsid w:val="00B45849"/>
    <w:rsid w:val="00B460DE"/>
    <w:rsid w:val="00B479F3"/>
    <w:rsid w:val="00B47AE7"/>
    <w:rsid w:val="00B47F33"/>
    <w:rsid w:val="00B47FA7"/>
    <w:rsid w:val="00B511D8"/>
    <w:rsid w:val="00B51A3D"/>
    <w:rsid w:val="00B526CB"/>
    <w:rsid w:val="00B5275C"/>
    <w:rsid w:val="00B535BA"/>
    <w:rsid w:val="00B53A21"/>
    <w:rsid w:val="00B53B49"/>
    <w:rsid w:val="00B53FD1"/>
    <w:rsid w:val="00B54588"/>
    <w:rsid w:val="00B5476B"/>
    <w:rsid w:val="00B548FA"/>
    <w:rsid w:val="00B54A0A"/>
    <w:rsid w:val="00B552D1"/>
    <w:rsid w:val="00B55A31"/>
    <w:rsid w:val="00B55B0F"/>
    <w:rsid w:val="00B55DB7"/>
    <w:rsid w:val="00B5672A"/>
    <w:rsid w:val="00B56FF3"/>
    <w:rsid w:val="00B5759D"/>
    <w:rsid w:val="00B5781B"/>
    <w:rsid w:val="00B57AFD"/>
    <w:rsid w:val="00B57EA9"/>
    <w:rsid w:val="00B60416"/>
    <w:rsid w:val="00B608DC"/>
    <w:rsid w:val="00B61992"/>
    <w:rsid w:val="00B61D39"/>
    <w:rsid w:val="00B62A57"/>
    <w:rsid w:val="00B62B0C"/>
    <w:rsid w:val="00B641F8"/>
    <w:rsid w:val="00B64399"/>
    <w:rsid w:val="00B64B2F"/>
    <w:rsid w:val="00B6658B"/>
    <w:rsid w:val="00B7098F"/>
    <w:rsid w:val="00B70E9A"/>
    <w:rsid w:val="00B71EF7"/>
    <w:rsid w:val="00B7228A"/>
    <w:rsid w:val="00B72A1A"/>
    <w:rsid w:val="00B72F0E"/>
    <w:rsid w:val="00B74848"/>
    <w:rsid w:val="00B74A70"/>
    <w:rsid w:val="00B74F19"/>
    <w:rsid w:val="00B75CDF"/>
    <w:rsid w:val="00B75DE0"/>
    <w:rsid w:val="00B7606F"/>
    <w:rsid w:val="00B7662E"/>
    <w:rsid w:val="00B76A85"/>
    <w:rsid w:val="00B77363"/>
    <w:rsid w:val="00B802E7"/>
    <w:rsid w:val="00B803C1"/>
    <w:rsid w:val="00B807F4"/>
    <w:rsid w:val="00B81C2E"/>
    <w:rsid w:val="00B82086"/>
    <w:rsid w:val="00B82D11"/>
    <w:rsid w:val="00B830AF"/>
    <w:rsid w:val="00B83720"/>
    <w:rsid w:val="00B83C95"/>
    <w:rsid w:val="00B83E15"/>
    <w:rsid w:val="00B83F88"/>
    <w:rsid w:val="00B84B8E"/>
    <w:rsid w:val="00B86E49"/>
    <w:rsid w:val="00B8724A"/>
    <w:rsid w:val="00B9117F"/>
    <w:rsid w:val="00B9123E"/>
    <w:rsid w:val="00B91263"/>
    <w:rsid w:val="00B92473"/>
    <w:rsid w:val="00B92578"/>
    <w:rsid w:val="00B92615"/>
    <w:rsid w:val="00B927E5"/>
    <w:rsid w:val="00B930B0"/>
    <w:rsid w:val="00B93143"/>
    <w:rsid w:val="00B9376A"/>
    <w:rsid w:val="00B9448B"/>
    <w:rsid w:val="00B94A7B"/>
    <w:rsid w:val="00B961CC"/>
    <w:rsid w:val="00B961FD"/>
    <w:rsid w:val="00B975F3"/>
    <w:rsid w:val="00B97C44"/>
    <w:rsid w:val="00BA1186"/>
    <w:rsid w:val="00BA14A5"/>
    <w:rsid w:val="00BA1E11"/>
    <w:rsid w:val="00BA2006"/>
    <w:rsid w:val="00BA2205"/>
    <w:rsid w:val="00BA50B7"/>
    <w:rsid w:val="00BA60F8"/>
    <w:rsid w:val="00BA754F"/>
    <w:rsid w:val="00BA7FAD"/>
    <w:rsid w:val="00BB0911"/>
    <w:rsid w:val="00BB0DC7"/>
    <w:rsid w:val="00BB1723"/>
    <w:rsid w:val="00BB28ED"/>
    <w:rsid w:val="00BB2900"/>
    <w:rsid w:val="00BB3B42"/>
    <w:rsid w:val="00BB3D83"/>
    <w:rsid w:val="00BB4320"/>
    <w:rsid w:val="00BB4358"/>
    <w:rsid w:val="00BB488E"/>
    <w:rsid w:val="00BB4CD9"/>
    <w:rsid w:val="00BB5D2A"/>
    <w:rsid w:val="00BB69A5"/>
    <w:rsid w:val="00BB69B4"/>
    <w:rsid w:val="00BC0EFB"/>
    <w:rsid w:val="00BC1A9B"/>
    <w:rsid w:val="00BC21E0"/>
    <w:rsid w:val="00BC21EE"/>
    <w:rsid w:val="00BC3D7F"/>
    <w:rsid w:val="00BC65D8"/>
    <w:rsid w:val="00BC67B5"/>
    <w:rsid w:val="00BC6FE8"/>
    <w:rsid w:val="00BC7643"/>
    <w:rsid w:val="00BC78D4"/>
    <w:rsid w:val="00BC7FB7"/>
    <w:rsid w:val="00BD04D7"/>
    <w:rsid w:val="00BD074B"/>
    <w:rsid w:val="00BD0AA5"/>
    <w:rsid w:val="00BD1415"/>
    <w:rsid w:val="00BD143D"/>
    <w:rsid w:val="00BD248A"/>
    <w:rsid w:val="00BD316B"/>
    <w:rsid w:val="00BD4653"/>
    <w:rsid w:val="00BD4D40"/>
    <w:rsid w:val="00BD4F74"/>
    <w:rsid w:val="00BD5170"/>
    <w:rsid w:val="00BD560B"/>
    <w:rsid w:val="00BD5E8C"/>
    <w:rsid w:val="00BD63E5"/>
    <w:rsid w:val="00BD6475"/>
    <w:rsid w:val="00BD6845"/>
    <w:rsid w:val="00BD6AED"/>
    <w:rsid w:val="00BD7BFD"/>
    <w:rsid w:val="00BE0A42"/>
    <w:rsid w:val="00BE12A9"/>
    <w:rsid w:val="00BE1F38"/>
    <w:rsid w:val="00BE2499"/>
    <w:rsid w:val="00BE3206"/>
    <w:rsid w:val="00BE3731"/>
    <w:rsid w:val="00BE3BAB"/>
    <w:rsid w:val="00BE5C95"/>
    <w:rsid w:val="00BE5CF9"/>
    <w:rsid w:val="00BE6721"/>
    <w:rsid w:val="00BF0271"/>
    <w:rsid w:val="00BF06DD"/>
    <w:rsid w:val="00BF12C4"/>
    <w:rsid w:val="00BF1B8C"/>
    <w:rsid w:val="00BF1BB0"/>
    <w:rsid w:val="00BF1C6A"/>
    <w:rsid w:val="00BF2710"/>
    <w:rsid w:val="00BF27AC"/>
    <w:rsid w:val="00BF2C0E"/>
    <w:rsid w:val="00BF319D"/>
    <w:rsid w:val="00BF4A21"/>
    <w:rsid w:val="00BF4FB6"/>
    <w:rsid w:val="00BF5E81"/>
    <w:rsid w:val="00BF5ED1"/>
    <w:rsid w:val="00BF65CA"/>
    <w:rsid w:val="00BF699E"/>
    <w:rsid w:val="00BF704B"/>
    <w:rsid w:val="00BF70A0"/>
    <w:rsid w:val="00BF7469"/>
    <w:rsid w:val="00BF77D9"/>
    <w:rsid w:val="00C002C9"/>
    <w:rsid w:val="00C01123"/>
    <w:rsid w:val="00C024EF"/>
    <w:rsid w:val="00C0281F"/>
    <w:rsid w:val="00C03011"/>
    <w:rsid w:val="00C0305A"/>
    <w:rsid w:val="00C031A8"/>
    <w:rsid w:val="00C03A44"/>
    <w:rsid w:val="00C03E6F"/>
    <w:rsid w:val="00C03EFA"/>
    <w:rsid w:val="00C05227"/>
    <w:rsid w:val="00C05E24"/>
    <w:rsid w:val="00C06249"/>
    <w:rsid w:val="00C06543"/>
    <w:rsid w:val="00C065BA"/>
    <w:rsid w:val="00C06F95"/>
    <w:rsid w:val="00C07659"/>
    <w:rsid w:val="00C0771F"/>
    <w:rsid w:val="00C104F0"/>
    <w:rsid w:val="00C1110D"/>
    <w:rsid w:val="00C1182D"/>
    <w:rsid w:val="00C11A50"/>
    <w:rsid w:val="00C12504"/>
    <w:rsid w:val="00C125F5"/>
    <w:rsid w:val="00C127B1"/>
    <w:rsid w:val="00C13032"/>
    <w:rsid w:val="00C134B7"/>
    <w:rsid w:val="00C145C2"/>
    <w:rsid w:val="00C15628"/>
    <w:rsid w:val="00C15E87"/>
    <w:rsid w:val="00C1616D"/>
    <w:rsid w:val="00C16D07"/>
    <w:rsid w:val="00C175D0"/>
    <w:rsid w:val="00C179DF"/>
    <w:rsid w:val="00C2096B"/>
    <w:rsid w:val="00C21A8D"/>
    <w:rsid w:val="00C21E2C"/>
    <w:rsid w:val="00C22D8B"/>
    <w:rsid w:val="00C231B7"/>
    <w:rsid w:val="00C2438F"/>
    <w:rsid w:val="00C24DB0"/>
    <w:rsid w:val="00C25363"/>
    <w:rsid w:val="00C2605A"/>
    <w:rsid w:val="00C26B1C"/>
    <w:rsid w:val="00C2731A"/>
    <w:rsid w:val="00C274AA"/>
    <w:rsid w:val="00C2750A"/>
    <w:rsid w:val="00C30114"/>
    <w:rsid w:val="00C3053B"/>
    <w:rsid w:val="00C30940"/>
    <w:rsid w:val="00C30C64"/>
    <w:rsid w:val="00C30C69"/>
    <w:rsid w:val="00C30CB3"/>
    <w:rsid w:val="00C310FA"/>
    <w:rsid w:val="00C31375"/>
    <w:rsid w:val="00C314DE"/>
    <w:rsid w:val="00C325F2"/>
    <w:rsid w:val="00C32965"/>
    <w:rsid w:val="00C32F4E"/>
    <w:rsid w:val="00C33C31"/>
    <w:rsid w:val="00C3426D"/>
    <w:rsid w:val="00C3487B"/>
    <w:rsid w:val="00C3621B"/>
    <w:rsid w:val="00C364F9"/>
    <w:rsid w:val="00C37A28"/>
    <w:rsid w:val="00C37AAE"/>
    <w:rsid w:val="00C37EFA"/>
    <w:rsid w:val="00C4073E"/>
    <w:rsid w:val="00C40CFB"/>
    <w:rsid w:val="00C413DB"/>
    <w:rsid w:val="00C41925"/>
    <w:rsid w:val="00C41928"/>
    <w:rsid w:val="00C42099"/>
    <w:rsid w:val="00C4254F"/>
    <w:rsid w:val="00C4329D"/>
    <w:rsid w:val="00C44ADA"/>
    <w:rsid w:val="00C44B7A"/>
    <w:rsid w:val="00C44D47"/>
    <w:rsid w:val="00C45A70"/>
    <w:rsid w:val="00C46060"/>
    <w:rsid w:val="00C47701"/>
    <w:rsid w:val="00C479EA"/>
    <w:rsid w:val="00C50092"/>
    <w:rsid w:val="00C50711"/>
    <w:rsid w:val="00C5074E"/>
    <w:rsid w:val="00C50D6C"/>
    <w:rsid w:val="00C51AE6"/>
    <w:rsid w:val="00C51E34"/>
    <w:rsid w:val="00C51E3D"/>
    <w:rsid w:val="00C523C6"/>
    <w:rsid w:val="00C525BA"/>
    <w:rsid w:val="00C53065"/>
    <w:rsid w:val="00C53842"/>
    <w:rsid w:val="00C54204"/>
    <w:rsid w:val="00C55300"/>
    <w:rsid w:val="00C555F7"/>
    <w:rsid w:val="00C558B9"/>
    <w:rsid w:val="00C55B7E"/>
    <w:rsid w:val="00C55EF8"/>
    <w:rsid w:val="00C56446"/>
    <w:rsid w:val="00C5690F"/>
    <w:rsid w:val="00C56DDF"/>
    <w:rsid w:val="00C574EB"/>
    <w:rsid w:val="00C57EE1"/>
    <w:rsid w:val="00C60374"/>
    <w:rsid w:val="00C60863"/>
    <w:rsid w:val="00C61C1F"/>
    <w:rsid w:val="00C6285D"/>
    <w:rsid w:val="00C639E3"/>
    <w:rsid w:val="00C640E3"/>
    <w:rsid w:val="00C64C9C"/>
    <w:rsid w:val="00C6693D"/>
    <w:rsid w:val="00C66B52"/>
    <w:rsid w:val="00C670B5"/>
    <w:rsid w:val="00C67198"/>
    <w:rsid w:val="00C67C93"/>
    <w:rsid w:val="00C67E9F"/>
    <w:rsid w:val="00C67F01"/>
    <w:rsid w:val="00C70563"/>
    <w:rsid w:val="00C71292"/>
    <w:rsid w:val="00C7137A"/>
    <w:rsid w:val="00C71484"/>
    <w:rsid w:val="00C716CA"/>
    <w:rsid w:val="00C71DBA"/>
    <w:rsid w:val="00C72305"/>
    <w:rsid w:val="00C72891"/>
    <w:rsid w:val="00C731D8"/>
    <w:rsid w:val="00C73447"/>
    <w:rsid w:val="00C735A7"/>
    <w:rsid w:val="00C74995"/>
    <w:rsid w:val="00C749F3"/>
    <w:rsid w:val="00C74A80"/>
    <w:rsid w:val="00C74C73"/>
    <w:rsid w:val="00C74E9D"/>
    <w:rsid w:val="00C75846"/>
    <w:rsid w:val="00C76670"/>
    <w:rsid w:val="00C7684E"/>
    <w:rsid w:val="00C76FAC"/>
    <w:rsid w:val="00C77DF9"/>
    <w:rsid w:val="00C81E85"/>
    <w:rsid w:val="00C824D5"/>
    <w:rsid w:val="00C8262D"/>
    <w:rsid w:val="00C82C05"/>
    <w:rsid w:val="00C83EE6"/>
    <w:rsid w:val="00C8566F"/>
    <w:rsid w:val="00C85893"/>
    <w:rsid w:val="00C859AE"/>
    <w:rsid w:val="00C85CF9"/>
    <w:rsid w:val="00C862C5"/>
    <w:rsid w:val="00C87C43"/>
    <w:rsid w:val="00C900CC"/>
    <w:rsid w:val="00C905CB"/>
    <w:rsid w:val="00C92BCE"/>
    <w:rsid w:val="00C92E13"/>
    <w:rsid w:val="00C931E5"/>
    <w:rsid w:val="00C93B0E"/>
    <w:rsid w:val="00C944A6"/>
    <w:rsid w:val="00C964D7"/>
    <w:rsid w:val="00C97396"/>
    <w:rsid w:val="00C979D0"/>
    <w:rsid w:val="00C97D9F"/>
    <w:rsid w:val="00CA0DC7"/>
    <w:rsid w:val="00CA1053"/>
    <w:rsid w:val="00CA14C8"/>
    <w:rsid w:val="00CA3A70"/>
    <w:rsid w:val="00CA410E"/>
    <w:rsid w:val="00CA4276"/>
    <w:rsid w:val="00CA447E"/>
    <w:rsid w:val="00CA54E9"/>
    <w:rsid w:val="00CA5BFA"/>
    <w:rsid w:val="00CA6E44"/>
    <w:rsid w:val="00CB0CDF"/>
    <w:rsid w:val="00CB0FE7"/>
    <w:rsid w:val="00CB176C"/>
    <w:rsid w:val="00CB1DDE"/>
    <w:rsid w:val="00CB208C"/>
    <w:rsid w:val="00CB27FD"/>
    <w:rsid w:val="00CB2FDE"/>
    <w:rsid w:val="00CB34EA"/>
    <w:rsid w:val="00CB3B99"/>
    <w:rsid w:val="00CB3BDF"/>
    <w:rsid w:val="00CB4435"/>
    <w:rsid w:val="00CB45E0"/>
    <w:rsid w:val="00CB488A"/>
    <w:rsid w:val="00CB528D"/>
    <w:rsid w:val="00CB635C"/>
    <w:rsid w:val="00CB7321"/>
    <w:rsid w:val="00CB7D4A"/>
    <w:rsid w:val="00CB7E0A"/>
    <w:rsid w:val="00CC0F2E"/>
    <w:rsid w:val="00CC124D"/>
    <w:rsid w:val="00CC1524"/>
    <w:rsid w:val="00CC3027"/>
    <w:rsid w:val="00CC390D"/>
    <w:rsid w:val="00CC3DC2"/>
    <w:rsid w:val="00CC421B"/>
    <w:rsid w:val="00CC4E43"/>
    <w:rsid w:val="00CC4E93"/>
    <w:rsid w:val="00CC6717"/>
    <w:rsid w:val="00CC71D5"/>
    <w:rsid w:val="00CC76C1"/>
    <w:rsid w:val="00CC7C12"/>
    <w:rsid w:val="00CD0D15"/>
    <w:rsid w:val="00CD1BC6"/>
    <w:rsid w:val="00CD27EE"/>
    <w:rsid w:val="00CD2AF5"/>
    <w:rsid w:val="00CD3F28"/>
    <w:rsid w:val="00CD4579"/>
    <w:rsid w:val="00CD4E90"/>
    <w:rsid w:val="00CD5202"/>
    <w:rsid w:val="00CD64D9"/>
    <w:rsid w:val="00CD64E7"/>
    <w:rsid w:val="00CE10BD"/>
    <w:rsid w:val="00CE1F17"/>
    <w:rsid w:val="00CE2384"/>
    <w:rsid w:val="00CE326B"/>
    <w:rsid w:val="00CE6738"/>
    <w:rsid w:val="00CE72F3"/>
    <w:rsid w:val="00CE76B5"/>
    <w:rsid w:val="00CE7751"/>
    <w:rsid w:val="00CE7C79"/>
    <w:rsid w:val="00CE7F13"/>
    <w:rsid w:val="00CF0D76"/>
    <w:rsid w:val="00CF1342"/>
    <w:rsid w:val="00CF156C"/>
    <w:rsid w:val="00CF1ECB"/>
    <w:rsid w:val="00CF26BF"/>
    <w:rsid w:val="00CF3FB2"/>
    <w:rsid w:val="00CF5467"/>
    <w:rsid w:val="00CF555A"/>
    <w:rsid w:val="00CF66A7"/>
    <w:rsid w:val="00CF6721"/>
    <w:rsid w:val="00CF6C09"/>
    <w:rsid w:val="00CF7C8C"/>
    <w:rsid w:val="00D004BE"/>
    <w:rsid w:val="00D00679"/>
    <w:rsid w:val="00D00852"/>
    <w:rsid w:val="00D00DBC"/>
    <w:rsid w:val="00D02DB9"/>
    <w:rsid w:val="00D03173"/>
    <w:rsid w:val="00D03586"/>
    <w:rsid w:val="00D037CF"/>
    <w:rsid w:val="00D03B28"/>
    <w:rsid w:val="00D03E3B"/>
    <w:rsid w:val="00D0450B"/>
    <w:rsid w:val="00D0454A"/>
    <w:rsid w:val="00D045D1"/>
    <w:rsid w:val="00D05726"/>
    <w:rsid w:val="00D05C6D"/>
    <w:rsid w:val="00D05F7F"/>
    <w:rsid w:val="00D068A4"/>
    <w:rsid w:val="00D075C6"/>
    <w:rsid w:val="00D07C61"/>
    <w:rsid w:val="00D11CCC"/>
    <w:rsid w:val="00D1203D"/>
    <w:rsid w:val="00D1332F"/>
    <w:rsid w:val="00D13AA8"/>
    <w:rsid w:val="00D14309"/>
    <w:rsid w:val="00D14349"/>
    <w:rsid w:val="00D145E0"/>
    <w:rsid w:val="00D14DCC"/>
    <w:rsid w:val="00D14FB9"/>
    <w:rsid w:val="00D1561D"/>
    <w:rsid w:val="00D157D6"/>
    <w:rsid w:val="00D168D1"/>
    <w:rsid w:val="00D16E0A"/>
    <w:rsid w:val="00D203BB"/>
    <w:rsid w:val="00D2057A"/>
    <w:rsid w:val="00D20976"/>
    <w:rsid w:val="00D20B33"/>
    <w:rsid w:val="00D213E9"/>
    <w:rsid w:val="00D21779"/>
    <w:rsid w:val="00D22042"/>
    <w:rsid w:val="00D223EB"/>
    <w:rsid w:val="00D225DD"/>
    <w:rsid w:val="00D237BF"/>
    <w:rsid w:val="00D23CA4"/>
    <w:rsid w:val="00D24850"/>
    <w:rsid w:val="00D248D2"/>
    <w:rsid w:val="00D252C0"/>
    <w:rsid w:val="00D25465"/>
    <w:rsid w:val="00D2670E"/>
    <w:rsid w:val="00D26A02"/>
    <w:rsid w:val="00D27BF9"/>
    <w:rsid w:val="00D30444"/>
    <w:rsid w:val="00D3071A"/>
    <w:rsid w:val="00D30E72"/>
    <w:rsid w:val="00D31545"/>
    <w:rsid w:val="00D31564"/>
    <w:rsid w:val="00D329D4"/>
    <w:rsid w:val="00D33B6C"/>
    <w:rsid w:val="00D3454C"/>
    <w:rsid w:val="00D348E5"/>
    <w:rsid w:val="00D34E69"/>
    <w:rsid w:val="00D34ED4"/>
    <w:rsid w:val="00D35B4A"/>
    <w:rsid w:val="00D35D93"/>
    <w:rsid w:val="00D37F2F"/>
    <w:rsid w:val="00D37F45"/>
    <w:rsid w:val="00D40EE2"/>
    <w:rsid w:val="00D4105E"/>
    <w:rsid w:val="00D41F40"/>
    <w:rsid w:val="00D4222C"/>
    <w:rsid w:val="00D4242A"/>
    <w:rsid w:val="00D42D0F"/>
    <w:rsid w:val="00D42E24"/>
    <w:rsid w:val="00D42F9D"/>
    <w:rsid w:val="00D44A44"/>
    <w:rsid w:val="00D4523C"/>
    <w:rsid w:val="00D456DA"/>
    <w:rsid w:val="00D45B2D"/>
    <w:rsid w:val="00D46105"/>
    <w:rsid w:val="00D46107"/>
    <w:rsid w:val="00D50854"/>
    <w:rsid w:val="00D50899"/>
    <w:rsid w:val="00D50BBA"/>
    <w:rsid w:val="00D51CBB"/>
    <w:rsid w:val="00D51FF8"/>
    <w:rsid w:val="00D52FC7"/>
    <w:rsid w:val="00D54158"/>
    <w:rsid w:val="00D544CC"/>
    <w:rsid w:val="00D5688B"/>
    <w:rsid w:val="00D607E5"/>
    <w:rsid w:val="00D60CC7"/>
    <w:rsid w:val="00D60DAA"/>
    <w:rsid w:val="00D614AC"/>
    <w:rsid w:val="00D618D4"/>
    <w:rsid w:val="00D6229B"/>
    <w:rsid w:val="00D62D9E"/>
    <w:rsid w:val="00D633AA"/>
    <w:rsid w:val="00D63D53"/>
    <w:rsid w:val="00D64205"/>
    <w:rsid w:val="00D64FD4"/>
    <w:rsid w:val="00D65C9F"/>
    <w:rsid w:val="00D65FE8"/>
    <w:rsid w:val="00D666F7"/>
    <w:rsid w:val="00D67A5D"/>
    <w:rsid w:val="00D67AA5"/>
    <w:rsid w:val="00D71609"/>
    <w:rsid w:val="00D718E7"/>
    <w:rsid w:val="00D72181"/>
    <w:rsid w:val="00D72616"/>
    <w:rsid w:val="00D73543"/>
    <w:rsid w:val="00D7396F"/>
    <w:rsid w:val="00D74253"/>
    <w:rsid w:val="00D7523E"/>
    <w:rsid w:val="00D76458"/>
    <w:rsid w:val="00D76703"/>
    <w:rsid w:val="00D76A33"/>
    <w:rsid w:val="00D77870"/>
    <w:rsid w:val="00D778E6"/>
    <w:rsid w:val="00D804D6"/>
    <w:rsid w:val="00D80B23"/>
    <w:rsid w:val="00D81AF1"/>
    <w:rsid w:val="00D823B9"/>
    <w:rsid w:val="00D828FF"/>
    <w:rsid w:val="00D8301F"/>
    <w:rsid w:val="00D83282"/>
    <w:rsid w:val="00D83699"/>
    <w:rsid w:val="00D843D7"/>
    <w:rsid w:val="00D844C3"/>
    <w:rsid w:val="00D84E4B"/>
    <w:rsid w:val="00D84F4C"/>
    <w:rsid w:val="00D85451"/>
    <w:rsid w:val="00D85668"/>
    <w:rsid w:val="00D856FD"/>
    <w:rsid w:val="00D874D0"/>
    <w:rsid w:val="00D87AF9"/>
    <w:rsid w:val="00D9026D"/>
    <w:rsid w:val="00D90345"/>
    <w:rsid w:val="00D903EA"/>
    <w:rsid w:val="00D906AD"/>
    <w:rsid w:val="00D90BF3"/>
    <w:rsid w:val="00D9172E"/>
    <w:rsid w:val="00D92A4E"/>
    <w:rsid w:val="00D93116"/>
    <w:rsid w:val="00D935CA"/>
    <w:rsid w:val="00D944B9"/>
    <w:rsid w:val="00D95324"/>
    <w:rsid w:val="00D95BB2"/>
    <w:rsid w:val="00D95E31"/>
    <w:rsid w:val="00D960FF"/>
    <w:rsid w:val="00D967FC"/>
    <w:rsid w:val="00D96879"/>
    <w:rsid w:val="00D97AD3"/>
    <w:rsid w:val="00D97D5E"/>
    <w:rsid w:val="00DA0586"/>
    <w:rsid w:val="00DA155D"/>
    <w:rsid w:val="00DA2CB7"/>
    <w:rsid w:val="00DA2F3B"/>
    <w:rsid w:val="00DA3079"/>
    <w:rsid w:val="00DA4017"/>
    <w:rsid w:val="00DA55FF"/>
    <w:rsid w:val="00DA5B94"/>
    <w:rsid w:val="00DA6709"/>
    <w:rsid w:val="00DA6D78"/>
    <w:rsid w:val="00DA72DC"/>
    <w:rsid w:val="00DB0112"/>
    <w:rsid w:val="00DB04FC"/>
    <w:rsid w:val="00DB07F3"/>
    <w:rsid w:val="00DB0A70"/>
    <w:rsid w:val="00DB0A88"/>
    <w:rsid w:val="00DB0DFE"/>
    <w:rsid w:val="00DB11F6"/>
    <w:rsid w:val="00DB16ED"/>
    <w:rsid w:val="00DB2A18"/>
    <w:rsid w:val="00DB4188"/>
    <w:rsid w:val="00DB5464"/>
    <w:rsid w:val="00DB5C76"/>
    <w:rsid w:val="00DB661B"/>
    <w:rsid w:val="00DB6938"/>
    <w:rsid w:val="00DB7233"/>
    <w:rsid w:val="00DB7F4B"/>
    <w:rsid w:val="00DC00A9"/>
    <w:rsid w:val="00DC0159"/>
    <w:rsid w:val="00DC0500"/>
    <w:rsid w:val="00DC1A8A"/>
    <w:rsid w:val="00DC2071"/>
    <w:rsid w:val="00DC249E"/>
    <w:rsid w:val="00DC2975"/>
    <w:rsid w:val="00DC2BFD"/>
    <w:rsid w:val="00DC2D61"/>
    <w:rsid w:val="00DC3DFB"/>
    <w:rsid w:val="00DC46F3"/>
    <w:rsid w:val="00DC4CBC"/>
    <w:rsid w:val="00DC5090"/>
    <w:rsid w:val="00DC78D3"/>
    <w:rsid w:val="00DC7B45"/>
    <w:rsid w:val="00DD05E4"/>
    <w:rsid w:val="00DD1675"/>
    <w:rsid w:val="00DD1854"/>
    <w:rsid w:val="00DD1D7D"/>
    <w:rsid w:val="00DD22D1"/>
    <w:rsid w:val="00DD2B27"/>
    <w:rsid w:val="00DD2EFA"/>
    <w:rsid w:val="00DD2F32"/>
    <w:rsid w:val="00DD46EB"/>
    <w:rsid w:val="00DD5D05"/>
    <w:rsid w:val="00DD69DD"/>
    <w:rsid w:val="00DD6D90"/>
    <w:rsid w:val="00DD776A"/>
    <w:rsid w:val="00DD7E17"/>
    <w:rsid w:val="00DE0037"/>
    <w:rsid w:val="00DE0505"/>
    <w:rsid w:val="00DE0B38"/>
    <w:rsid w:val="00DE1239"/>
    <w:rsid w:val="00DE261E"/>
    <w:rsid w:val="00DE35BA"/>
    <w:rsid w:val="00DE35DB"/>
    <w:rsid w:val="00DE37DD"/>
    <w:rsid w:val="00DE3EC8"/>
    <w:rsid w:val="00DE5005"/>
    <w:rsid w:val="00DE5A52"/>
    <w:rsid w:val="00DE667C"/>
    <w:rsid w:val="00DE66FD"/>
    <w:rsid w:val="00DE713C"/>
    <w:rsid w:val="00DE7144"/>
    <w:rsid w:val="00DF19DA"/>
    <w:rsid w:val="00DF2660"/>
    <w:rsid w:val="00DF3569"/>
    <w:rsid w:val="00DF426F"/>
    <w:rsid w:val="00DF5A8E"/>
    <w:rsid w:val="00DF64C0"/>
    <w:rsid w:val="00DF6C16"/>
    <w:rsid w:val="00DF7065"/>
    <w:rsid w:val="00DF7288"/>
    <w:rsid w:val="00DF7D76"/>
    <w:rsid w:val="00E01440"/>
    <w:rsid w:val="00E018CC"/>
    <w:rsid w:val="00E02802"/>
    <w:rsid w:val="00E035B4"/>
    <w:rsid w:val="00E0366A"/>
    <w:rsid w:val="00E03B9D"/>
    <w:rsid w:val="00E04934"/>
    <w:rsid w:val="00E04D81"/>
    <w:rsid w:val="00E0609D"/>
    <w:rsid w:val="00E067FC"/>
    <w:rsid w:val="00E06978"/>
    <w:rsid w:val="00E11388"/>
    <w:rsid w:val="00E114C1"/>
    <w:rsid w:val="00E121B1"/>
    <w:rsid w:val="00E128BA"/>
    <w:rsid w:val="00E13A96"/>
    <w:rsid w:val="00E1411E"/>
    <w:rsid w:val="00E153FB"/>
    <w:rsid w:val="00E15975"/>
    <w:rsid w:val="00E15D9F"/>
    <w:rsid w:val="00E15DC1"/>
    <w:rsid w:val="00E164A3"/>
    <w:rsid w:val="00E1655A"/>
    <w:rsid w:val="00E20682"/>
    <w:rsid w:val="00E20C7A"/>
    <w:rsid w:val="00E212D9"/>
    <w:rsid w:val="00E216A6"/>
    <w:rsid w:val="00E22046"/>
    <w:rsid w:val="00E22DF5"/>
    <w:rsid w:val="00E2487D"/>
    <w:rsid w:val="00E2749E"/>
    <w:rsid w:val="00E30E41"/>
    <w:rsid w:val="00E32505"/>
    <w:rsid w:val="00E32BDD"/>
    <w:rsid w:val="00E332E9"/>
    <w:rsid w:val="00E332F7"/>
    <w:rsid w:val="00E3388C"/>
    <w:rsid w:val="00E346EF"/>
    <w:rsid w:val="00E35A63"/>
    <w:rsid w:val="00E35B18"/>
    <w:rsid w:val="00E3699A"/>
    <w:rsid w:val="00E36F79"/>
    <w:rsid w:val="00E374E0"/>
    <w:rsid w:val="00E37A66"/>
    <w:rsid w:val="00E401B1"/>
    <w:rsid w:val="00E40D90"/>
    <w:rsid w:val="00E41C47"/>
    <w:rsid w:val="00E41D87"/>
    <w:rsid w:val="00E41F20"/>
    <w:rsid w:val="00E426A2"/>
    <w:rsid w:val="00E42A60"/>
    <w:rsid w:val="00E43044"/>
    <w:rsid w:val="00E432B2"/>
    <w:rsid w:val="00E4381A"/>
    <w:rsid w:val="00E438EF"/>
    <w:rsid w:val="00E4472C"/>
    <w:rsid w:val="00E44B98"/>
    <w:rsid w:val="00E44DBC"/>
    <w:rsid w:val="00E46112"/>
    <w:rsid w:val="00E46755"/>
    <w:rsid w:val="00E47430"/>
    <w:rsid w:val="00E4775F"/>
    <w:rsid w:val="00E47FB2"/>
    <w:rsid w:val="00E50484"/>
    <w:rsid w:val="00E507C9"/>
    <w:rsid w:val="00E512F1"/>
    <w:rsid w:val="00E51403"/>
    <w:rsid w:val="00E51725"/>
    <w:rsid w:val="00E51B2A"/>
    <w:rsid w:val="00E523C3"/>
    <w:rsid w:val="00E523F8"/>
    <w:rsid w:val="00E52F2E"/>
    <w:rsid w:val="00E53108"/>
    <w:rsid w:val="00E535CA"/>
    <w:rsid w:val="00E5444D"/>
    <w:rsid w:val="00E562A4"/>
    <w:rsid w:val="00E6233B"/>
    <w:rsid w:val="00E64568"/>
    <w:rsid w:val="00E64A0C"/>
    <w:rsid w:val="00E64B50"/>
    <w:rsid w:val="00E65E80"/>
    <w:rsid w:val="00E65E8D"/>
    <w:rsid w:val="00E663B9"/>
    <w:rsid w:val="00E66BE3"/>
    <w:rsid w:val="00E66D7B"/>
    <w:rsid w:val="00E7033A"/>
    <w:rsid w:val="00E703B2"/>
    <w:rsid w:val="00E710F6"/>
    <w:rsid w:val="00E7148F"/>
    <w:rsid w:val="00E71FDF"/>
    <w:rsid w:val="00E72606"/>
    <w:rsid w:val="00E72E19"/>
    <w:rsid w:val="00E73E2E"/>
    <w:rsid w:val="00E74704"/>
    <w:rsid w:val="00E76A6D"/>
    <w:rsid w:val="00E77B1A"/>
    <w:rsid w:val="00E812CB"/>
    <w:rsid w:val="00E8134B"/>
    <w:rsid w:val="00E814AC"/>
    <w:rsid w:val="00E81C52"/>
    <w:rsid w:val="00E82A7A"/>
    <w:rsid w:val="00E82EBD"/>
    <w:rsid w:val="00E853C1"/>
    <w:rsid w:val="00E867B4"/>
    <w:rsid w:val="00E867E3"/>
    <w:rsid w:val="00E87CA6"/>
    <w:rsid w:val="00E87F29"/>
    <w:rsid w:val="00E917E1"/>
    <w:rsid w:val="00E91AEE"/>
    <w:rsid w:val="00E91B9F"/>
    <w:rsid w:val="00E923C6"/>
    <w:rsid w:val="00E9253B"/>
    <w:rsid w:val="00E929A6"/>
    <w:rsid w:val="00E92C22"/>
    <w:rsid w:val="00E92CD1"/>
    <w:rsid w:val="00E92E83"/>
    <w:rsid w:val="00E92F00"/>
    <w:rsid w:val="00E9330B"/>
    <w:rsid w:val="00E93B98"/>
    <w:rsid w:val="00E94F16"/>
    <w:rsid w:val="00E950E7"/>
    <w:rsid w:val="00E9519C"/>
    <w:rsid w:val="00E959BB"/>
    <w:rsid w:val="00E95C84"/>
    <w:rsid w:val="00E96F50"/>
    <w:rsid w:val="00E97194"/>
    <w:rsid w:val="00E9758C"/>
    <w:rsid w:val="00E97592"/>
    <w:rsid w:val="00E976EE"/>
    <w:rsid w:val="00E97CA9"/>
    <w:rsid w:val="00E97F4A"/>
    <w:rsid w:val="00EA0177"/>
    <w:rsid w:val="00EA0E3F"/>
    <w:rsid w:val="00EA1121"/>
    <w:rsid w:val="00EA2A19"/>
    <w:rsid w:val="00EA2A81"/>
    <w:rsid w:val="00EA2B7C"/>
    <w:rsid w:val="00EA32B8"/>
    <w:rsid w:val="00EA35D6"/>
    <w:rsid w:val="00EA39E2"/>
    <w:rsid w:val="00EA3A1C"/>
    <w:rsid w:val="00EA47F2"/>
    <w:rsid w:val="00EA7477"/>
    <w:rsid w:val="00EA77F3"/>
    <w:rsid w:val="00EB0877"/>
    <w:rsid w:val="00EB0AA2"/>
    <w:rsid w:val="00EB27F0"/>
    <w:rsid w:val="00EB2AD4"/>
    <w:rsid w:val="00EB2E4F"/>
    <w:rsid w:val="00EB34F9"/>
    <w:rsid w:val="00EB36B9"/>
    <w:rsid w:val="00EB4113"/>
    <w:rsid w:val="00EB5D6A"/>
    <w:rsid w:val="00EB62B9"/>
    <w:rsid w:val="00EB6504"/>
    <w:rsid w:val="00EB74BC"/>
    <w:rsid w:val="00EC0340"/>
    <w:rsid w:val="00EC0D04"/>
    <w:rsid w:val="00EC1D1F"/>
    <w:rsid w:val="00EC2074"/>
    <w:rsid w:val="00EC2516"/>
    <w:rsid w:val="00EC39DE"/>
    <w:rsid w:val="00EC3F55"/>
    <w:rsid w:val="00EC3FCC"/>
    <w:rsid w:val="00EC53C5"/>
    <w:rsid w:val="00EC58BF"/>
    <w:rsid w:val="00EC5D8C"/>
    <w:rsid w:val="00EC6565"/>
    <w:rsid w:val="00ED0125"/>
    <w:rsid w:val="00ED198E"/>
    <w:rsid w:val="00ED1C84"/>
    <w:rsid w:val="00ED1CBF"/>
    <w:rsid w:val="00ED20D5"/>
    <w:rsid w:val="00ED2C15"/>
    <w:rsid w:val="00ED373E"/>
    <w:rsid w:val="00ED3DE6"/>
    <w:rsid w:val="00ED3E6A"/>
    <w:rsid w:val="00ED488F"/>
    <w:rsid w:val="00ED48BA"/>
    <w:rsid w:val="00ED59BD"/>
    <w:rsid w:val="00ED5B7C"/>
    <w:rsid w:val="00ED5E99"/>
    <w:rsid w:val="00ED622B"/>
    <w:rsid w:val="00ED62DF"/>
    <w:rsid w:val="00ED6A41"/>
    <w:rsid w:val="00ED7147"/>
    <w:rsid w:val="00ED7927"/>
    <w:rsid w:val="00EE004A"/>
    <w:rsid w:val="00EE00AB"/>
    <w:rsid w:val="00EE07F6"/>
    <w:rsid w:val="00EE112E"/>
    <w:rsid w:val="00EE1299"/>
    <w:rsid w:val="00EE26A7"/>
    <w:rsid w:val="00EE2D0D"/>
    <w:rsid w:val="00EE5021"/>
    <w:rsid w:val="00EE6071"/>
    <w:rsid w:val="00EE6538"/>
    <w:rsid w:val="00EE75C8"/>
    <w:rsid w:val="00EE79C9"/>
    <w:rsid w:val="00EF0512"/>
    <w:rsid w:val="00EF1CC2"/>
    <w:rsid w:val="00EF4777"/>
    <w:rsid w:val="00EF6A6A"/>
    <w:rsid w:val="00EF6BDD"/>
    <w:rsid w:val="00EF6E86"/>
    <w:rsid w:val="00EF7274"/>
    <w:rsid w:val="00F0000F"/>
    <w:rsid w:val="00F007C4"/>
    <w:rsid w:val="00F00AF7"/>
    <w:rsid w:val="00F00D73"/>
    <w:rsid w:val="00F01066"/>
    <w:rsid w:val="00F01EF9"/>
    <w:rsid w:val="00F0281F"/>
    <w:rsid w:val="00F03130"/>
    <w:rsid w:val="00F033E6"/>
    <w:rsid w:val="00F0349E"/>
    <w:rsid w:val="00F03B95"/>
    <w:rsid w:val="00F04C61"/>
    <w:rsid w:val="00F05F9A"/>
    <w:rsid w:val="00F06859"/>
    <w:rsid w:val="00F072B1"/>
    <w:rsid w:val="00F07694"/>
    <w:rsid w:val="00F07BDD"/>
    <w:rsid w:val="00F12D19"/>
    <w:rsid w:val="00F1412A"/>
    <w:rsid w:val="00F1588F"/>
    <w:rsid w:val="00F16200"/>
    <w:rsid w:val="00F171EE"/>
    <w:rsid w:val="00F17818"/>
    <w:rsid w:val="00F209D8"/>
    <w:rsid w:val="00F20CDD"/>
    <w:rsid w:val="00F22308"/>
    <w:rsid w:val="00F227C9"/>
    <w:rsid w:val="00F23272"/>
    <w:rsid w:val="00F23392"/>
    <w:rsid w:val="00F23A1B"/>
    <w:rsid w:val="00F242A0"/>
    <w:rsid w:val="00F25C27"/>
    <w:rsid w:val="00F25C7F"/>
    <w:rsid w:val="00F25E37"/>
    <w:rsid w:val="00F2657B"/>
    <w:rsid w:val="00F266EF"/>
    <w:rsid w:val="00F26C59"/>
    <w:rsid w:val="00F270B8"/>
    <w:rsid w:val="00F27828"/>
    <w:rsid w:val="00F3061D"/>
    <w:rsid w:val="00F30637"/>
    <w:rsid w:val="00F324D4"/>
    <w:rsid w:val="00F3385A"/>
    <w:rsid w:val="00F34FFD"/>
    <w:rsid w:val="00F3506C"/>
    <w:rsid w:val="00F35098"/>
    <w:rsid w:val="00F35937"/>
    <w:rsid w:val="00F35AFE"/>
    <w:rsid w:val="00F35ED7"/>
    <w:rsid w:val="00F3665A"/>
    <w:rsid w:val="00F368E1"/>
    <w:rsid w:val="00F36BF3"/>
    <w:rsid w:val="00F36E4A"/>
    <w:rsid w:val="00F400B9"/>
    <w:rsid w:val="00F40808"/>
    <w:rsid w:val="00F40997"/>
    <w:rsid w:val="00F40C14"/>
    <w:rsid w:val="00F40E71"/>
    <w:rsid w:val="00F4130F"/>
    <w:rsid w:val="00F4212A"/>
    <w:rsid w:val="00F422D6"/>
    <w:rsid w:val="00F42328"/>
    <w:rsid w:val="00F42671"/>
    <w:rsid w:val="00F42C28"/>
    <w:rsid w:val="00F42DFE"/>
    <w:rsid w:val="00F42E77"/>
    <w:rsid w:val="00F437CD"/>
    <w:rsid w:val="00F43BC0"/>
    <w:rsid w:val="00F443AE"/>
    <w:rsid w:val="00F4483E"/>
    <w:rsid w:val="00F4489E"/>
    <w:rsid w:val="00F46854"/>
    <w:rsid w:val="00F46CC7"/>
    <w:rsid w:val="00F4710A"/>
    <w:rsid w:val="00F5040A"/>
    <w:rsid w:val="00F50C5C"/>
    <w:rsid w:val="00F50C97"/>
    <w:rsid w:val="00F50CB0"/>
    <w:rsid w:val="00F510BD"/>
    <w:rsid w:val="00F51700"/>
    <w:rsid w:val="00F51BDC"/>
    <w:rsid w:val="00F51D35"/>
    <w:rsid w:val="00F52946"/>
    <w:rsid w:val="00F53E57"/>
    <w:rsid w:val="00F54657"/>
    <w:rsid w:val="00F54AE4"/>
    <w:rsid w:val="00F54E2E"/>
    <w:rsid w:val="00F55167"/>
    <w:rsid w:val="00F55449"/>
    <w:rsid w:val="00F55CEB"/>
    <w:rsid w:val="00F55F67"/>
    <w:rsid w:val="00F56D11"/>
    <w:rsid w:val="00F56DC0"/>
    <w:rsid w:val="00F56E06"/>
    <w:rsid w:val="00F60452"/>
    <w:rsid w:val="00F6077C"/>
    <w:rsid w:val="00F612C8"/>
    <w:rsid w:val="00F61B18"/>
    <w:rsid w:val="00F61DE6"/>
    <w:rsid w:val="00F629F3"/>
    <w:rsid w:val="00F641D7"/>
    <w:rsid w:val="00F64744"/>
    <w:rsid w:val="00F64F87"/>
    <w:rsid w:val="00F6547B"/>
    <w:rsid w:val="00F65BC8"/>
    <w:rsid w:val="00F66A3B"/>
    <w:rsid w:val="00F66F74"/>
    <w:rsid w:val="00F66FE7"/>
    <w:rsid w:val="00F670EB"/>
    <w:rsid w:val="00F67AC0"/>
    <w:rsid w:val="00F7000C"/>
    <w:rsid w:val="00F7001E"/>
    <w:rsid w:val="00F70452"/>
    <w:rsid w:val="00F71008"/>
    <w:rsid w:val="00F71582"/>
    <w:rsid w:val="00F71D5E"/>
    <w:rsid w:val="00F73D57"/>
    <w:rsid w:val="00F7435B"/>
    <w:rsid w:val="00F749E5"/>
    <w:rsid w:val="00F7517C"/>
    <w:rsid w:val="00F75823"/>
    <w:rsid w:val="00F771C6"/>
    <w:rsid w:val="00F77DC4"/>
    <w:rsid w:val="00F77EE5"/>
    <w:rsid w:val="00F80800"/>
    <w:rsid w:val="00F81174"/>
    <w:rsid w:val="00F81223"/>
    <w:rsid w:val="00F812DF"/>
    <w:rsid w:val="00F818F4"/>
    <w:rsid w:val="00F81978"/>
    <w:rsid w:val="00F825B2"/>
    <w:rsid w:val="00F8281D"/>
    <w:rsid w:val="00F82C11"/>
    <w:rsid w:val="00F83381"/>
    <w:rsid w:val="00F83DCB"/>
    <w:rsid w:val="00F83FBE"/>
    <w:rsid w:val="00F84A29"/>
    <w:rsid w:val="00F85436"/>
    <w:rsid w:val="00F85BE8"/>
    <w:rsid w:val="00F8663A"/>
    <w:rsid w:val="00F867DF"/>
    <w:rsid w:val="00F8764C"/>
    <w:rsid w:val="00F878D9"/>
    <w:rsid w:val="00F913C1"/>
    <w:rsid w:val="00F91475"/>
    <w:rsid w:val="00F91DC0"/>
    <w:rsid w:val="00F92B0B"/>
    <w:rsid w:val="00F92F63"/>
    <w:rsid w:val="00F942C6"/>
    <w:rsid w:val="00F945E9"/>
    <w:rsid w:val="00F94FA9"/>
    <w:rsid w:val="00F95766"/>
    <w:rsid w:val="00F95D41"/>
    <w:rsid w:val="00F96B16"/>
    <w:rsid w:val="00FA099F"/>
    <w:rsid w:val="00FA0FC5"/>
    <w:rsid w:val="00FA19BB"/>
    <w:rsid w:val="00FA33DE"/>
    <w:rsid w:val="00FA3BCF"/>
    <w:rsid w:val="00FA5090"/>
    <w:rsid w:val="00FA5A84"/>
    <w:rsid w:val="00FA603F"/>
    <w:rsid w:val="00FA608F"/>
    <w:rsid w:val="00FA66FB"/>
    <w:rsid w:val="00FA6C99"/>
    <w:rsid w:val="00FA6CAA"/>
    <w:rsid w:val="00FA72A2"/>
    <w:rsid w:val="00FB0136"/>
    <w:rsid w:val="00FB26CC"/>
    <w:rsid w:val="00FB26FB"/>
    <w:rsid w:val="00FB308D"/>
    <w:rsid w:val="00FB39F2"/>
    <w:rsid w:val="00FB40E0"/>
    <w:rsid w:val="00FB47FF"/>
    <w:rsid w:val="00FB48D4"/>
    <w:rsid w:val="00FB4F48"/>
    <w:rsid w:val="00FB502A"/>
    <w:rsid w:val="00FB5A0E"/>
    <w:rsid w:val="00FB60BA"/>
    <w:rsid w:val="00FB621B"/>
    <w:rsid w:val="00FB65C9"/>
    <w:rsid w:val="00FB6C0A"/>
    <w:rsid w:val="00FC0871"/>
    <w:rsid w:val="00FC0EAE"/>
    <w:rsid w:val="00FC13CF"/>
    <w:rsid w:val="00FC1AFF"/>
    <w:rsid w:val="00FC2012"/>
    <w:rsid w:val="00FC2387"/>
    <w:rsid w:val="00FC27B2"/>
    <w:rsid w:val="00FC33AD"/>
    <w:rsid w:val="00FC351C"/>
    <w:rsid w:val="00FC5373"/>
    <w:rsid w:val="00FC6E9D"/>
    <w:rsid w:val="00FC73B3"/>
    <w:rsid w:val="00FC7CB9"/>
    <w:rsid w:val="00FD0302"/>
    <w:rsid w:val="00FD12F4"/>
    <w:rsid w:val="00FD18A3"/>
    <w:rsid w:val="00FD1D6E"/>
    <w:rsid w:val="00FD1E22"/>
    <w:rsid w:val="00FD3D3B"/>
    <w:rsid w:val="00FD4046"/>
    <w:rsid w:val="00FD4994"/>
    <w:rsid w:val="00FD6849"/>
    <w:rsid w:val="00FD72A4"/>
    <w:rsid w:val="00FD765E"/>
    <w:rsid w:val="00FD7845"/>
    <w:rsid w:val="00FD7FEC"/>
    <w:rsid w:val="00FE04C3"/>
    <w:rsid w:val="00FE1113"/>
    <w:rsid w:val="00FE194C"/>
    <w:rsid w:val="00FE1C72"/>
    <w:rsid w:val="00FE29A6"/>
    <w:rsid w:val="00FE3B3C"/>
    <w:rsid w:val="00FE44FA"/>
    <w:rsid w:val="00FE519C"/>
    <w:rsid w:val="00FE57C2"/>
    <w:rsid w:val="00FE640F"/>
    <w:rsid w:val="00FE6FC3"/>
    <w:rsid w:val="00FE74B7"/>
    <w:rsid w:val="00FE7719"/>
    <w:rsid w:val="00FE7875"/>
    <w:rsid w:val="00FF00BE"/>
    <w:rsid w:val="00FF03CE"/>
    <w:rsid w:val="00FF2829"/>
    <w:rsid w:val="00FF2CAB"/>
    <w:rsid w:val="00FF3246"/>
    <w:rsid w:val="00FF328E"/>
    <w:rsid w:val="00FF32A1"/>
    <w:rsid w:val="00FF36D8"/>
    <w:rsid w:val="00FF3973"/>
    <w:rsid w:val="00FF3BD4"/>
    <w:rsid w:val="00FF41BA"/>
    <w:rsid w:val="00FF4347"/>
    <w:rsid w:val="00FF48A7"/>
    <w:rsid w:val="00FF4E89"/>
    <w:rsid w:val="00FF516B"/>
    <w:rsid w:val="00FF519F"/>
    <w:rsid w:val="00FF60E9"/>
    <w:rsid w:val="1F20221B"/>
    <w:rsid w:val="2CA46E6F"/>
    <w:rsid w:val="304289BB"/>
    <w:rsid w:val="371EBAC2"/>
    <w:rsid w:val="3E17FDA8"/>
    <w:rsid w:val="468036DF"/>
    <w:rsid w:val="477C1FFC"/>
    <w:rsid w:val="6961D7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A1F71"/>
  <w15:chartTrackingRefBased/>
  <w15:docId w15:val="{FF9A5018-CA6F-4F8C-A83D-24626C43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4C"/>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9231E5"/>
    <w:pPr>
      <w:keepNext/>
      <w:keepLines/>
      <w:widowControl/>
      <w:numPr>
        <w:numId w:val="15"/>
      </w:numPr>
      <w:spacing w:line="480" w:lineRule="auto"/>
      <w:outlineLvl w:val="0"/>
    </w:pPr>
    <w:rPr>
      <w:rFonts w:eastAsiaTheme="majorEastAsia"/>
      <w:b/>
      <w:kern w:val="32"/>
      <w:szCs w:val="32"/>
    </w:rPr>
  </w:style>
  <w:style w:type="paragraph" w:styleId="Heading2">
    <w:name w:val="heading 2"/>
    <w:basedOn w:val="Normal"/>
    <w:next w:val="FERCparanumber"/>
    <w:link w:val="Heading2Char"/>
    <w:uiPriority w:val="9"/>
    <w:unhideWhenUsed/>
    <w:qFormat/>
    <w:rsid w:val="009231E5"/>
    <w:pPr>
      <w:keepNext/>
      <w:keepLines/>
      <w:widowControl/>
      <w:numPr>
        <w:ilvl w:val="1"/>
        <w:numId w:val="15"/>
      </w:numPr>
      <w:spacing w:line="480" w:lineRule="auto"/>
      <w:outlineLvl w:val="1"/>
    </w:pPr>
    <w:rPr>
      <w:rFonts w:eastAsiaTheme="majorEastAsia"/>
      <w:b/>
      <w:kern w:val="32"/>
      <w:szCs w:val="26"/>
    </w:rPr>
  </w:style>
  <w:style w:type="paragraph" w:styleId="Heading3">
    <w:name w:val="heading 3"/>
    <w:basedOn w:val="Normal"/>
    <w:next w:val="FERCparanumber"/>
    <w:uiPriority w:val="9"/>
    <w:unhideWhenUsed/>
    <w:qFormat/>
    <w:rsid w:val="009231E5"/>
    <w:pPr>
      <w:keepNext/>
      <w:keepLines/>
      <w:widowControl/>
      <w:numPr>
        <w:ilvl w:val="2"/>
        <w:numId w:val="15"/>
      </w:numPr>
      <w:spacing w:line="480" w:lineRule="auto"/>
      <w:outlineLvl w:val="2"/>
    </w:pPr>
    <w:rPr>
      <w:rFonts w:eastAsiaTheme="majorEastAsia"/>
      <w:b/>
      <w:kern w:val="32"/>
      <w:szCs w:val="24"/>
    </w:rPr>
  </w:style>
  <w:style w:type="paragraph" w:styleId="Heading4">
    <w:name w:val="heading 4"/>
    <w:basedOn w:val="Normal"/>
    <w:next w:val="FERCparanumber"/>
    <w:uiPriority w:val="9"/>
    <w:unhideWhenUsed/>
    <w:qFormat/>
    <w:rsid w:val="009231E5"/>
    <w:pPr>
      <w:keepNext/>
      <w:keepLines/>
      <w:widowControl/>
      <w:numPr>
        <w:ilvl w:val="3"/>
        <w:numId w:val="15"/>
      </w:numPr>
      <w:spacing w:line="480" w:lineRule="auto"/>
      <w:outlineLvl w:val="3"/>
    </w:pPr>
    <w:rPr>
      <w:rFonts w:eastAsiaTheme="majorEastAsia"/>
      <w:b/>
      <w:iCs/>
      <w:kern w:val="32"/>
    </w:rPr>
  </w:style>
  <w:style w:type="paragraph" w:styleId="Heading5">
    <w:name w:val="heading 5"/>
    <w:basedOn w:val="Normal"/>
    <w:next w:val="FERCparanumber"/>
    <w:uiPriority w:val="9"/>
    <w:unhideWhenUsed/>
    <w:qFormat/>
    <w:rsid w:val="009231E5"/>
    <w:pPr>
      <w:keepNext/>
      <w:keepLines/>
      <w:widowControl/>
      <w:numPr>
        <w:ilvl w:val="4"/>
        <w:numId w:val="15"/>
      </w:numPr>
      <w:spacing w:line="480" w:lineRule="auto"/>
      <w:outlineLvl w:val="4"/>
    </w:pPr>
    <w:rPr>
      <w:rFonts w:eastAsiaTheme="majorEastAsia"/>
      <w:b/>
      <w:kern w:val="32"/>
    </w:rPr>
  </w:style>
  <w:style w:type="paragraph" w:styleId="Heading6">
    <w:name w:val="heading 6"/>
    <w:basedOn w:val="Normal"/>
    <w:next w:val="FERCparanumber"/>
    <w:uiPriority w:val="9"/>
    <w:unhideWhenUsed/>
    <w:qFormat/>
    <w:rsid w:val="009231E5"/>
    <w:pPr>
      <w:keepNext/>
      <w:keepLines/>
      <w:widowControl/>
      <w:numPr>
        <w:ilvl w:val="5"/>
        <w:numId w:val="15"/>
      </w:numPr>
      <w:spacing w:line="480" w:lineRule="auto"/>
      <w:outlineLvl w:val="5"/>
    </w:pPr>
    <w:rPr>
      <w:rFonts w:eastAsiaTheme="majorEastAsia"/>
      <w:b/>
      <w:kern w:val="32"/>
    </w:rPr>
  </w:style>
  <w:style w:type="paragraph" w:styleId="Heading7">
    <w:name w:val="heading 7"/>
    <w:basedOn w:val="Normal"/>
    <w:next w:val="FERCparanumber"/>
    <w:uiPriority w:val="9"/>
    <w:unhideWhenUsed/>
    <w:qFormat/>
    <w:rsid w:val="009231E5"/>
    <w:pPr>
      <w:keepNext/>
      <w:keepLines/>
      <w:widowControl/>
      <w:numPr>
        <w:ilvl w:val="6"/>
        <w:numId w:val="15"/>
      </w:numPr>
      <w:spacing w:line="480" w:lineRule="auto"/>
      <w:outlineLvl w:val="6"/>
    </w:pPr>
    <w:rPr>
      <w:rFonts w:eastAsiaTheme="majorEastAsia"/>
      <w:b/>
      <w:iCs/>
      <w:kern w:val="32"/>
    </w:rPr>
  </w:style>
  <w:style w:type="paragraph" w:styleId="Heading8">
    <w:name w:val="heading 8"/>
    <w:basedOn w:val="Normal"/>
    <w:next w:val="FERCparanumber"/>
    <w:uiPriority w:val="9"/>
    <w:unhideWhenUsed/>
    <w:qFormat/>
    <w:rsid w:val="009231E5"/>
    <w:pPr>
      <w:keepNext/>
      <w:keepLines/>
      <w:widowControl/>
      <w:numPr>
        <w:ilvl w:val="7"/>
        <w:numId w:val="15"/>
      </w:numPr>
      <w:spacing w:line="480" w:lineRule="auto"/>
      <w:outlineLvl w:val="7"/>
    </w:pPr>
    <w:rPr>
      <w:rFonts w:eastAsiaTheme="majorEastAsia"/>
      <w:b/>
      <w:kern w:val="32"/>
      <w:szCs w:val="21"/>
    </w:rPr>
  </w:style>
  <w:style w:type="paragraph" w:styleId="Heading9">
    <w:name w:val="heading 9"/>
    <w:basedOn w:val="Normal"/>
    <w:next w:val="FERCparanumber"/>
    <w:uiPriority w:val="9"/>
    <w:semiHidden/>
    <w:unhideWhenUsed/>
    <w:qFormat/>
    <w:rsid w:val="009231E5"/>
    <w:pPr>
      <w:keepNext/>
      <w:keepLines/>
      <w:widowControl/>
      <w:numPr>
        <w:ilvl w:val="8"/>
        <w:numId w:val="15"/>
      </w:numPr>
      <w:spacing w:line="480" w:lineRule="auto"/>
      <w:outlineLvl w:val="8"/>
    </w:pPr>
    <w:rPr>
      <w:rFonts w:eastAsiaTheme="majorEastAsia"/>
      <w:b/>
      <w:iCs/>
      <w:kern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nhideWhenUsed/>
    <w:qFormat/>
    <w:rsid w:val="00DD46EB"/>
    <w:pPr>
      <w:spacing w:after="260"/>
      <w:ind w:firstLine="720"/>
    </w:pPr>
    <w:rPr>
      <w:szCs w:val="20"/>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3D4B8D"/>
    <w:rPr>
      <w:rFonts w:ascii="Times New Roman" w:hAnsi="Times New Roman" w:cs="Times New Roman"/>
      <w:sz w:val="26"/>
      <w:szCs w:val="20"/>
    </w:rPr>
  </w:style>
  <w:style w:type="paragraph" w:styleId="Revision">
    <w:name w:val="Revision"/>
    <w:hidden/>
    <w:uiPriority w:val="99"/>
    <w:semiHidden/>
    <w:rsid w:val="00271804"/>
    <w:pPr>
      <w:spacing w:after="0" w:line="240" w:lineRule="auto"/>
    </w:pPr>
    <w:rPr>
      <w:rFonts w:ascii="Times New Roman" w:hAnsi="Times New Roman" w:cs="Times New Roman"/>
      <w:sz w:val="26"/>
    </w:rPr>
  </w:style>
  <w:style w:type="character" w:styleId="FollowedHyperlink">
    <w:name w:val="FollowedHyperlink"/>
    <w:basedOn w:val="DefaultParagraphFont"/>
    <w:uiPriority w:val="99"/>
    <w:semiHidden/>
    <w:unhideWhenUsed/>
    <w:rsid w:val="00271804"/>
    <w:rPr>
      <w:color w:val="954F72" w:themeColor="followedHyperlink"/>
      <w:u w:val="single"/>
    </w:rPr>
  </w:style>
  <w:style w:type="character" w:styleId="Mention">
    <w:name w:val="Mention"/>
    <w:basedOn w:val="DefaultParagraphFont"/>
    <w:uiPriority w:val="99"/>
    <w:unhideWhenUsed/>
    <w:rsid w:val="00FB6C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645">
      <w:bodyDiv w:val="1"/>
      <w:marLeft w:val="0"/>
      <w:marRight w:val="0"/>
      <w:marTop w:val="0"/>
      <w:marBottom w:val="0"/>
      <w:divBdr>
        <w:top w:val="none" w:sz="0" w:space="0" w:color="auto"/>
        <w:left w:val="none" w:sz="0" w:space="0" w:color="auto"/>
        <w:bottom w:val="none" w:sz="0" w:space="0" w:color="auto"/>
        <w:right w:val="none" w:sz="0" w:space="0" w:color="auto"/>
      </w:divBdr>
      <w:divsChild>
        <w:div w:id="1557273512">
          <w:marLeft w:val="0"/>
          <w:marRight w:val="0"/>
          <w:marTop w:val="0"/>
          <w:marBottom w:val="0"/>
          <w:divBdr>
            <w:top w:val="none" w:sz="0" w:space="0" w:color="auto"/>
            <w:left w:val="none" w:sz="0" w:space="0" w:color="auto"/>
            <w:bottom w:val="none" w:sz="0" w:space="0" w:color="auto"/>
            <w:right w:val="none" w:sz="0" w:space="0" w:color="auto"/>
          </w:divBdr>
        </w:div>
      </w:divsChild>
    </w:div>
    <w:div w:id="200822722">
      <w:bodyDiv w:val="1"/>
      <w:marLeft w:val="0"/>
      <w:marRight w:val="0"/>
      <w:marTop w:val="0"/>
      <w:marBottom w:val="0"/>
      <w:divBdr>
        <w:top w:val="none" w:sz="0" w:space="0" w:color="auto"/>
        <w:left w:val="none" w:sz="0" w:space="0" w:color="auto"/>
        <w:bottom w:val="none" w:sz="0" w:space="0" w:color="auto"/>
        <w:right w:val="none" w:sz="0" w:space="0" w:color="auto"/>
      </w:divBdr>
    </w:div>
    <w:div w:id="291987783">
      <w:bodyDiv w:val="1"/>
      <w:marLeft w:val="0"/>
      <w:marRight w:val="0"/>
      <w:marTop w:val="0"/>
      <w:marBottom w:val="0"/>
      <w:divBdr>
        <w:top w:val="none" w:sz="0" w:space="0" w:color="auto"/>
        <w:left w:val="none" w:sz="0" w:space="0" w:color="auto"/>
        <w:bottom w:val="none" w:sz="0" w:space="0" w:color="auto"/>
        <w:right w:val="none" w:sz="0" w:space="0" w:color="auto"/>
      </w:divBdr>
    </w:div>
    <w:div w:id="379328180">
      <w:bodyDiv w:val="1"/>
      <w:marLeft w:val="0"/>
      <w:marRight w:val="0"/>
      <w:marTop w:val="0"/>
      <w:marBottom w:val="0"/>
      <w:divBdr>
        <w:top w:val="none" w:sz="0" w:space="0" w:color="auto"/>
        <w:left w:val="none" w:sz="0" w:space="0" w:color="auto"/>
        <w:bottom w:val="none" w:sz="0" w:space="0" w:color="auto"/>
        <w:right w:val="none" w:sz="0" w:space="0" w:color="auto"/>
      </w:divBdr>
    </w:div>
    <w:div w:id="381443528">
      <w:bodyDiv w:val="1"/>
      <w:marLeft w:val="0"/>
      <w:marRight w:val="0"/>
      <w:marTop w:val="0"/>
      <w:marBottom w:val="0"/>
      <w:divBdr>
        <w:top w:val="none" w:sz="0" w:space="0" w:color="auto"/>
        <w:left w:val="none" w:sz="0" w:space="0" w:color="auto"/>
        <w:bottom w:val="none" w:sz="0" w:space="0" w:color="auto"/>
        <w:right w:val="none" w:sz="0" w:space="0" w:color="auto"/>
      </w:divBdr>
    </w:div>
    <w:div w:id="382874872">
      <w:bodyDiv w:val="1"/>
      <w:marLeft w:val="0"/>
      <w:marRight w:val="0"/>
      <w:marTop w:val="0"/>
      <w:marBottom w:val="0"/>
      <w:divBdr>
        <w:top w:val="none" w:sz="0" w:space="0" w:color="auto"/>
        <w:left w:val="none" w:sz="0" w:space="0" w:color="auto"/>
        <w:bottom w:val="none" w:sz="0" w:space="0" w:color="auto"/>
        <w:right w:val="none" w:sz="0" w:space="0" w:color="auto"/>
      </w:divBdr>
    </w:div>
    <w:div w:id="507016505">
      <w:bodyDiv w:val="1"/>
      <w:marLeft w:val="0"/>
      <w:marRight w:val="0"/>
      <w:marTop w:val="0"/>
      <w:marBottom w:val="0"/>
      <w:divBdr>
        <w:top w:val="none" w:sz="0" w:space="0" w:color="auto"/>
        <w:left w:val="none" w:sz="0" w:space="0" w:color="auto"/>
        <w:bottom w:val="none" w:sz="0" w:space="0" w:color="auto"/>
        <w:right w:val="none" w:sz="0" w:space="0" w:color="auto"/>
      </w:divBdr>
    </w:div>
    <w:div w:id="596910455">
      <w:bodyDiv w:val="1"/>
      <w:marLeft w:val="0"/>
      <w:marRight w:val="0"/>
      <w:marTop w:val="0"/>
      <w:marBottom w:val="0"/>
      <w:divBdr>
        <w:top w:val="none" w:sz="0" w:space="0" w:color="auto"/>
        <w:left w:val="none" w:sz="0" w:space="0" w:color="auto"/>
        <w:bottom w:val="none" w:sz="0" w:space="0" w:color="auto"/>
        <w:right w:val="none" w:sz="0" w:space="0" w:color="auto"/>
      </w:divBdr>
      <w:divsChild>
        <w:div w:id="1307709031">
          <w:marLeft w:val="0"/>
          <w:marRight w:val="0"/>
          <w:marTop w:val="0"/>
          <w:marBottom w:val="0"/>
          <w:divBdr>
            <w:top w:val="none" w:sz="0" w:space="0" w:color="3D3D3D"/>
            <w:left w:val="none" w:sz="0" w:space="0" w:color="3D3D3D"/>
            <w:bottom w:val="none" w:sz="0" w:space="0" w:color="3D3D3D"/>
            <w:right w:val="none" w:sz="0" w:space="0" w:color="3D3D3D"/>
          </w:divBdr>
          <w:divsChild>
            <w:div w:id="12485356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92077790">
      <w:bodyDiv w:val="1"/>
      <w:marLeft w:val="0"/>
      <w:marRight w:val="0"/>
      <w:marTop w:val="0"/>
      <w:marBottom w:val="0"/>
      <w:divBdr>
        <w:top w:val="none" w:sz="0" w:space="0" w:color="auto"/>
        <w:left w:val="none" w:sz="0" w:space="0" w:color="auto"/>
        <w:bottom w:val="none" w:sz="0" w:space="0" w:color="auto"/>
        <w:right w:val="none" w:sz="0" w:space="0" w:color="auto"/>
      </w:divBdr>
    </w:div>
    <w:div w:id="1014649831">
      <w:bodyDiv w:val="1"/>
      <w:marLeft w:val="0"/>
      <w:marRight w:val="0"/>
      <w:marTop w:val="0"/>
      <w:marBottom w:val="0"/>
      <w:divBdr>
        <w:top w:val="none" w:sz="0" w:space="0" w:color="auto"/>
        <w:left w:val="none" w:sz="0" w:space="0" w:color="auto"/>
        <w:bottom w:val="none" w:sz="0" w:space="0" w:color="auto"/>
        <w:right w:val="none" w:sz="0" w:space="0" w:color="auto"/>
      </w:divBdr>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383864482">
      <w:bodyDiv w:val="1"/>
      <w:marLeft w:val="0"/>
      <w:marRight w:val="0"/>
      <w:marTop w:val="0"/>
      <w:marBottom w:val="0"/>
      <w:divBdr>
        <w:top w:val="none" w:sz="0" w:space="0" w:color="auto"/>
        <w:left w:val="none" w:sz="0" w:space="0" w:color="auto"/>
        <w:bottom w:val="none" w:sz="0" w:space="0" w:color="auto"/>
        <w:right w:val="none" w:sz="0" w:space="0" w:color="auto"/>
      </w:divBdr>
      <w:divsChild>
        <w:div w:id="1673869181">
          <w:marLeft w:val="0"/>
          <w:marRight w:val="0"/>
          <w:marTop w:val="0"/>
          <w:marBottom w:val="0"/>
          <w:divBdr>
            <w:top w:val="none" w:sz="0" w:space="0" w:color="auto"/>
            <w:left w:val="none" w:sz="0" w:space="0" w:color="auto"/>
            <w:bottom w:val="none" w:sz="0" w:space="0" w:color="auto"/>
            <w:right w:val="none" w:sz="0" w:space="0" w:color="auto"/>
          </w:divBdr>
        </w:div>
      </w:divsChild>
    </w:div>
    <w:div w:id="1438527069">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509783799">
      <w:bodyDiv w:val="1"/>
      <w:marLeft w:val="0"/>
      <w:marRight w:val="0"/>
      <w:marTop w:val="0"/>
      <w:marBottom w:val="0"/>
      <w:divBdr>
        <w:top w:val="none" w:sz="0" w:space="0" w:color="auto"/>
        <w:left w:val="none" w:sz="0" w:space="0" w:color="auto"/>
        <w:bottom w:val="none" w:sz="0" w:space="0" w:color="auto"/>
        <w:right w:val="none" w:sz="0" w:space="0" w:color="auto"/>
      </w:divBdr>
    </w:div>
    <w:div w:id="1521554322">
      <w:bodyDiv w:val="1"/>
      <w:marLeft w:val="0"/>
      <w:marRight w:val="0"/>
      <w:marTop w:val="0"/>
      <w:marBottom w:val="0"/>
      <w:divBdr>
        <w:top w:val="none" w:sz="0" w:space="0" w:color="auto"/>
        <w:left w:val="none" w:sz="0" w:space="0" w:color="auto"/>
        <w:bottom w:val="none" w:sz="0" w:space="0" w:color="auto"/>
        <w:right w:val="none" w:sz="0" w:space="0" w:color="auto"/>
      </w:divBdr>
      <w:divsChild>
        <w:div w:id="657224297">
          <w:marLeft w:val="0"/>
          <w:marRight w:val="0"/>
          <w:marTop w:val="0"/>
          <w:marBottom w:val="0"/>
          <w:divBdr>
            <w:top w:val="none" w:sz="0" w:space="0" w:color="3D3D3D"/>
            <w:left w:val="none" w:sz="0" w:space="0" w:color="3D3D3D"/>
            <w:bottom w:val="none" w:sz="0" w:space="0" w:color="3D3D3D"/>
            <w:right w:val="none" w:sz="0" w:space="0" w:color="3D3D3D"/>
          </w:divBdr>
          <w:divsChild>
            <w:div w:id="80107920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1967032">
      <w:bodyDiv w:val="1"/>
      <w:marLeft w:val="0"/>
      <w:marRight w:val="0"/>
      <w:marTop w:val="0"/>
      <w:marBottom w:val="0"/>
      <w:divBdr>
        <w:top w:val="none" w:sz="0" w:space="0" w:color="auto"/>
        <w:left w:val="none" w:sz="0" w:space="0" w:color="auto"/>
        <w:bottom w:val="none" w:sz="0" w:space="0" w:color="auto"/>
        <w:right w:val="none" w:sz="0" w:space="0" w:color="auto"/>
      </w:divBdr>
    </w:div>
    <w:div w:id="1640646837">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7580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tyles" Target="styles.xml"/><Relationship Id="rId12" Type="http://schemas.openxmlformats.org/officeDocument/2006/relationships/hyperlink" Target="mailto:david.faerberg@ferc.gov" TargetMode="External"/><Relationship Id="rId17" Type="http://schemas.openxmlformats.org/officeDocument/2006/relationships/hyperlink" Target="mailto:public.referenceroom@ferc.gov" TargetMode="External"/><Relationship Id="rId2" Type="http://schemas.openxmlformats.org/officeDocument/2006/relationships/customXml" Target="../customXml/item2.xml"/><Relationship Id="rId16" Type="http://schemas.openxmlformats.org/officeDocument/2006/relationships/hyperlink" Target="mailto:ferconlinesupport@ferc.go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library.ferc.gov/eLibrary/filedownload?fileid=BB92A244-97DD-C8A7-96AC-8D897D6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BAC11-5042-4040-B954-DF1461534BB9}">
  <ds:schemaRefs>
    <ds:schemaRef ds:uri="http://schemas.microsoft.com/office/2006/metadata/properties"/>
    <ds:schemaRef ds:uri="http://schemas.microsoft.com/office/infopath/2007/PartnerControls"/>
    <ds:schemaRef ds:uri="5e8733a2-e908-454b-85cf-c9d17e1d0943"/>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0B8213C8-A269-4145-BFB8-C239B40AC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82D2F-3F4E-4AD6-B0CA-4D17D4735E32}">
  <ds:schemaRefs>
    <ds:schemaRef ds:uri="Microsoft.SharePoint.Taxonomy.ContentTypeSync"/>
  </ds:schemaRefs>
</ds:datastoreItem>
</file>

<file path=customXml/itemProps5.xml><?xml version="1.0" encoding="utf-8"?>
<ds:datastoreItem xmlns:ds="http://schemas.openxmlformats.org/officeDocument/2006/customXml" ds:itemID="{BDD74BFF-DAA0-41E9-BA5C-E0EE99DB3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6250</Words>
  <Characters>35630</Characters>
  <Application>Microsoft Office Word</Application>
  <DocSecurity>0</DocSecurity>
  <Lines>296</Lines>
  <Paragraphs>83</Paragraphs>
  <ScaleCrop>false</ScaleCrop>
  <Manager/>
  <Company/>
  <LinksUpToDate>false</LinksUpToDate>
  <CharactersWithSpaces>41797</CharactersWithSpaces>
  <SharedDoc>false</SharedDoc>
  <HyperlinkBase/>
  <HLinks>
    <vt:vector size="108" baseType="variant">
      <vt:variant>
        <vt:i4>8060938</vt:i4>
      </vt:variant>
      <vt:variant>
        <vt:i4>50</vt:i4>
      </vt:variant>
      <vt:variant>
        <vt:i4>0</vt:i4>
      </vt:variant>
      <vt:variant>
        <vt:i4>5</vt:i4>
      </vt:variant>
      <vt:variant>
        <vt:lpwstr>mailto:public.referenceroom@ferc.gov</vt:lpwstr>
      </vt:variant>
      <vt:variant>
        <vt:lpwstr/>
      </vt:variant>
      <vt:variant>
        <vt:i4>5636216</vt:i4>
      </vt:variant>
      <vt:variant>
        <vt:i4>47</vt:i4>
      </vt:variant>
      <vt:variant>
        <vt:i4>0</vt:i4>
      </vt:variant>
      <vt:variant>
        <vt:i4>5</vt:i4>
      </vt:variant>
      <vt:variant>
        <vt:lpwstr>mailto:ferconlinesupport@ferc.gov</vt:lpwstr>
      </vt:variant>
      <vt:variant>
        <vt:lpwstr/>
      </vt:variant>
      <vt:variant>
        <vt:i4>3932163</vt:i4>
      </vt:variant>
      <vt:variant>
        <vt:i4>44</vt:i4>
      </vt:variant>
      <vt:variant>
        <vt:i4>0</vt:i4>
      </vt:variant>
      <vt:variant>
        <vt:i4>5</vt:i4>
      </vt:variant>
      <vt:variant>
        <vt:lpwstr/>
      </vt:variant>
      <vt:variant>
        <vt:lpwstr>_bmk15</vt:lpwstr>
      </vt:variant>
      <vt:variant>
        <vt:i4>3997699</vt:i4>
      </vt:variant>
      <vt:variant>
        <vt:i4>41</vt:i4>
      </vt:variant>
      <vt:variant>
        <vt:i4>0</vt:i4>
      </vt:variant>
      <vt:variant>
        <vt:i4>5</vt:i4>
      </vt:variant>
      <vt:variant>
        <vt:lpwstr/>
      </vt:variant>
      <vt:variant>
        <vt:lpwstr>_bmk14</vt:lpwstr>
      </vt:variant>
      <vt:variant>
        <vt:i4>3801091</vt:i4>
      </vt:variant>
      <vt:variant>
        <vt:i4>38</vt:i4>
      </vt:variant>
      <vt:variant>
        <vt:i4>0</vt:i4>
      </vt:variant>
      <vt:variant>
        <vt:i4>5</vt:i4>
      </vt:variant>
      <vt:variant>
        <vt:lpwstr/>
      </vt:variant>
      <vt:variant>
        <vt:lpwstr>_bmk13</vt:lpwstr>
      </vt:variant>
      <vt:variant>
        <vt:i4>3866627</vt:i4>
      </vt:variant>
      <vt:variant>
        <vt:i4>35</vt:i4>
      </vt:variant>
      <vt:variant>
        <vt:i4>0</vt:i4>
      </vt:variant>
      <vt:variant>
        <vt:i4>5</vt:i4>
      </vt:variant>
      <vt:variant>
        <vt:lpwstr/>
      </vt:variant>
      <vt:variant>
        <vt:lpwstr>_bmk12</vt:lpwstr>
      </vt:variant>
      <vt:variant>
        <vt:i4>3670019</vt:i4>
      </vt:variant>
      <vt:variant>
        <vt:i4>32</vt:i4>
      </vt:variant>
      <vt:variant>
        <vt:i4>0</vt:i4>
      </vt:variant>
      <vt:variant>
        <vt:i4>5</vt:i4>
      </vt:variant>
      <vt:variant>
        <vt:lpwstr/>
      </vt:variant>
      <vt:variant>
        <vt:lpwstr>_bmk11</vt:lpwstr>
      </vt:variant>
      <vt:variant>
        <vt:i4>3735555</vt:i4>
      </vt:variant>
      <vt:variant>
        <vt:i4>29</vt:i4>
      </vt:variant>
      <vt:variant>
        <vt:i4>0</vt:i4>
      </vt:variant>
      <vt:variant>
        <vt:i4>5</vt:i4>
      </vt:variant>
      <vt:variant>
        <vt:lpwstr/>
      </vt:variant>
      <vt:variant>
        <vt:lpwstr>_bmk10</vt:lpwstr>
      </vt:variant>
      <vt:variant>
        <vt:i4>589874</vt:i4>
      </vt:variant>
      <vt:variant>
        <vt:i4>26</vt:i4>
      </vt:variant>
      <vt:variant>
        <vt:i4>0</vt:i4>
      </vt:variant>
      <vt:variant>
        <vt:i4>5</vt:i4>
      </vt:variant>
      <vt:variant>
        <vt:lpwstr/>
      </vt:variant>
      <vt:variant>
        <vt:lpwstr>_bmk9</vt:lpwstr>
      </vt:variant>
      <vt:variant>
        <vt:i4>589874</vt:i4>
      </vt:variant>
      <vt:variant>
        <vt:i4>23</vt:i4>
      </vt:variant>
      <vt:variant>
        <vt:i4>0</vt:i4>
      </vt:variant>
      <vt:variant>
        <vt:i4>5</vt:i4>
      </vt:variant>
      <vt:variant>
        <vt:lpwstr/>
      </vt:variant>
      <vt:variant>
        <vt:lpwstr>_bmk8</vt:lpwstr>
      </vt:variant>
      <vt:variant>
        <vt:i4>589874</vt:i4>
      </vt:variant>
      <vt:variant>
        <vt:i4>20</vt:i4>
      </vt:variant>
      <vt:variant>
        <vt:i4>0</vt:i4>
      </vt:variant>
      <vt:variant>
        <vt:i4>5</vt:i4>
      </vt:variant>
      <vt:variant>
        <vt:lpwstr/>
      </vt:variant>
      <vt:variant>
        <vt:lpwstr>_bmk7</vt:lpwstr>
      </vt:variant>
      <vt:variant>
        <vt:i4>589874</vt:i4>
      </vt:variant>
      <vt:variant>
        <vt:i4>17</vt:i4>
      </vt:variant>
      <vt:variant>
        <vt:i4>0</vt:i4>
      </vt:variant>
      <vt:variant>
        <vt:i4>5</vt:i4>
      </vt:variant>
      <vt:variant>
        <vt:lpwstr/>
      </vt:variant>
      <vt:variant>
        <vt:lpwstr>_bmk6</vt:lpwstr>
      </vt:variant>
      <vt:variant>
        <vt:i4>589874</vt:i4>
      </vt:variant>
      <vt:variant>
        <vt:i4>14</vt:i4>
      </vt:variant>
      <vt:variant>
        <vt:i4>0</vt:i4>
      </vt:variant>
      <vt:variant>
        <vt:i4>5</vt:i4>
      </vt:variant>
      <vt:variant>
        <vt:lpwstr/>
      </vt:variant>
      <vt:variant>
        <vt:lpwstr>_bmk5</vt:lpwstr>
      </vt:variant>
      <vt:variant>
        <vt:i4>589874</vt:i4>
      </vt:variant>
      <vt:variant>
        <vt:i4>11</vt:i4>
      </vt:variant>
      <vt:variant>
        <vt:i4>0</vt:i4>
      </vt:variant>
      <vt:variant>
        <vt:i4>5</vt:i4>
      </vt:variant>
      <vt:variant>
        <vt:lpwstr/>
      </vt:variant>
      <vt:variant>
        <vt:lpwstr>_bmk4</vt:lpwstr>
      </vt:variant>
      <vt:variant>
        <vt:i4>589874</vt:i4>
      </vt:variant>
      <vt:variant>
        <vt:i4>8</vt:i4>
      </vt:variant>
      <vt:variant>
        <vt:i4>0</vt:i4>
      </vt:variant>
      <vt:variant>
        <vt:i4>5</vt:i4>
      </vt:variant>
      <vt:variant>
        <vt:lpwstr/>
      </vt:variant>
      <vt:variant>
        <vt:lpwstr>_bmk3</vt:lpwstr>
      </vt:variant>
      <vt:variant>
        <vt:i4>589874</vt:i4>
      </vt:variant>
      <vt:variant>
        <vt:i4>5</vt:i4>
      </vt:variant>
      <vt:variant>
        <vt:i4>0</vt:i4>
      </vt:variant>
      <vt:variant>
        <vt:i4>5</vt:i4>
      </vt:variant>
      <vt:variant>
        <vt:lpwstr/>
      </vt:variant>
      <vt:variant>
        <vt:lpwstr>_bmk2</vt:lpwstr>
      </vt:variant>
      <vt:variant>
        <vt:i4>589874</vt:i4>
      </vt:variant>
      <vt:variant>
        <vt:i4>2</vt:i4>
      </vt:variant>
      <vt:variant>
        <vt:i4>0</vt:i4>
      </vt:variant>
      <vt:variant>
        <vt:i4>5</vt:i4>
      </vt:variant>
      <vt:variant>
        <vt:lpwstr/>
      </vt:variant>
      <vt:variant>
        <vt:lpwstr>_bmk1</vt:lpwstr>
      </vt:variant>
      <vt:variant>
        <vt:i4>2293867</vt:i4>
      </vt:variant>
      <vt:variant>
        <vt:i4>0</vt:i4>
      </vt:variant>
      <vt:variant>
        <vt:i4>0</vt:i4>
      </vt:variant>
      <vt:variant>
        <vt:i4>5</vt:i4>
      </vt:variant>
      <vt:variant>
        <vt:lpwstr>https://elibrary.ferc.gov/eLibrary/filedownload?fileid=BB92A244-97DD-C8A7-96AC-8D897D600000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Booe</dc:creator>
  <cp:keywords/>
  <dc:description/>
  <cp:lastModifiedBy>Jonathan Booe</cp:lastModifiedBy>
  <cp:revision>2</cp:revision>
  <dcterms:created xsi:type="dcterms:W3CDTF">2025-10-16T20:20:00Z</dcterms:created>
  <dcterms:modified xsi:type="dcterms:W3CDTF">2025-10-16T20:20:00Z</dcterms:modified>
  <cp:category/>
  <dc:identifier/>
  <cp:contentStatus/>
  <cp:version/>
</cp:coreProperties>
</file>