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87B43" w14:textId="495D1764" w:rsidR="00431353" w:rsidRDefault="00B457F6" w:rsidP="00B457F6">
      <w:pPr>
        <w:spacing w:before="120"/>
        <w:outlineLvl w:val="0"/>
      </w:pPr>
      <w:r>
        <w:rPr>
          <w:b/>
        </w:rPr>
        <w:t>P</w:t>
      </w:r>
      <w:r w:rsidR="00431353">
        <w:rPr>
          <w:b/>
        </w:rPr>
        <w:t>lease find</w:t>
      </w:r>
      <w:r>
        <w:rPr>
          <w:b/>
        </w:rPr>
        <w:t xml:space="preserve"> below areas that have been identified by Strategy Committee for potential standards development and/or other activities that the NAESB Board of Directors should consider.  The risks, rewards, and possible implications for the organization in determining to pursue work in these areas have been discussed by the Strategy Committee and have been included in the following table for the Board of Directors consideration.   </w:t>
      </w:r>
    </w:p>
    <w:p w14:paraId="39AD8578" w14:textId="77777777" w:rsidR="00431353" w:rsidRDefault="00431353" w:rsidP="005450D7">
      <w:pPr>
        <w:rPr>
          <w:b/>
        </w:rPr>
      </w:pPr>
    </w:p>
    <w:tbl>
      <w:tblPr>
        <w:tblW w:w="128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
        <w:gridCol w:w="517"/>
        <w:gridCol w:w="4000"/>
        <w:gridCol w:w="1617"/>
        <w:gridCol w:w="1274"/>
        <w:gridCol w:w="900"/>
        <w:gridCol w:w="1080"/>
        <w:gridCol w:w="1549"/>
        <w:gridCol w:w="1506"/>
      </w:tblGrid>
      <w:tr w:rsidR="006D61E2" w14:paraId="38A03715" w14:textId="77777777" w:rsidTr="006D61E2">
        <w:trPr>
          <w:trHeight w:val="440"/>
          <w:tblHeader/>
        </w:trPr>
        <w:tc>
          <w:tcPr>
            <w:tcW w:w="4931" w:type="dxa"/>
            <w:gridSpan w:val="3"/>
            <w:shd w:val="clear" w:color="000000" w:fill="DDD9C3"/>
            <w:vAlign w:val="bottom"/>
          </w:tcPr>
          <w:p w14:paraId="2CE9B665" w14:textId="72E83CB5" w:rsidR="006D61E2" w:rsidRPr="00C20C7F" w:rsidRDefault="006D61E2" w:rsidP="00B457F6">
            <w:pPr>
              <w:spacing w:before="120" w:after="120"/>
              <w:rPr>
                <w:b/>
                <w:bCs/>
                <w:color w:val="000000"/>
              </w:rPr>
            </w:pPr>
            <w:r w:rsidRPr="00C20C7F">
              <w:rPr>
                <w:b/>
                <w:bCs/>
                <w:color w:val="000000"/>
              </w:rPr>
              <w:t xml:space="preserve"> Topic/Area</w:t>
            </w:r>
          </w:p>
        </w:tc>
        <w:tc>
          <w:tcPr>
            <w:tcW w:w="1617" w:type="dxa"/>
            <w:shd w:val="clear" w:color="000000" w:fill="DDD9C3"/>
            <w:noWrap/>
            <w:vAlign w:val="bottom"/>
          </w:tcPr>
          <w:p w14:paraId="1D0704BB" w14:textId="37580D57" w:rsidR="006D61E2" w:rsidRPr="00C20C7F" w:rsidRDefault="006D61E2" w:rsidP="003A1419">
            <w:pPr>
              <w:spacing w:before="120" w:after="120"/>
              <w:rPr>
                <w:b/>
                <w:bCs/>
                <w:color w:val="000000"/>
              </w:rPr>
            </w:pPr>
            <w:r>
              <w:rPr>
                <w:b/>
                <w:bCs/>
                <w:color w:val="000000"/>
              </w:rPr>
              <w:t>Support/Oppose</w:t>
            </w:r>
          </w:p>
        </w:tc>
        <w:tc>
          <w:tcPr>
            <w:tcW w:w="1274" w:type="dxa"/>
            <w:shd w:val="clear" w:color="000000" w:fill="DDD9C3"/>
          </w:tcPr>
          <w:p w14:paraId="71E12C03" w14:textId="77777777" w:rsidR="006D61E2" w:rsidRDefault="006D61E2" w:rsidP="003A1419">
            <w:pPr>
              <w:spacing w:before="120" w:after="120"/>
              <w:rPr>
                <w:b/>
                <w:bCs/>
                <w:color w:val="000000"/>
              </w:rPr>
            </w:pPr>
          </w:p>
          <w:p w14:paraId="41D719BD" w14:textId="56E0A005" w:rsidR="006D61E2" w:rsidRDefault="006D61E2" w:rsidP="003A1419">
            <w:pPr>
              <w:spacing w:before="120" w:after="120"/>
              <w:rPr>
                <w:b/>
                <w:bCs/>
                <w:color w:val="000000"/>
              </w:rPr>
            </w:pPr>
            <w:r>
              <w:rPr>
                <w:b/>
                <w:bCs/>
                <w:color w:val="000000"/>
              </w:rPr>
              <w:t>Activity</w:t>
            </w:r>
          </w:p>
        </w:tc>
        <w:tc>
          <w:tcPr>
            <w:tcW w:w="900" w:type="dxa"/>
            <w:shd w:val="clear" w:color="000000" w:fill="DDD9C3"/>
          </w:tcPr>
          <w:p w14:paraId="156C673D" w14:textId="06388871" w:rsidR="006D61E2" w:rsidRDefault="006D61E2" w:rsidP="003A1419">
            <w:pPr>
              <w:spacing w:before="120" w:after="120"/>
              <w:rPr>
                <w:b/>
                <w:bCs/>
                <w:color w:val="000000"/>
              </w:rPr>
            </w:pPr>
          </w:p>
          <w:p w14:paraId="4F9FF516" w14:textId="7AC13957" w:rsidR="006D61E2" w:rsidRDefault="006D61E2" w:rsidP="003A1419">
            <w:pPr>
              <w:spacing w:before="120" w:after="120"/>
              <w:rPr>
                <w:b/>
                <w:bCs/>
                <w:color w:val="000000"/>
              </w:rPr>
            </w:pPr>
            <w:r>
              <w:rPr>
                <w:b/>
                <w:bCs/>
                <w:color w:val="000000"/>
              </w:rPr>
              <w:t>Priority</w:t>
            </w:r>
          </w:p>
        </w:tc>
        <w:tc>
          <w:tcPr>
            <w:tcW w:w="1080" w:type="dxa"/>
            <w:shd w:val="clear" w:color="000000" w:fill="DDD9C3"/>
          </w:tcPr>
          <w:p w14:paraId="02994E4A" w14:textId="7644FCB7" w:rsidR="006D61E2" w:rsidRDefault="006D61E2" w:rsidP="003A1419">
            <w:pPr>
              <w:spacing w:before="120" w:after="120"/>
              <w:rPr>
                <w:b/>
                <w:bCs/>
                <w:color w:val="000000"/>
              </w:rPr>
            </w:pPr>
          </w:p>
          <w:p w14:paraId="6FDBFC5E" w14:textId="17250764" w:rsidR="006D61E2" w:rsidRDefault="006D61E2" w:rsidP="003A1419">
            <w:pPr>
              <w:spacing w:before="120" w:after="120"/>
              <w:rPr>
                <w:b/>
                <w:bCs/>
                <w:color w:val="000000"/>
              </w:rPr>
            </w:pPr>
            <w:r>
              <w:rPr>
                <w:b/>
                <w:bCs/>
                <w:color w:val="000000"/>
              </w:rPr>
              <w:t>Urgency</w:t>
            </w:r>
          </w:p>
        </w:tc>
        <w:tc>
          <w:tcPr>
            <w:tcW w:w="1549" w:type="dxa"/>
            <w:shd w:val="clear" w:color="000000" w:fill="DDD9C3"/>
            <w:noWrap/>
            <w:vAlign w:val="bottom"/>
          </w:tcPr>
          <w:p w14:paraId="314D2AB7" w14:textId="5890DD90" w:rsidR="006D61E2" w:rsidRPr="00C20C7F" w:rsidRDefault="006D61E2" w:rsidP="003A1419">
            <w:pPr>
              <w:spacing w:before="120" w:after="120"/>
              <w:rPr>
                <w:b/>
                <w:bCs/>
                <w:color w:val="000000"/>
              </w:rPr>
            </w:pPr>
            <w:r>
              <w:rPr>
                <w:b/>
                <w:bCs/>
                <w:color w:val="000000"/>
              </w:rPr>
              <w:t>Risks &amp; Opportunities</w:t>
            </w:r>
          </w:p>
        </w:tc>
        <w:tc>
          <w:tcPr>
            <w:tcW w:w="1506" w:type="dxa"/>
            <w:shd w:val="clear" w:color="000000" w:fill="DDD9C3"/>
            <w:vAlign w:val="bottom"/>
          </w:tcPr>
          <w:p w14:paraId="7AF8DF6C" w14:textId="17DFB7A5" w:rsidR="006D61E2" w:rsidRPr="00C20C7F" w:rsidRDefault="00476436" w:rsidP="00C20C7F">
            <w:pPr>
              <w:spacing w:before="120" w:after="120"/>
              <w:rPr>
                <w:b/>
                <w:bCs/>
                <w:color w:val="000000"/>
              </w:rPr>
            </w:pPr>
            <w:r>
              <w:rPr>
                <w:b/>
                <w:bCs/>
                <w:color w:val="000000"/>
              </w:rPr>
              <w:t xml:space="preserve">Additional </w:t>
            </w:r>
            <w:r w:rsidR="006D61E2">
              <w:rPr>
                <w:b/>
                <w:bCs/>
                <w:color w:val="000000"/>
              </w:rPr>
              <w:t>Considerations</w:t>
            </w:r>
          </w:p>
        </w:tc>
      </w:tr>
      <w:tr w:rsidR="006D61E2" w14:paraId="2E61FADD" w14:textId="77777777" w:rsidTr="004F6770">
        <w:trPr>
          <w:trHeight w:val="510"/>
        </w:trPr>
        <w:tc>
          <w:tcPr>
            <w:tcW w:w="414" w:type="dxa"/>
            <w:shd w:val="clear" w:color="auto" w:fill="auto"/>
            <w:noWrap/>
          </w:tcPr>
          <w:p w14:paraId="25C78E40" w14:textId="0C98EBF2" w:rsidR="006D61E2" w:rsidRDefault="006D61E2" w:rsidP="003A1419">
            <w:pPr>
              <w:spacing w:before="120" w:after="120"/>
              <w:rPr>
                <w:color w:val="000000"/>
              </w:rPr>
            </w:pPr>
            <w:r>
              <w:rPr>
                <w:color w:val="000000"/>
              </w:rPr>
              <w:t>1.</w:t>
            </w:r>
          </w:p>
        </w:tc>
        <w:tc>
          <w:tcPr>
            <w:tcW w:w="12443" w:type="dxa"/>
            <w:gridSpan w:val="8"/>
            <w:shd w:val="clear" w:color="auto" w:fill="auto"/>
            <w:noWrap/>
          </w:tcPr>
          <w:p w14:paraId="51A47D26" w14:textId="11A567DA" w:rsidR="006D61E2" w:rsidRDefault="006D61E2" w:rsidP="006D61E2">
            <w:pPr>
              <w:spacing w:before="120" w:after="120"/>
              <w:rPr>
                <w:color w:val="000000"/>
              </w:rPr>
            </w:pPr>
            <w:r>
              <w:rPr>
                <w:color w:val="000000"/>
              </w:rPr>
              <w:t>Hydrogen</w:t>
            </w:r>
          </w:p>
        </w:tc>
      </w:tr>
      <w:tr w:rsidR="006D61E2" w14:paraId="5C9B5CFA" w14:textId="77777777" w:rsidTr="006D61E2">
        <w:trPr>
          <w:trHeight w:val="1020"/>
        </w:trPr>
        <w:tc>
          <w:tcPr>
            <w:tcW w:w="414" w:type="dxa"/>
            <w:shd w:val="clear" w:color="auto" w:fill="auto"/>
            <w:noWrap/>
          </w:tcPr>
          <w:p w14:paraId="7FE1C4E0" w14:textId="0E3931C1" w:rsidR="006D61E2" w:rsidRDefault="006D61E2" w:rsidP="003A1419">
            <w:pPr>
              <w:spacing w:before="120" w:after="120"/>
              <w:rPr>
                <w:color w:val="000000"/>
              </w:rPr>
            </w:pPr>
          </w:p>
        </w:tc>
        <w:tc>
          <w:tcPr>
            <w:tcW w:w="517" w:type="dxa"/>
            <w:shd w:val="clear" w:color="auto" w:fill="auto"/>
            <w:noWrap/>
          </w:tcPr>
          <w:p w14:paraId="134AC85A" w14:textId="482DD247" w:rsidR="006D61E2" w:rsidRDefault="006D61E2" w:rsidP="003A1419">
            <w:pPr>
              <w:spacing w:before="120" w:after="120"/>
              <w:rPr>
                <w:color w:val="000000"/>
              </w:rPr>
            </w:pPr>
            <w:r>
              <w:rPr>
                <w:color w:val="000000"/>
              </w:rPr>
              <w:t>1.a</w:t>
            </w:r>
          </w:p>
        </w:tc>
        <w:tc>
          <w:tcPr>
            <w:tcW w:w="4000" w:type="dxa"/>
            <w:shd w:val="clear" w:color="auto" w:fill="auto"/>
          </w:tcPr>
          <w:p w14:paraId="36F4EBA7" w14:textId="6F18C372" w:rsidR="006D61E2" w:rsidRDefault="006D61E2" w:rsidP="003A1419">
            <w:pPr>
              <w:spacing w:before="120" w:after="120"/>
              <w:rPr>
                <w:color w:val="000000"/>
              </w:rPr>
            </w:pPr>
            <w:r>
              <w:rPr>
                <w:color w:val="000000"/>
              </w:rPr>
              <w:t xml:space="preserve">Development of standardized contract for purchase and sale of hydrogen </w:t>
            </w:r>
          </w:p>
        </w:tc>
        <w:tc>
          <w:tcPr>
            <w:tcW w:w="1617" w:type="dxa"/>
            <w:shd w:val="clear" w:color="auto" w:fill="auto"/>
            <w:noWrap/>
          </w:tcPr>
          <w:p w14:paraId="6D014007" w14:textId="64EF8A12" w:rsidR="006D61E2" w:rsidRDefault="006D61E2" w:rsidP="00C20C7F">
            <w:pPr>
              <w:spacing w:before="120" w:after="120"/>
              <w:rPr>
                <w:color w:val="000000"/>
              </w:rPr>
            </w:pPr>
          </w:p>
        </w:tc>
        <w:tc>
          <w:tcPr>
            <w:tcW w:w="1274" w:type="dxa"/>
          </w:tcPr>
          <w:p w14:paraId="640AFFD1" w14:textId="77777777" w:rsidR="006D61E2" w:rsidRDefault="006D61E2" w:rsidP="003A1419">
            <w:pPr>
              <w:spacing w:before="120" w:after="120"/>
              <w:jc w:val="right"/>
              <w:rPr>
                <w:color w:val="000000"/>
              </w:rPr>
            </w:pPr>
          </w:p>
        </w:tc>
        <w:tc>
          <w:tcPr>
            <w:tcW w:w="900" w:type="dxa"/>
          </w:tcPr>
          <w:p w14:paraId="1980AD10" w14:textId="3E628166" w:rsidR="006D61E2" w:rsidRDefault="006D61E2" w:rsidP="003A1419">
            <w:pPr>
              <w:spacing w:before="120" w:after="120"/>
              <w:jc w:val="right"/>
              <w:rPr>
                <w:color w:val="000000"/>
              </w:rPr>
            </w:pPr>
          </w:p>
        </w:tc>
        <w:tc>
          <w:tcPr>
            <w:tcW w:w="1080" w:type="dxa"/>
          </w:tcPr>
          <w:p w14:paraId="3F5A8742" w14:textId="5ACA2F2D" w:rsidR="006D61E2" w:rsidRDefault="006D61E2" w:rsidP="003A1419">
            <w:pPr>
              <w:spacing w:before="120" w:after="120"/>
              <w:jc w:val="right"/>
              <w:rPr>
                <w:color w:val="000000"/>
              </w:rPr>
            </w:pPr>
          </w:p>
        </w:tc>
        <w:tc>
          <w:tcPr>
            <w:tcW w:w="1549" w:type="dxa"/>
            <w:shd w:val="clear" w:color="auto" w:fill="auto"/>
            <w:noWrap/>
          </w:tcPr>
          <w:p w14:paraId="64024EFE" w14:textId="1A440AAE" w:rsidR="006D61E2" w:rsidRDefault="006D61E2" w:rsidP="003A1419">
            <w:pPr>
              <w:spacing w:before="120" w:after="120"/>
              <w:jc w:val="right"/>
              <w:rPr>
                <w:color w:val="000000"/>
              </w:rPr>
            </w:pPr>
          </w:p>
        </w:tc>
        <w:tc>
          <w:tcPr>
            <w:tcW w:w="1506" w:type="dxa"/>
            <w:shd w:val="clear" w:color="auto" w:fill="auto"/>
            <w:noWrap/>
          </w:tcPr>
          <w:p w14:paraId="1CD2C34F" w14:textId="185CF090" w:rsidR="006D61E2" w:rsidRDefault="006D61E2" w:rsidP="003A1419">
            <w:pPr>
              <w:spacing w:before="120" w:after="120"/>
              <w:jc w:val="right"/>
              <w:rPr>
                <w:color w:val="000000"/>
              </w:rPr>
            </w:pPr>
          </w:p>
        </w:tc>
      </w:tr>
      <w:tr w:rsidR="006D61E2" w14:paraId="77C195EA" w14:textId="77777777" w:rsidTr="006D61E2">
        <w:trPr>
          <w:trHeight w:val="1020"/>
        </w:trPr>
        <w:tc>
          <w:tcPr>
            <w:tcW w:w="414" w:type="dxa"/>
            <w:shd w:val="clear" w:color="auto" w:fill="auto"/>
            <w:noWrap/>
          </w:tcPr>
          <w:p w14:paraId="1D19B5B5" w14:textId="77777777" w:rsidR="006D61E2" w:rsidRDefault="006D61E2" w:rsidP="003A1419">
            <w:pPr>
              <w:spacing w:before="120" w:after="120"/>
              <w:rPr>
                <w:color w:val="000000"/>
              </w:rPr>
            </w:pPr>
          </w:p>
        </w:tc>
        <w:tc>
          <w:tcPr>
            <w:tcW w:w="517" w:type="dxa"/>
            <w:shd w:val="clear" w:color="auto" w:fill="auto"/>
            <w:noWrap/>
          </w:tcPr>
          <w:p w14:paraId="7E5CAB61" w14:textId="1411C516" w:rsidR="006D61E2" w:rsidRDefault="006D61E2" w:rsidP="003A1419">
            <w:pPr>
              <w:spacing w:before="120" w:after="120"/>
              <w:rPr>
                <w:color w:val="000000"/>
              </w:rPr>
            </w:pPr>
            <w:r>
              <w:rPr>
                <w:color w:val="000000"/>
              </w:rPr>
              <w:t>1.b</w:t>
            </w:r>
          </w:p>
        </w:tc>
        <w:tc>
          <w:tcPr>
            <w:tcW w:w="4000" w:type="dxa"/>
            <w:shd w:val="clear" w:color="auto" w:fill="auto"/>
          </w:tcPr>
          <w:p w14:paraId="4427A525" w14:textId="75C25008" w:rsidR="006D61E2" w:rsidRDefault="006D61E2" w:rsidP="003A1419">
            <w:pPr>
              <w:spacing w:before="120" w:after="120"/>
              <w:rPr>
                <w:color w:val="000000"/>
              </w:rPr>
            </w:pPr>
            <w:r>
              <w:rPr>
                <w:color w:val="000000"/>
              </w:rPr>
              <w:t>Development of other business practice standards to support hydrogen market</w:t>
            </w:r>
          </w:p>
        </w:tc>
        <w:tc>
          <w:tcPr>
            <w:tcW w:w="1617" w:type="dxa"/>
            <w:shd w:val="clear" w:color="auto" w:fill="auto"/>
            <w:noWrap/>
          </w:tcPr>
          <w:p w14:paraId="3FF74E7D" w14:textId="77777777" w:rsidR="006D61E2" w:rsidRDefault="006D61E2" w:rsidP="00C20C7F">
            <w:pPr>
              <w:spacing w:before="120" w:after="120"/>
              <w:rPr>
                <w:color w:val="000000"/>
              </w:rPr>
            </w:pPr>
          </w:p>
        </w:tc>
        <w:tc>
          <w:tcPr>
            <w:tcW w:w="1274" w:type="dxa"/>
          </w:tcPr>
          <w:p w14:paraId="77F81EC8" w14:textId="77777777" w:rsidR="006D61E2" w:rsidRDefault="006D61E2" w:rsidP="003A1419">
            <w:pPr>
              <w:spacing w:before="120" w:after="120"/>
              <w:jc w:val="right"/>
              <w:rPr>
                <w:color w:val="000000"/>
              </w:rPr>
            </w:pPr>
          </w:p>
        </w:tc>
        <w:tc>
          <w:tcPr>
            <w:tcW w:w="900" w:type="dxa"/>
          </w:tcPr>
          <w:p w14:paraId="47EDBCD4" w14:textId="1504E5FF" w:rsidR="006D61E2" w:rsidRDefault="006D61E2" w:rsidP="003A1419">
            <w:pPr>
              <w:spacing w:before="120" w:after="120"/>
              <w:jc w:val="right"/>
              <w:rPr>
                <w:color w:val="000000"/>
              </w:rPr>
            </w:pPr>
          </w:p>
        </w:tc>
        <w:tc>
          <w:tcPr>
            <w:tcW w:w="1080" w:type="dxa"/>
          </w:tcPr>
          <w:p w14:paraId="1EA37274" w14:textId="787BFEE0" w:rsidR="006D61E2" w:rsidRDefault="006D61E2" w:rsidP="003A1419">
            <w:pPr>
              <w:spacing w:before="120" w:after="120"/>
              <w:jc w:val="right"/>
              <w:rPr>
                <w:color w:val="000000"/>
              </w:rPr>
            </w:pPr>
          </w:p>
        </w:tc>
        <w:tc>
          <w:tcPr>
            <w:tcW w:w="1549" w:type="dxa"/>
            <w:shd w:val="clear" w:color="auto" w:fill="auto"/>
            <w:noWrap/>
          </w:tcPr>
          <w:p w14:paraId="0D8AE748" w14:textId="0F03C4D9" w:rsidR="006D61E2" w:rsidRDefault="006D61E2" w:rsidP="003A1419">
            <w:pPr>
              <w:spacing w:before="120" w:after="120"/>
              <w:jc w:val="right"/>
              <w:rPr>
                <w:color w:val="000000"/>
              </w:rPr>
            </w:pPr>
          </w:p>
        </w:tc>
        <w:tc>
          <w:tcPr>
            <w:tcW w:w="1506" w:type="dxa"/>
            <w:shd w:val="clear" w:color="auto" w:fill="auto"/>
            <w:noWrap/>
          </w:tcPr>
          <w:p w14:paraId="24D76EC7" w14:textId="77777777" w:rsidR="006D61E2" w:rsidRDefault="006D61E2" w:rsidP="003A1419">
            <w:pPr>
              <w:spacing w:before="120" w:after="120"/>
              <w:jc w:val="right"/>
              <w:rPr>
                <w:color w:val="000000"/>
              </w:rPr>
            </w:pPr>
          </w:p>
        </w:tc>
      </w:tr>
      <w:tr w:rsidR="006D61E2" w14:paraId="153905EE" w14:textId="77777777" w:rsidTr="006D61E2">
        <w:trPr>
          <w:trHeight w:val="1020"/>
        </w:trPr>
        <w:tc>
          <w:tcPr>
            <w:tcW w:w="414" w:type="dxa"/>
            <w:shd w:val="clear" w:color="auto" w:fill="auto"/>
            <w:noWrap/>
          </w:tcPr>
          <w:p w14:paraId="735BAE31" w14:textId="77777777" w:rsidR="006D61E2" w:rsidRDefault="006D61E2" w:rsidP="003A1419">
            <w:pPr>
              <w:spacing w:before="120" w:after="120"/>
              <w:rPr>
                <w:color w:val="000000"/>
              </w:rPr>
            </w:pPr>
          </w:p>
        </w:tc>
        <w:tc>
          <w:tcPr>
            <w:tcW w:w="517" w:type="dxa"/>
            <w:shd w:val="clear" w:color="auto" w:fill="auto"/>
            <w:noWrap/>
          </w:tcPr>
          <w:p w14:paraId="1F367714" w14:textId="2ECF53BC" w:rsidR="006D61E2" w:rsidRDefault="006D61E2" w:rsidP="003A1419">
            <w:pPr>
              <w:spacing w:before="120" w:after="120"/>
              <w:rPr>
                <w:color w:val="000000"/>
              </w:rPr>
            </w:pPr>
            <w:r>
              <w:rPr>
                <w:color w:val="000000"/>
              </w:rPr>
              <w:t>1.c</w:t>
            </w:r>
          </w:p>
        </w:tc>
        <w:tc>
          <w:tcPr>
            <w:tcW w:w="4000" w:type="dxa"/>
            <w:shd w:val="clear" w:color="auto" w:fill="auto"/>
          </w:tcPr>
          <w:p w14:paraId="0782F5B0" w14:textId="348AFD5E" w:rsidR="006D61E2" w:rsidRDefault="006D61E2" w:rsidP="003A1419">
            <w:pPr>
              <w:spacing w:before="120" w:after="120"/>
              <w:rPr>
                <w:color w:val="000000"/>
              </w:rPr>
            </w:pPr>
            <w:r>
              <w:rPr>
                <w:color w:val="000000"/>
              </w:rPr>
              <w:t xml:space="preserve">Consideration of </w:t>
            </w:r>
            <w:r w:rsidR="0078267B">
              <w:rPr>
                <w:color w:val="000000"/>
              </w:rPr>
              <w:t xml:space="preserve">organizational structural </w:t>
            </w:r>
            <w:r>
              <w:rPr>
                <w:color w:val="000000"/>
              </w:rPr>
              <w:t xml:space="preserve">to </w:t>
            </w:r>
            <w:r w:rsidR="0078267B">
              <w:rPr>
                <w:color w:val="000000"/>
              </w:rPr>
              <w:t xml:space="preserve">support </w:t>
            </w:r>
            <w:r>
              <w:rPr>
                <w:color w:val="000000"/>
              </w:rPr>
              <w:t xml:space="preserve">hydrogen activities </w:t>
            </w:r>
          </w:p>
        </w:tc>
        <w:tc>
          <w:tcPr>
            <w:tcW w:w="1617" w:type="dxa"/>
            <w:shd w:val="clear" w:color="auto" w:fill="auto"/>
            <w:noWrap/>
          </w:tcPr>
          <w:p w14:paraId="461815FD" w14:textId="77777777" w:rsidR="006D61E2" w:rsidRDefault="006D61E2" w:rsidP="00C20C7F">
            <w:pPr>
              <w:spacing w:before="120" w:after="120"/>
              <w:rPr>
                <w:color w:val="000000"/>
              </w:rPr>
            </w:pPr>
          </w:p>
        </w:tc>
        <w:tc>
          <w:tcPr>
            <w:tcW w:w="1274" w:type="dxa"/>
          </w:tcPr>
          <w:p w14:paraId="1AC3845D" w14:textId="77777777" w:rsidR="006D61E2" w:rsidRDefault="006D61E2" w:rsidP="003A1419">
            <w:pPr>
              <w:spacing w:before="120" w:after="120"/>
              <w:jc w:val="right"/>
              <w:rPr>
                <w:color w:val="000000"/>
              </w:rPr>
            </w:pPr>
          </w:p>
        </w:tc>
        <w:tc>
          <w:tcPr>
            <w:tcW w:w="900" w:type="dxa"/>
          </w:tcPr>
          <w:p w14:paraId="5AFB28DA" w14:textId="04C1D2E0" w:rsidR="006D61E2" w:rsidRDefault="006D61E2" w:rsidP="003A1419">
            <w:pPr>
              <w:spacing w:before="120" w:after="120"/>
              <w:jc w:val="right"/>
              <w:rPr>
                <w:color w:val="000000"/>
              </w:rPr>
            </w:pPr>
          </w:p>
        </w:tc>
        <w:tc>
          <w:tcPr>
            <w:tcW w:w="1080" w:type="dxa"/>
          </w:tcPr>
          <w:p w14:paraId="3799D4F0" w14:textId="0671E8C3" w:rsidR="006D61E2" w:rsidRDefault="006D61E2" w:rsidP="003A1419">
            <w:pPr>
              <w:spacing w:before="120" w:after="120"/>
              <w:jc w:val="right"/>
              <w:rPr>
                <w:color w:val="000000"/>
              </w:rPr>
            </w:pPr>
          </w:p>
        </w:tc>
        <w:tc>
          <w:tcPr>
            <w:tcW w:w="1549" w:type="dxa"/>
            <w:shd w:val="clear" w:color="auto" w:fill="auto"/>
            <w:noWrap/>
          </w:tcPr>
          <w:p w14:paraId="25105577" w14:textId="7F6A99C3" w:rsidR="006D61E2" w:rsidRDefault="006D61E2" w:rsidP="003A1419">
            <w:pPr>
              <w:spacing w:before="120" w:after="120"/>
              <w:jc w:val="right"/>
              <w:rPr>
                <w:color w:val="000000"/>
              </w:rPr>
            </w:pPr>
          </w:p>
        </w:tc>
        <w:tc>
          <w:tcPr>
            <w:tcW w:w="1506" w:type="dxa"/>
            <w:shd w:val="clear" w:color="auto" w:fill="auto"/>
            <w:noWrap/>
          </w:tcPr>
          <w:p w14:paraId="7EAB85CD" w14:textId="77777777" w:rsidR="006D61E2" w:rsidRDefault="006D61E2" w:rsidP="003A1419">
            <w:pPr>
              <w:spacing w:before="120" w:after="120"/>
              <w:jc w:val="right"/>
              <w:rPr>
                <w:color w:val="000000"/>
              </w:rPr>
            </w:pPr>
          </w:p>
        </w:tc>
      </w:tr>
      <w:tr w:rsidR="006D61E2" w14:paraId="4A03D9E7" w14:textId="77777777" w:rsidTr="00F36EFC">
        <w:trPr>
          <w:trHeight w:val="593"/>
        </w:trPr>
        <w:tc>
          <w:tcPr>
            <w:tcW w:w="414" w:type="dxa"/>
            <w:shd w:val="clear" w:color="auto" w:fill="auto"/>
            <w:noWrap/>
          </w:tcPr>
          <w:p w14:paraId="7D3BA081" w14:textId="61F36428" w:rsidR="006D61E2" w:rsidRDefault="006D61E2" w:rsidP="003A1419">
            <w:pPr>
              <w:spacing w:before="120" w:after="120"/>
              <w:rPr>
                <w:color w:val="000000"/>
              </w:rPr>
            </w:pPr>
            <w:r>
              <w:rPr>
                <w:color w:val="000000"/>
              </w:rPr>
              <w:t>2.</w:t>
            </w:r>
          </w:p>
        </w:tc>
        <w:tc>
          <w:tcPr>
            <w:tcW w:w="12443" w:type="dxa"/>
            <w:gridSpan w:val="8"/>
            <w:shd w:val="clear" w:color="auto" w:fill="auto"/>
            <w:noWrap/>
          </w:tcPr>
          <w:p w14:paraId="22484821" w14:textId="35D49EAF" w:rsidR="006D61E2" w:rsidRDefault="006D61E2" w:rsidP="006D61E2">
            <w:pPr>
              <w:spacing w:before="120" w:after="120"/>
              <w:rPr>
                <w:color w:val="000000"/>
              </w:rPr>
            </w:pPr>
            <w:r>
              <w:rPr>
                <w:color w:val="000000"/>
              </w:rPr>
              <w:t>Distribute Energy Resources</w:t>
            </w:r>
            <w:r w:rsidR="00476436">
              <w:rPr>
                <w:color w:val="000000"/>
              </w:rPr>
              <w:t xml:space="preserve"> (DER)</w:t>
            </w:r>
          </w:p>
        </w:tc>
      </w:tr>
      <w:tr w:rsidR="006D61E2" w14:paraId="09A26F2A" w14:textId="77777777" w:rsidTr="006D61E2">
        <w:trPr>
          <w:trHeight w:val="1020"/>
        </w:trPr>
        <w:tc>
          <w:tcPr>
            <w:tcW w:w="414" w:type="dxa"/>
            <w:shd w:val="clear" w:color="auto" w:fill="auto"/>
            <w:noWrap/>
          </w:tcPr>
          <w:p w14:paraId="475670E7" w14:textId="77777777" w:rsidR="006D61E2" w:rsidRDefault="006D61E2" w:rsidP="006D61E2">
            <w:pPr>
              <w:spacing w:before="120" w:after="120"/>
              <w:rPr>
                <w:color w:val="000000"/>
              </w:rPr>
            </w:pPr>
          </w:p>
        </w:tc>
        <w:tc>
          <w:tcPr>
            <w:tcW w:w="517" w:type="dxa"/>
            <w:shd w:val="clear" w:color="auto" w:fill="auto"/>
            <w:noWrap/>
          </w:tcPr>
          <w:p w14:paraId="5A361EFD" w14:textId="5161BCA6" w:rsidR="006D61E2" w:rsidRDefault="006D61E2" w:rsidP="006D61E2">
            <w:pPr>
              <w:spacing w:before="120" w:after="120"/>
              <w:rPr>
                <w:color w:val="000000"/>
              </w:rPr>
            </w:pPr>
            <w:r>
              <w:rPr>
                <w:color w:val="000000"/>
              </w:rPr>
              <w:t>2.a</w:t>
            </w:r>
          </w:p>
        </w:tc>
        <w:tc>
          <w:tcPr>
            <w:tcW w:w="4000" w:type="dxa"/>
            <w:shd w:val="clear" w:color="auto" w:fill="auto"/>
          </w:tcPr>
          <w:p w14:paraId="694FBE47" w14:textId="5BAD6B5C" w:rsidR="006D61E2" w:rsidRDefault="006D61E2" w:rsidP="006D61E2">
            <w:pPr>
              <w:spacing w:before="120" w:after="120"/>
              <w:rPr>
                <w:color w:val="000000"/>
              </w:rPr>
            </w:pPr>
            <w:r>
              <w:rPr>
                <w:color w:val="000000"/>
              </w:rPr>
              <w:t xml:space="preserve">Development of new business practice standards to support </w:t>
            </w:r>
            <w:r w:rsidR="00476436">
              <w:rPr>
                <w:color w:val="000000"/>
              </w:rPr>
              <w:t>DER</w:t>
            </w:r>
          </w:p>
        </w:tc>
        <w:tc>
          <w:tcPr>
            <w:tcW w:w="1617" w:type="dxa"/>
            <w:shd w:val="clear" w:color="auto" w:fill="auto"/>
            <w:noWrap/>
          </w:tcPr>
          <w:p w14:paraId="334398FD" w14:textId="77777777" w:rsidR="006D61E2" w:rsidRDefault="006D61E2" w:rsidP="006D61E2">
            <w:pPr>
              <w:spacing w:before="120" w:after="120"/>
              <w:rPr>
                <w:color w:val="000000"/>
              </w:rPr>
            </w:pPr>
          </w:p>
        </w:tc>
        <w:tc>
          <w:tcPr>
            <w:tcW w:w="1274" w:type="dxa"/>
          </w:tcPr>
          <w:p w14:paraId="4350EAAA" w14:textId="77777777" w:rsidR="006D61E2" w:rsidRDefault="006D61E2" w:rsidP="006D61E2">
            <w:pPr>
              <w:spacing w:before="120" w:after="120"/>
              <w:jc w:val="right"/>
              <w:rPr>
                <w:color w:val="000000"/>
              </w:rPr>
            </w:pPr>
          </w:p>
        </w:tc>
        <w:tc>
          <w:tcPr>
            <w:tcW w:w="900" w:type="dxa"/>
          </w:tcPr>
          <w:p w14:paraId="124763E9" w14:textId="77777777" w:rsidR="006D61E2" w:rsidRDefault="006D61E2" w:rsidP="006D61E2">
            <w:pPr>
              <w:spacing w:before="120" w:after="120"/>
              <w:jc w:val="right"/>
              <w:rPr>
                <w:color w:val="000000"/>
              </w:rPr>
            </w:pPr>
          </w:p>
        </w:tc>
        <w:tc>
          <w:tcPr>
            <w:tcW w:w="1080" w:type="dxa"/>
          </w:tcPr>
          <w:p w14:paraId="57D0A78D" w14:textId="77777777" w:rsidR="006D61E2" w:rsidRDefault="006D61E2" w:rsidP="006D61E2">
            <w:pPr>
              <w:spacing w:before="120" w:after="120"/>
              <w:jc w:val="right"/>
              <w:rPr>
                <w:color w:val="000000"/>
              </w:rPr>
            </w:pPr>
          </w:p>
        </w:tc>
        <w:tc>
          <w:tcPr>
            <w:tcW w:w="1549" w:type="dxa"/>
            <w:shd w:val="clear" w:color="auto" w:fill="auto"/>
            <w:noWrap/>
          </w:tcPr>
          <w:p w14:paraId="7AB8B81E" w14:textId="77777777" w:rsidR="006D61E2" w:rsidRDefault="006D61E2" w:rsidP="006D61E2">
            <w:pPr>
              <w:spacing w:before="120" w:after="120"/>
              <w:jc w:val="right"/>
              <w:rPr>
                <w:color w:val="000000"/>
              </w:rPr>
            </w:pPr>
          </w:p>
        </w:tc>
        <w:tc>
          <w:tcPr>
            <w:tcW w:w="1506" w:type="dxa"/>
            <w:shd w:val="clear" w:color="auto" w:fill="auto"/>
            <w:noWrap/>
          </w:tcPr>
          <w:p w14:paraId="1B7C4652" w14:textId="77777777" w:rsidR="006D61E2" w:rsidRDefault="006D61E2" w:rsidP="006D61E2">
            <w:pPr>
              <w:spacing w:before="120" w:after="120"/>
              <w:jc w:val="right"/>
              <w:rPr>
                <w:color w:val="000000"/>
              </w:rPr>
            </w:pPr>
          </w:p>
        </w:tc>
      </w:tr>
      <w:tr w:rsidR="006D61E2" w14:paraId="644DE49F" w14:textId="77777777" w:rsidTr="006D61E2">
        <w:trPr>
          <w:trHeight w:val="1020"/>
        </w:trPr>
        <w:tc>
          <w:tcPr>
            <w:tcW w:w="414" w:type="dxa"/>
            <w:shd w:val="clear" w:color="auto" w:fill="auto"/>
            <w:noWrap/>
          </w:tcPr>
          <w:p w14:paraId="1C76CF5A" w14:textId="77777777" w:rsidR="006D61E2" w:rsidRDefault="006D61E2" w:rsidP="006D61E2">
            <w:pPr>
              <w:spacing w:before="120" w:after="120"/>
              <w:rPr>
                <w:color w:val="000000"/>
              </w:rPr>
            </w:pPr>
          </w:p>
        </w:tc>
        <w:tc>
          <w:tcPr>
            <w:tcW w:w="517" w:type="dxa"/>
            <w:shd w:val="clear" w:color="auto" w:fill="auto"/>
            <w:noWrap/>
          </w:tcPr>
          <w:p w14:paraId="14FD6725" w14:textId="62FCCA56" w:rsidR="006D61E2" w:rsidRDefault="006D61E2" w:rsidP="006D61E2">
            <w:pPr>
              <w:spacing w:before="120" w:after="120"/>
              <w:rPr>
                <w:color w:val="000000"/>
              </w:rPr>
            </w:pPr>
            <w:r>
              <w:rPr>
                <w:color w:val="000000"/>
              </w:rPr>
              <w:t>2.b</w:t>
            </w:r>
          </w:p>
        </w:tc>
        <w:tc>
          <w:tcPr>
            <w:tcW w:w="4000" w:type="dxa"/>
            <w:shd w:val="clear" w:color="auto" w:fill="auto"/>
          </w:tcPr>
          <w:p w14:paraId="586AC54D" w14:textId="74860A19" w:rsidR="006D61E2" w:rsidRDefault="006D61E2" w:rsidP="006D61E2">
            <w:pPr>
              <w:spacing w:before="120" w:after="120"/>
              <w:rPr>
                <w:color w:val="000000"/>
              </w:rPr>
            </w:pPr>
            <w:r>
              <w:rPr>
                <w:color w:val="000000"/>
              </w:rPr>
              <w:t xml:space="preserve">Consideration of changes to joint standards development process for cross-market </w:t>
            </w:r>
            <w:r w:rsidR="00476436">
              <w:rPr>
                <w:color w:val="000000"/>
              </w:rPr>
              <w:t xml:space="preserve">business practice </w:t>
            </w:r>
            <w:r>
              <w:rPr>
                <w:color w:val="000000"/>
              </w:rPr>
              <w:t>standards</w:t>
            </w:r>
          </w:p>
        </w:tc>
        <w:tc>
          <w:tcPr>
            <w:tcW w:w="1617" w:type="dxa"/>
            <w:shd w:val="clear" w:color="auto" w:fill="auto"/>
            <w:noWrap/>
          </w:tcPr>
          <w:p w14:paraId="13200EC7" w14:textId="77777777" w:rsidR="006D61E2" w:rsidRDefault="006D61E2" w:rsidP="006D61E2">
            <w:pPr>
              <w:spacing w:before="120" w:after="120"/>
              <w:rPr>
                <w:color w:val="000000"/>
              </w:rPr>
            </w:pPr>
          </w:p>
        </w:tc>
        <w:tc>
          <w:tcPr>
            <w:tcW w:w="1274" w:type="dxa"/>
          </w:tcPr>
          <w:p w14:paraId="4FE3A463" w14:textId="77777777" w:rsidR="006D61E2" w:rsidRDefault="006D61E2" w:rsidP="006D61E2">
            <w:pPr>
              <w:spacing w:before="120" w:after="120"/>
              <w:jc w:val="right"/>
              <w:rPr>
                <w:color w:val="000000"/>
              </w:rPr>
            </w:pPr>
          </w:p>
        </w:tc>
        <w:tc>
          <w:tcPr>
            <w:tcW w:w="900" w:type="dxa"/>
          </w:tcPr>
          <w:p w14:paraId="6B26375D" w14:textId="77777777" w:rsidR="006D61E2" w:rsidRDefault="006D61E2" w:rsidP="006D61E2">
            <w:pPr>
              <w:spacing w:before="120" w:after="120"/>
              <w:jc w:val="right"/>
              <w:rPr>
                <w:color w:val="000000"/>
              </w:rPr>
            </w:pPr>
          </w:p>
        </w:tc>
        <w:tc>
          <w:tcPr>
            <w:tcW w:w="1080" w:type="dxa"/>
          </w:tcPr>
          <w:p w14:paraId="3426DCFA" w14:textId="77777777" w:rsidR="006D61E2" w:rsidRDefault="006D61E2" w:rsidP="006D61E2">
            <w:pPr>
              <w:spacing w:before="120" w:after="120"/>
              <w:jc w:val="right"/>
              <w:rPr>
                <w:color w:val="000000"/>
              </w:rPr>
            </w:pPr>
          </w:p>
        </w:tc>
        <w:tc>
          <w:tcPr>
            <w:tcW w:w="1549" w:type="dxa"/>
            <w:shd w:val="clear" w:color="auto" w:fill="auto"/>
            <w:noWrap/>
          </w:tcPr>
          <w:p w14:paraId="51F835C4" w14:textId="77777777" w:rsidR="006D61E2" w:rsidRDefault="006D61E2" w:rsidP="006D61E2">
            <w:pPr>
              <w:spacing w:before="120" w:after="120"/>
              <w:jc w:val="right"/>
              <w:rPr>
                <w:color w:val="000000"/>
              </w:rPr>
            </w:pPr>
          </w:p>
        </w:tc>
        <w:tc>
          <w:tcPr>
            <w:tcW w:w="1506" w:type="dxa"/>
            <w:shd w:val="clear" w:color="auto" w:fill="auto"/>
            <w:noWrap/>
          </w:tcPr>
          <w:p w14:paraId="3A337CF7" w14:textId="77777777" w:rsidR="006D61E2" w:rsidRDefault="006D61E2" w:rsidP="006D61E2">
            <w:pPr>
              <w:spacing w:before="120" w:after="120"/>
              <w:jc w:val="right"/>
              <w:rPr>
                <w:color w:val="000000"/>
              </w:rPr>
            </w:pPr>
          </w:p>
        </w:tc>
      </w:tr>
      <w:tr w:rsidR="00476436" w14:paraId="3A2BB67B" w14:textId="77777777" w:rsidTr="006D61E2">
        <w:trPr>
          <w:trHeight w:val="1020"/>
        </w:trPr>
        <w:tc>
          <w:tcPr>
            <w:tcW w:w="414" w:type="dxa"/>
            <w:shd w:val="clear" w:color="auto" w:fill="auto"/>
            <w:noWrap/>
          </w:tcPr>
          <w:p w14:paraId="39634CE1" w14:textId="77777777" w:rsidR="00476436" w:rsidRDefault="00476436" w:rsidP="006D61E2">
            <w:pPr>
              <w:spacing w:before="120" w:after="120"/>
              <w:rPr>
                <w:color w:val="000000"/>
              </w:rPr>
            </w:pPr>
          </w:p>
        </w:tc>
        <w:tc>
          <w:tcPr>
            <w:tcW w:w="517" w:type="dxa"/>
            <w:shd w:val="clear" w:color="auto" w:fill="auto"/>
            <w:noWrap/>
          </w:tcPr>
          <w:p w14:paraId="31891F31" w14:textId="667328A5" w:rsidR="00476436" w:rsidRDefault="00476436" w:rsidP="006D61E2">
            <w:pPr>
              <w:spacing w:before="120" w:after="120"/>
              <w:rPr>
                <w:color w:val="000000"/>
              </w:rPr>
            </w:pPr>
            <w:r>
              <w:rPr>
                <w:color w:val="000000"/>
              </w:rPr>
              <w:t>2.c</w:t>
            </w:r>
          </w:p>
        </w:tc>
        <w:tc>
          <w:tcPr>
            <w:tcW w:w="4000" w:type="dxa"/>
            <w:shd w:val="clear" w:color="auto" w:fill="auto"/>
          </w:tcPr>
          <w:p w14:paraId="747E7144" w14:textId="13FB36B6" w:rsidR="00476436" w:rsidRDefault="00476436" w:rsidP="006D61E2">
            <w:pPr>
              <w:spacing w:before="120" w:after="120"/>
              <w:rPr>
                <w:color w:val="000000"/>
              </w:rPr>
            </w:pPr>
            <w:r>
              <w:rPr>
                <w:color w:val="000000"/>
              </w:rPr>
              <w:t>Consideration of engagement with transportation sector in the development of DER business practice standards</w:t>
            </w:r>
          </w:p>
        </w:tc>
        <w:tc>
          <w:tcPr>
            <w:tcW w:w="1617" w:type="dxa"/>
            <w:shd w:val="clear" w:color="auto" w:fill="auto"/>
            <w:noWrap/>
          </w:tcPr>
          <w:p w14:paraId="31CC2F12" w14:textId="77777777" w:rsidR="00476436" w:rsidRDefault="00476436" w:rsidP="006D61E2">
            <w:pPr>
              <w:spacing w:before="120" w:after="120"/>
              <w:rPr>
                <w:color w:val="000000"/>
              </w:rPr>
            </w:pPr>
          </w:p>
        </w:tc>
        <w:tc>
          <w:tcPr>
            <w:tcW w:w="1274" w:type="dxa"/>
          </w:tcPr>
          <w:p w14:paraId="013698A4" w14:textId="77777777" w:rsidR="00476436" w:rsidRDefault="00476436" w:rsidP="006D61E2">
            <w:pPr>
              <w:spacing w:before="120" w:after="120"/>
              <w:jc w:val="right"/>
              <w:rPr>
                <w:color w:val="000000"/>
              </w:rPr>
            </w:pPr>
          </w:p>
        </w:tc>
        <w:tc>
          <w:tcPr>
            <w:tcW w:w="900" w:type="dxa"/>
          </w:tcPr>
          <w:p w14:paraId="268A698D" w14:textId="77777777" w:rsidR="00476436" w:rsidRDefault="00476436" w:rsidP="006D61E2">
            <w:pPr>
              <w:spacing w:before="120" w:after="120"/>
              <w:jc w:val="right"/>
              <w:rPr>
                <w:color w:val="000000"/>
              </w:rPr>
            </w:pPr>
          </w:p>
        </w:tc>
        <w:tc>
          <w:tcPr>
            <w:tcW w:w="1080" w:type="dxa"/>
          </w:tcPr>
          <w:p w14:paraId="270012E1" w14:textId="77777777" w:rsidR="00476436" w:rsidRDefault="00476436" w:rsidP="006D61E2">
            <w:pPr>
              <w:spacing w:before="120" w:after="120"/>
              <w:jc w:val="right"/>
              <w:rPr>
                <w:color w:val="000000"/>
              </w:rPr>
            </w:pPr>
          </w:p>
        </w:tc>
        <w:tc>
          <w:tcPr>
            <w:tcW w:w="1549" w:type="dxa"/>
            <w:shd w:val="clear" w:color="auto" w:fill="auto"/>
            <w:noWrap/>
          </w:tcPr>
          <w:p w14:paraId="48E0F9BF" w14:textId="77777777" w:rsidR="00476436" w:rsidRDefault="00476436" w:rsidP="006D61E2">
            <w:pPr>
              <w:spacing w:before="120" w:after="120"/>
              <w:jc w:val="right"/>
              <w:rPr>
                <w:color w:val="000000"/>
              </w:rPr>
            </w:pPr>
          </w:p>
        </w:tc>
        <w:tc>
          <w:tcPr>
            <w:tcW w:w="1506" w:type="dxa"/>
            <w:shd w:val="clear" w:color="auto" w:fill="auto"/>
            <w:noWrap/>
          </w:tcPr>
          <w:p w14:paraId="79D9F8D3" w14:textId="77777777" w:rsidR="00476436" w:rsidRDefault="00476436" w:rsidP="006D61E2">
            <w:pPr>
              <w:spacing w:before="120" w:after="120"/>
              <w:jc w:val="right"/>
              <w:rPr>
                <w:color w:val="000000"/>
              </w:rPr>
            </w:pPr>
          </w:p>
        </w:tc>
      </w:tr>
      <w:tr w:rsidR="006D61E2" w14:paraId="603C6AF6" w14:textId="77777777" w:rsidTr="006D61E2">
        <w:trPr>
          <w:trHeight w:val="512"/>
        </w:trPr>
        <w:tc>
          <w:tcPr>
            <w:tcW w:w="414" w:type="dxa"/>
            <w:shd w:val="clear" w:color="auto" w:fill="auto"/>
            <w:noWrap/>
          </w:tcPr>
          <w:p w14:paraId="5B4F120F" w14:textId="1F106022" w:rsidR="006D61E2" w:rsidRDefault="006D61E2" w:rsidP="003A1419">
            <w:pPr>
              <w:spacing w:before="120" w:after="120"/>
              <w:rPr>
                <w:color w:val="000000"/>
              </w:rPr>
            </w:pPr>
            <w:r>
              <w:rPr>
                <w:color w:val="000000"/>
              </w:rPr>
              <w:t>3.</w:t>
            </w:r>
          </w:p>
        </w:tc>
        <w:tc>
          <w:tcPr>
            <w:tcW w:w="12443" w:type="dxa"/>
            <w:gridSpan w:val="8"/>
            <w:shd w:val="clear" w:color="auto" w:fill="auto"/>
            <w:noWrap/>
          </w:tcPr>
          <w:p w14:paraId="7BE37640" w14:textId="7810A3BE" w:rsidR="006D61E2" w:rsidRDefault="006D61E2" w:rsidP="006D61E2">
            <w:pPr>
              <w:spacing w:before="120" w:after="120"/>
              <w:rPr>
                <w:color w:val="000000"/>
              </w:rPr>
            </w:pPr>
            <w:r>
              <w:rPr>
                <w:color w:val="000000"/>
              </w:rPr>
              <w:t>Cybersecurity</w:t>
            </w:r>
          </w:p>
        </w:tc>
      </w:tr>
      <w:tr w:rsidR="006D61E2" w14:paraId="61044669" w14:textId="77777777" w:rsidTr="006D61E2">
        <w:trPr>
          <w:trHeight w:val="1020"/>
        </w:trPr>
        <w:tc>
          <w:tcPr>
            <w:tcW w:w="414" w:type="dxa"/>
            <w:shd w:val="clear" w:color="auto" w:fill="auto"/>
            <w:noWrap/>
          </w:tcPr>
          <w:p w14:paraId="02A85DE0" w14:textId="77777777" w:rsidR="006D61E2" w:rsidRDefault="006D61E2" w:rsidP="006D61E2">
            <w:pPr>
              <w:spacing w:before="120" w:after="120"/>
              <w:rPr>
                <w:color w:val="000000"/>
              </w:rPr>
            </w:pPr>
          </w:p>
        </w:tc>
        <w:tc>
          <w:tcPr>
            <w:tcW w:w="517" w:type="dxa"/>
            <w:shd w:val="clear" w:color="auto" w:fill="auto"/>
            <w:noWrap/>
          </w:tcPr>
          <w:p w14:paraId="1026005E" w14:textId="7A0A2C58" w:rsidR="006D61E2" w:rsidRDefault="006D61E2" w:rsidP="006D61E2">
            <w:pPr>
              <w:spacing w:before="120" w:after="120"/>
              <w:rPr>
                <w:color w:val="000000"/>
              </w:rPr>
            </w:pPr>
            <w:r>
              <w:rPr>
                <w:color w:val="000000"/>
              </w:rPr>
              <w:t>3.a</w:t>
            </w:r>
          </w:p>
        </w:tc>
        <w:tc>
          <w:tcPr>
            <w:tcW w:w="4000" w:type="dxa"/>
            <w:shd w:val="clear" w:color="auto" w:fill="auto"/>
          </w:tcPr>
          <w:p w14:paraId="1CE8CD27" w14:textId="73541251" w:rsidR="006D61E2" w:rsidRDefault="006D61E2" w:rsidP="006D61E2">
            <w:pPr>
              <w:spacing w:before="120" w:after="120"/>
              <w:rPr>
                <w:color w:val="000000"/>
              </w:rPr>
            </w:pPr>
            <w:r>
              <w:rPr>
                <w:color w:val="000000"/>
              </w:rPr>
              <w:t>Development of new business practice standards to support enhanced cybersecurity</w:t>
            </w:r>
          </w:p>
        </w:tc>
        <w:tc>
          <w:tcPr>
            <w:tcW w:w="1617" w:type="dxa"/>
            <w:shd w:val="clear" w:color="auto" w:fill="auto"/>
            <w:noWrap/>
          </w:tcPr>
          <w:p w14:paraId="2A1301B9" w14:textId="77777777" w:rsidR="006D61E2" w:rsidRDefault="006D61E2" w:rsidP="006D61E2">
            <w:pPr>
              <w:spacing w:before="120" w:after="120"/>
              <w:rPr>
                <w:color w:val="000000"/>
              </w:rPr>
            </w:pPr>
          </w:p>
        </w:tc>
        <w:tc>
          <w:tcPr>
            <w:tcW w:w="1274" w:type="dxa"/>
          </w:tcPr>
          <w:p w14:paraId="3635E4A8" w14:textId="77777777" w:rsidR="006D61E2" w:rsidRDefault="006D61E2" w:rsidP="006D61E2">
            <w:pPr>
              <w:spacing w:before="120" w:after="120"/>
              <w:jc w:val="right"/>
              <w:rPr>
                <w:color w:val="000000"/>
              </w:rPr>
            </w:pPr>
          </w:p>
        </w:tc>
        <w:tc>
          <w:tcPr>
            <w:tcW w:w="900" w:type="dxa"/>
          </w:tcPr>
          <w:p w14:paraId="4C91E1B0" w14:textId="77777777" w:rsidR="006D61E2" w:rsidRDefault="006D61E2" w:rsidP="006D61E2">
            <w:pPr>
              <w:spacing w:before="120" w:after="120"/>
              <w:jc w:val="right"/>
              <w:rPr>
                <w:color w:val="000000"/>
              </w:rPr>
            </w:pPr>
          </w:p>
        </w:tc>
        <w:tc>
          <w:tcPr>
            <w:tcW w:w="1080" w:type="dxa"/>
          </w:tcPr>
          <w:p w14:paraId="138C02EB" w14:textId="77777777" w:rsidR="006D61E2" w:rsidRDefault="006D61E2" w:rsidP="006D61E2">
            <w:pPr>
              <w:spacing w:before="120" w:after="120"/>
              <w:jc w:val="right"/>
              <w:rPr>
                <w:color w:val="000000"/>
              </w:rPr>
            </w:pPr>
          </w:p>
        </w:tc>
        <w:tc>
          <w:tcPr>
            <w:tcW w:w="1549" w:type="dxa"/>
            <w:shd w:val="clear" w:color="auto" w:fill="auto"/>
            <w:noWrap/>
          </w:tcPr>
          <w:p w14:paraId="7D58AD03" w14:textId="77777777" w:rsidR="006D61E2" w:rsidRDefault="006D61E2" w:rsidP="006D61E2">
            <w:pPr>
              <w:spacing w:before="120" w:after="120"/>
              <w:jc w:val="right"/>
              <w:rPr>
                <w:color w:val="000000"/>
              </w:rPr>
            </w:pPr>
          </w:p>
        </w:tc>
        <w:tc>
          <w:tcPr>
            <w:tcW w:w="1506" w:type="dxa"/>
            <w:shd w:val="clear" w:color="auto" w:fill="auto"/>
            <w:noWrap/>
          </w:tcPr>
          <w:p w14:paraId="4DF23C68" w14:textId="77777777" w:rsidR="006D61E2" w:rsidRDefault="006D61E2" w:rsidP="006D61E2">
            <w:pPr>
              <w:spacing w:before="120" w:after="120"/>
              <w:jc w:val="right"/>
              <w:rPr>
                <w:color w:val="000000"/>
              </w:rPr>
            </w:pPr>
          </w:p>
        </w:tc>
      </w:tr>
      <w:tr w:rsidR="006D61E2" w14:paraId="6C9702D4" w14:textId="77777777" w:rsidTr="006D61E2">
        <w:trPr>
          <w:trHeight w:val="593"/>
        </w:trPr>
        <w:tc>
          <w:tcPr>
            <w:tcW w:w="414" w:type="dxa"/>
            <w:shd w:val="clear" w:color="auto" w:fill="auto"/>
            <w:noWrap/>
          </w:tcPr>
          <w:p w14:paraId="52B283B8" w14:textId="09E9C916" w:rsidR="006D61E2" w:rsidRDefault="006D61E2" w:rsidP="006D61E2">
            <w:pPr>
              <w:spacing w:before="120" w:after="120"/>
              <w:rPr>
                <w:color w:val="000000"/>
              </w:rPr>
            </w:pPr>
            <w:r>
              <w:rPr>
                <w:color w:val="000000"/>
              </w:rPr>
              <w:t>4.</w:t>
            </w:r>
          </w:p>
        </w:tc>
        <w:tc>
          <w:tcPr>
            <w:tcW w:w="12443" w:type="dxa"/>
            <w:gridSpan w:val="8"/>
            <w:shd w:val="clear" w:color="auto" w:fill="auto"/>
            <w:noWrap/>
          </w:tcPr>
          <w:p w14:paraId="4AE2745D" w14:textId="2DC685AE" w:rsidR="006D61E2" w:rsidRDefault="006D61E2" w:rsidP="006D61E2">
            <w:pPr>
              <w:spacing w:before="120" w:after="120"/>
              <w:rPr>
                <w:color w:val="000000"/>
              </w:rPr>
            </w:pPr>
            <w:r>
              <w:rPr>
                <w:color w:val="000000"/>
              </w:rPr>
              <w:t>Certified Natural Gas</w:t>
            </w:r>
          </w:p>
        </w:tc>
      </w:tr>
      <w:tr w:rsidR="006D61E2" w14:paraId="56731A83" w14:textId="77777777" w:rsidTr="006D61E2">
        <w:trPr>
          <w:trHeight w:val="1020"/>
        </w:trPr>
        <w:tc>
          <w:tcPr>
            <w:tcW w:w="414" w:type="dxa"/>
            <w:shd w:val="clear" w:color="auto" w:fill="auto"/>
            <w:noWrap/>
          </w:tcPr>
          <w:p w14:paraId="489002D0" w14:textId="77777777" w:rsidR="006D61E2" w:rsidRDefault="006D61E2" w:rsidP="006D61E2">
            <w:pPr>
              <w:spacing w:before="120" w:after="120"/>
              <w:rPr>
                <w:color w:val="000000"/>
              </w:rPr>
            </w:pPr>
          </w:p>
        </w:tc>
        <w:tc>
          <w:tcPr>
            <w:tcW w:w="517" w:type="dxa"/>
            <w:shd w:val="clear" w:color="auto" w:fill="auto"/>
            <w:noWrap/>
          </w:tcPr>
          <w:p w14:paraId="57C8B2BD" w14:textId="37E45E1E" w:rsidR="006D61E2" w:rsidRDefault="006D61E2" w:rsidP="006D61E2">
            <w:pPr>
              <w:spacing w:before="120" w:after="120"/>
              <w:rPr>
                <w:color w:val="000000"/>
              </w:rPr>
            </w:pPr>
            <w:r>
              <w:rPr>
                <w:color w:val="000000"/>
              </w:rPr>
              <w:t>4.a</w:t>
            </w:r>
          </w:p>
        </w:tc>
        <w:tc>
          <w:tcPr>
            <w:tcW w:w="4000" w:type="dxa"/>
            <w:shd w:val="clear" w:color="auto" w:fill="auto"/>
          </w:tcPr>
          <w:p w14:paraId="497DD9F2" w14:textId="4E2DAF7D" w:rsidR="006D61E2" w:rsidRDefault="006D61E2" w:rsidP="006D61E2">
            <w:pPr>
              <w:spacing w:before="120" w:after="120"/>
              <w:rPr>
                <w:color w:val="000000"/>
              </w:rPr>
            </w:pPr>
            <w:r>
              <w:rPr>
                <w:color w:val="000000"/>
              </w:rPr>
              <w:t xml:space="preserve">Development of </w:t>
            </w:r>
            <w:r w:rsidR="00476436">
              <w:rPr>
                <w:color w:val="000000"/>
              </w:rPr>
              <w:t xml:space="preserve">new business practice </w:t>
            </w:r>
            <w:r>
              <w:rPr>
                <w:color w:val="000000"/>
              </w:rPr>
              <w:t xml:space="preserve">standards and tools to support </w:t>
            </w:r>
            <w:r w:rsidR="00476436">
              <w:rPr>
                <w:color w:val="000000"/>
              </w:rPr>
              <w:t>certified natural gas beyond the standardized addendum to the Base Contract</w:t>
            </w:r>
          </w:p>
        </w:tc>
        <w:tc>
          <w:tcPr>
            <w:tcW w:w="1617" w:type="dxa"/>
            <w:shd w:val="clear" w:color="auto" w:fill="auto"/>
            <w:noWrap/>
          </w:tcPr>
          <w:p w14:paraId="7C1EF838" w14:textId="77777777" w:rsidR="006D61E2" w:rsidRDefault="006D61E2" w:rsidP="006D61E2">
            <w:pPr>
              <w:spacing w:before="120" w:after="120"/>
              <w:rPr>
                <w:color w:val="000000"/>
              </w:rPr>
            </w:pPr>
          </w:p>
        </w:tc>
        <w:tc>
          <w:tcPr>
            <w:tcW w:w="1274" w:type="dxa"/>
          </w:tcPr>
          <w:p w14:paraId="4B257E58" w14:textId="77777777" w:rsidR="006D61E2" w:rsidRDefault="006D61E2" w:rsidP="006D61E2">
            <w:pPr>
              <w:spacing w:before="120" w:after="120"/>
              <w:jc w:val="right"/>
              <w:rPr>
                <w:color w:val="000000"/>
              </w:rPr>
            </w:pPr>
          </w:p>
        </w:tc>
        <w:tc>
          <w:tcPr>
            <w:tcW w:w="900" w:type="dxa"/>
          </w:tcPr>
          <w:p w14:paraId="786CD580" w14:textId="77777777" w:rsidR="006D61E2" w:rsidRDefault="006D61E2" w:rsidP="006D61E2">
            <w:pPr>
              <w:spacing w:before="120" w:after="120"/>
              <w:jc w:val="right"/>
              <w:rPr>
                <w:color w:val="000000"/>
              </w:rPr>
            </w:pPr>
          </w:p>
        </w:tc>
        <w:tc>
          <w:tcPr>
            <w:tcW w:w="1080" w:type="dxa"/>
          </w:tcPr>
          <w:p w14:paraId="0247800C" w14:textId="77777777" w:rsidR="006D61E2" w:rsidRDefault="006D61E2" w:rsidP="006D61E2">
            <w:pPr>
              <w:spacing w:before="120" w:after="120"/>
              <w:jc w:val="right"/>
              <w:rPr>
                <w:color w:val="000000"/>
              </w:rPr>
            </w:pPr>
          </w:p>
        </w:tc>
        <w:tc>
          <w:tcPr>
            <w:tcW w:w="1549" w:type="dxa"/>
            <w:shd w:val="clear" w:color="auto" w:fill="auto"/>
            <w:noWrap/>
          </w:tcPr>
          <w:p w14:paraId="0C07F93F" w14:textId="77777777" w:rsidR="006D61E2" w:rsidRDefault="006D61E2" w:rsidP="006D61E2">
            <w:pPr>
              <w:spacing w:before="120" w:after="120"/>
              <w:jc w:val="right"/>
              <w:rPr>
                <w:color w:val="000000"/>
              </w:rPr>
            </w:pPr>
          </w:p>
        </w:tc>
        <w:tc>
          <w:tcPr>
            <w:tcW w:w="1506" w:type="dxa"/>
            <w:shd w:val="clear" w:color="auto" w:fill="auto"/>
            <w:noWrap/>
          </w:tcPr>
          <w:p w14:paraId="28F191CC" w14:textId="77777777" w:rsidR="006D61E2" w:rsidRDefault="006D61E2" w:rsidP="006D61E2">
            <w:pPr>
              <w:spacing w:before="120" w:after="120"/>
              <w:jc w:val="right"/>
              <w:rPr>
                <w:color w:val="000000"/>
              </w:rPr>
            </w:pPr>
          </w:p>
        </w:tc>
      </w:tr>
      <w:tr w:rsidR="00476436" w14:paraId="1E427CE4" w14:textId="77777777" w:rsidTr="006D61E2">
        <w:trPr>
          <w:trHeight w:val="1020"/>
        </w:trPr>
        <w:tc>
          <w:tcPr>
            <w:tcW w:w="414" w:type="dxa"/>
            <w:shd w:val="clear" w:color="auto" w:fill="auto"/>
            <w:noWrap/>
          </w:tcPr>
          <w:p w14:paraId="38E5C713" w14:textId="77777777" w:rsidR="00476436" w:rsidRDefault="00476436" w:rsidP="006D61E2">
            <w:pPr>
              <w:spacing w:before="120" w:after="120"/>
              <w:rPr>
                <w:color w:val="000000"/>
              </w:rPr>
            </w:pPr>
          </w:p>
        </w:tc>
        <w:tc>
          <w:tcPr>
            <w:tcW w:w="517" w:type="dxa"/>
            <w:shd w:val="clear" w:color="auto" w:fill="auto"/>
            <w:noWrap/>
          </w:tcPr>
          <w:p w14:paraId="6212F426" w14:textId="4A477E27" w:rsidR="00476436" w:rsidRDefault="00476436" w:rsidP="006D61E2">
            <w:pPr>
              <w:spacing w:before="120" w:after="120"/>
              <w:rPr>
                <w:color w:val="000000"/>
              </w:rPr>
            </w:pPr>
            <w:r>
              <w:rPr>
                <w:color w:val="000000"/>
              </w:rPr>
              <w:t>4.b</w:t>
            </w:r>
          </w:p>
        </w:tc>
        <w:tc>
          <w:tcPr>
            <w:tcW w:w="4000" w:type="dxa"/>
            <w:shd w:val="clear" w:color="auto" w:fill="auto"/>
          </w:tcPr>
          <w:p w14:paraId="0C2D4441" w14:textId="67512045" w:rsidR="00476436" w:rsidRDefault="00476436" w:rsidP="006D61E2">
            <w:pPr>
              <w:spacing w:before="120" w:after="120"/>
              <w:rPr>
                <w:color w:val="000000"/>
              </w:rPr>
            </w:pPr>
            <w:r>
              <w:rPr>
                <w:color w:val="000000"/>
              </w:rPr>
              <w:t xml:space="preserve">Development of new business practice standards and tools to support the DoE’s effort to develop an international framework for measurement, monitoring, reporting and verification of greenhouse gas emissions </w:t>
            </w:r>
          </w:p>
        </w:tc>
        <w:tc>
          <w:tcPr>
            <w:tcW w:w="1617" w:type="dxa"/>
            <w:shd w:val="clear" w:color="auto" w:fill="auto"/>
            <w:noWrap/>
          </w:tcPr>
          <w:p w14:paraId="3FA01B0D" w14:textId="77777777" w:rsidR="00476436" w:rsidRDefault="00476436" w:rsidP="006D61E2">
            <w:pPr>
              <w:spacing w:before="120" w:after="120"/>
              <w:rPr>
                <w:color w:val="000000"/>
              </w:rPr>
            </w:pPr>
          </w:p>
        </w:tc>
        <w:tc>
          <w:tcPr>
            <w:tcW w:w="1274" w:type="dxa"/>
          </w:tcPr>
          <w:p w14:paraId="7C3A865B" w14:textId="77777777" w:rsidR="00476436" w:rsidRDefault="00476436" w:rsidP="006D61E2">
            <w:pPr>
              <w:spacing w:before="120" w:after="120"/>
              <w:jc w:val="right"/>
              <w:rPr>
                <w:color w:val="000000"/>
              </w:rPr>
            </w:pPr>
          </w:p>
        </w:tc>
        <w:tc>
          <w:tcPr>
            <w:tcW w:w="900" w:type="dxa"/>
          </w:tcPr>
          <w:p w14:paraId="6C413995" w14:textId="77777777" w:rsidR="00476436" w:rsidRDefault="00476436" w:rsidP="006D61E2">
            <w:pPr>
              <w:spacing w:before="120" w:after="120"/>
              <w:jc w:val="right"/>
              <w:rPr>
                <w:color w:val="000000"/>
              </w:rPr>
            </w:pPr>
          </w:p>
        </w:tc>
        <w:tc>
          <w:tcPr>
            <w:tcW w:w="1080" w:type="dxa"/>
          </w:tcPr>
          <w:p w14:paraId="1D4AF1F5" w14:textId="77777777" w:rsidR="00476436" w:rsidRDefault="00476436" w:rsidP="006D61E2">
            <w:pPr>
              <w:spacing w:before="120" w:after="120"/>
              <w:jc w:val="right"/>
              <w:rPr>
                <w:color w:val="000000"/>
              </w:rPr>
            </w:pPr>
          </w:p>
        </w:tc>
        <w:tc>
          <w:tcPr>
            <w:tcW w:w="1549" w:type="dxa"/>
            <w:shd w:val="clear" w:color="auto" w:fill="auto"/>
            <w:noWrap/>
          </w:tcPr>
          <w:p w14:paraId="5F30FBF9" w14:textId="77777777" w:rsidR="00476436" w:rsidRDefault="00476436" w:rsidP="006D61E2">
            <w:pPr>
              <w:spacing w:before="120" w:after="120"/>
              <w:jc w:val="right"/>
              <w:rPr>
                <w:color w:val="000000"/>
              </w:rPr>
            </w:pPr>
          </w:p>
        </w:tc>
        <w:tc>
          <w:tcPr>
            <w:tcW w:w="1506" w:type="dxa"/>
            <w:shd w:val="clear" w:color="auto" w:fill="auto"/>
            <w:noWrap/>
          </w:tcPr>
          <w:p w14:paraId="753F7398" w14:textId="77777777" w:rsidR="00476436" w:rsidRDefault="00476436" w:rsidP="006D61E2">
            <w:pPr>
              <w:spacing w:before="120" w:after="120"/>
              <w:jc w:val="right"/>
              <w:rPr>
                <w:color w:val="000000"/>
              </w:rPr>
            </w:pPr>
          </w:p>
        </w:tc>
      </w:tr>
      <w:tr w:rsidR="00476436" w14:paraId="052E9EB4" w14:textId="77777777" w:rsidTr="0078267B">
        <w:trPr>
          <w:trHeight w:val="467"/>
        </w:trPr>
        <w:tc>
          <w:tcPr>
            <w:tcW w:w="414" w:type="dxa"/>
            <w:shd w:val="clear" w:color="auto" w:fill="auto"/>
            <w:noWrap/>
          </w:tcPr>
          <w:p w14:paraId="60FE5805" w14:textId="22AD6B7C" w:rsidR="00476436" w:rsidRDefault="00476436" w:rsidP="006D61E2">
            <w:pPr>
              <w:spacing w:before="120" w:after="120"/>
              <w:rPr>
                <w:color w:val="000000"/>
              </w:rPr>
            </w:pPr>
            <w:r>
              <w:rPr>
                <w:color w:val="000000"/>
              </w:rPr>
              <w:lastRenderedPageBreak/>
              <w:t>5.</w:t>
            </w:r>
          </w:p>
        </w:tc>
        <w:tc>
          <w:tcPr>
            <w:tcW w:w="12443" w:type="dxa"/>
            <w:gridSpan w:val="8"/>
            <w:shd w:val="clear" w:color="auto" w:fill="auto"/>
            <w:noWrap/>
          </w:tcPr>
          <w:p w14:paraId="62CD9DE1" w14:textId="3A8A2121" w:rsidR="00476436" w:rsidRDefault="00476436" w:rsidP="00476436">
            <w:pPr>
              <w:spacing w:before="120" w:after="120"/>
              <w:rPr>
                <w:color w:val="000000"/>
              </w:rPr>
            </w:pPr>
            <w:r>
              <w:rPr>
                <w:color w:val="000000"/>
              </w:rPr>
              <w:t>Gas Electric Market Coordination</w:t>
            </w:r>
          </w:p>
        </w:tc>
      </w:tr>
      <w:tr w:rsidR="00476436" w14:paraId="559159DA" w14:textId="77777777" w:rsidTr="006D61E2">
        <w:trPr>
          <w:trHeight w:val="1020"/>
        </w:trPr>
        <w:tc>
          <w:tcPr>
            <w:tcW w:w="414" w:type="dxa"/>
            <w:shd w:val="clear" w:color="auto" w:fill="auto"/>
            <w:noWrap/>
          </w:tcPr>
          <w:p w14:paraId="2728EACB" w14:textId="77777777" w:rsidR="00476436" w:rsidRDefault="00476436" w:rsidP="006D61E2">
            <w:pPr>
              <w:spacing w:before="120" w:after="120"/>
              <w:rPr>
                <w:color w:val="000000"/>
              </w:rPr>
            </w:pPr>
          </w:p>
        </w:tc>
        <w:tc>
          <w:tcPr>
            <w:tcW w:w="517" w:type="dxa"/>
            <w:shd w:val="clear" w:color="auto" w:fill="auto"/>
            <w:noWrap/>
          </w:tcPr>
          <w:p w14:paraId="67C43CDE" w14:textId="2AD7BAA5" w:rsidR="00476436" w:rsidRDefault="00476436" w:rsidP="006D61E2">
            <w:pPr>
              <w:spacing w:before="120" w:after="120"/>
              <w:rPr>
                <w:color w:val="000000"/>
              </w:rPr>
            </w:pPr>
            <w:r>
              <w:rPr>
                <w:color w:val="000000"/>
              </w:rPr>
              <w:t>5.a</w:t>
            </w:r>
          </w:p>
        </w:tc>
        <w:tc>
          <w:tcPr>
            <w:tcW w:w="4000" w:type="dxa"/>
            <w:shd w:val="clear" w:color="auto" w:fill="auto"/>
          </w:tcPr>
          <w:p w14:paraId="6E6009A8" w14:textId="6D1A0033" w:rsidR="00476436" w:rsidRDefault="00476436" w:rsidP="006D61E2">
            <w:pPr>
              <w:spacing w:before="120" w:after="120"/>
              <w:rPr>
                <w:color w:val="000000"/>
              </w:rPr>
            </w:pPr>
            <w:r>
              <w:rPr>
                <w:color w:val="000000"/>
              </w:rPr>
              <w:t>Development of cross-market business practice standards beyond current activities</w:t>
            </w:r>
          </w:p>
        </w:tc>
        <w:tc>
          <w:tcPr>
            <w:tcW w:w="1617" w:type="dxa"/>
            <w:shd w:val="clear" w:color="auto" w:fill="auto"/>
            <w:noWrap/>
          </w:tcPr>
          <w:p w14:paraId="755F5948" w14:textId="77777777" w:rsidR="00476436" w:rsidRDefault="00476436" w:rsidP="006D61E2">
            <w:pPr>
              <w:spacing w:before="120" w:after="120"/>
              <w:rPr>
                <w:color w:val="000000"/>
              </w:rPr>
            </w:pPr>
          </w:p>
        </w:tc>
        <w:tc>
          <w:tcPr>
            <w:tcW w:w="1274" w:type="dxa"/>
          </w:tcPr>
          <w:p w14:paraId="65F104AF" w14:textId="77777777" w:rsidR="00476436" w:rsidRDefault="00476436" w:rsidP="006D61E2">
            <w:pPr>
              <w:spacing w:before="120" w:after="120"/>
              <w:jc w:val="right"/>
              <w:rPr>
                <w:color w:val="000000"/>
              </w:rPr>
            </w:pPr>
          </w:p>
        </w:tc>
        <w:tc>
          <w:tcPr>
            <w:tcW w:w="900" w:type="dxa"/>
          </w:tcPr>
          <w:p w14:paraId="6A4D8C35" w14:textId="77777777" w:rsidR="00476436" w:rsidRDefault="00476436" w:rsidP="006D61E2">
            <w:pPr>
              <w:spacing w:before="120" w:after="120"/>
              <w:jc w:val="right"/>
              <w:rPr>
                <w:color w:val="000000"/>
              </w:rPr>
            </w:pPr>
          </w:p>
        </w:tc>
        <w:tc>
          <w:tcPr>
            <w:tcW w:w="1080" w:type="dxa"/>
          </w:tcPr>
          <w:p w14:paraId="3C08B6E7" w14:textId="77777777" w:rsidR="00476436" w:rsidRDefault="00476436" w:rsidP="006D61E2">
            <w:pPr>
              <w:spacing w:before="120" w:after="120"/>
              <w:jc w:val="right"/>
              <w:rPr>
                <w:color w:val="000000"/>
              </w:rPr>
            </w:pPr>
          </w:p>
        </w:tc>
        <w:tc>
          <w:tcPr>
            <w:tcW w:w="1549" w:type="dxa"/>
            <w:shd w:val="clear" w:color="auto" w:fill="auto"/>
            <w:noWrap/>
          </w:tcPr>
          <w:p w14:paraId="355D9A1B" w14:textId="77777777" w:rsidR="00476436" w:rsidRDefault="00476436" w:rsidP="006D61E2">
            <w:pPr>
              <w:spacing w:before="120" w:after="120"/>
              <w:jc w:val="right"/>
              <w:rPr>
                <w:color w:val="000000"/>
              </w:rPr>
            </w:pPr>
          </w:p>
        </w:tc>
        <w:tc>
          <w:tcPr>
            <w:tcW w:w="1506" w:type="dxa"/>
            <w:shd w:val="clear" w:color="auto" w:fill="auto"/>
            <w:noWrap/>
          </w:tcPr>
          <w:p w14:paraId="62EDBDA5" w14:textId="77777777" w:rsidR="00476436" w:rsidRDefault="00476436" w:rsidP="006D61E2">
            <w:pPr>
              <w:spacing w:before="120" w:after="120"/>
              <w:jc w:val="right"/>
              <w:rPr>
                <w:color w:val="000000"/>
              </w:rPr>
            </w:pPr>
          </w:p>
        </w:tc>
      </w:tr>
    </w:tbl>
    <w:p w14:paraId="36DDF1C0" w14:textId="77777777" w:rsidR="00431353" w:rsidRDefault="00431353" w:rsidP="00352BB5">
      <w:pPr>
        <w:rPr>
          <w:b/>
        </w:rPr>
      </w:pPr>
    </w:p>
    <w:sectPr w:rsidR="00431353" w:rsidSect="00C20C7F">
      <w:head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EB933" w14:textId="77777777" w:rsidR="00B866B5" w:rsidRDefault="00B866B5">
      <w:r>
        <w:separator/>
      </w:r>
    </w:p>
  </w:endnote>
  <w:endnote w:type="continuationSeparator" w:id="0">
    <w:p w14:paraId="68FA6C6B" w14:textId="77777777" w:rsidR="00B866B5" w:rsidRDefault="00B8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4474E" w14:textId="77777777" w:rsidR="00B866B5" w:rsidRDefault="00B866B5">
      <w:r>
        <w:separator/>
      </w:r>
    </w:p>
  </w:footnote>
  <w:footnote w:type="continuationSeparator" w:id="0">
    <w:p w14:paraId="7934A6D1" w14:textId="77777777" w:rsidR="00B866B5" w:rsidRDefault="00B86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6357C" w14:textId="054FF604" w:rsidR="000E7319" w:rsidRDefault="00C20C7F">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1312" behindDoc="1" locked="0" layoutInCell="1" allowOverlap="1" wp14:anchorId="46BC5DA7" wp14:editId="18AB790F">
              <wp:simplePos x="0" y="0"/>
              <wp:positionH relativeFrom="page">
                <wp:posOffset>914400</wp:posOffset>
              </wp:positionH>
              <wp:positionV relativeFrom="page">
                <wp:posOffset>228600</wp:posOffset>
              </wp:positionV>
              <wp:extent cx="1690370" cy="1485900"/>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32A4F" w14:textId="77777777" w:rsidR="000E7319" w:rsidRDefault="000E7319"/>
                        </w:txbxContent>
                      </wps:txbx>
                      <wps:bodyPr rot="0" vert="horz" wrap="none" lIns="0" tIns="0" rIns="0" bIns="0" anchor="t" anchorCtr="0" upright="1">
                        <a:spAutoFit/>
                      </wps:bodyPr>
                    </wps:wsp>
                    <pic:pic xmlns:pic="http://schemas.openxmlformats.org/drawingml/2006/picture">
                      <pic:nvPicPr>
                        <pic:cNvPr id="3"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BC5DA7" id="Group 22" o:spid="_x0000_s1026" style="position:absolute;left:0;text-align:left;margin-left:1in;margin-top:18pt;width:133.1pt;height:117pt;flip:x;z-index:-25165516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&#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6201xD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38" o:spid="_x0000_s1027" style="position:absolute;left:1212;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73532A4F" w14:textId="77777777" w:rsidR="000E7319" w:rsidRDefault="000E731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99E8639" w14:textId="77777777" w:rsidR="000E7319" w:rsidRDefault="000E731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0190310C" w14:textId="70A0A00A" w:rsidR="000E7319" w:rsidRDefault="00B457F6">
    <w:pPr>
      <w:pStyle w:val="Header"/>
      <w:tabs>
        <w:tab w:val="left" w:pos="680"/>
        <w:tab w:val="right" w:pos="9810"/>
      </w:tabs>
      <w:spacing w:before="60"/>
      <w:ind w:left="1800"/>
      <w:jc w:val="right"/>
    </w:pPr>
    <w:r>
      <w:t>1415 Louisiana</w:t>
    </w:r>
    <w:r w:rsidR="000E7319">
      <w:t xml:space="preserve">, Suite </w:t>
    </w:r>
    <w:r>
      <w:t>3460</w:t>
    </w:r>
    <w:r w:rsidR="000E7319">
      <w:t>, Houston, Texas 77002</w:t>
    </w:r>
  </w:p>
  <w:p w14:paraId="13B641E6" w14:textId="77777777" w:rsidR="000E7319" w:rsidRDefault="000E7319">
    <w:pPr>
      <w:pStyle w:val="Header"/>
      <w:ind w:left="1800"/>
      <w:jc w:val="right"/>
    </w:pPr>
    <w:r>
      <w:t>Phone</w:t>
    </w:r>
    <w:proofErr w:type="gramStart"/>
    <w:r>
      <w:t>:  (</w:t>
    </w:r>
    <w:proofErr w:type="gramEnd"/>
    <w:r>
      <w:t>713) 356-0060, Fax:  (713) 356-0067, E-mail: naesb@naesb.org</w:t>
    </w:r>
  </w:p>
  <w:p w14:paraId="520AD24C" w14:textId="77777777" w:rsidR="000E7319" w:rsidRDefault="000E7319">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432865E" w14:textId="5EA82DB2" w:rsidR="000E7319" w:rsidRDefault="00B457F6" w:rsidP="00B457F6">
    <w:pPr>
      <w:pStyle w:val="Header"/>
      <w:spacing w:before="60" w:after="60"/>
      <w:jc w:val="right"/>
      <w:rPr>
        <w:b/>
        <w:caps/>
        <w:sz w:val="18"/>
        <w:szCs w:val="18"/>
      </w:rPr>
    </w:pPr>
    <w:r>
      <w:rPr>
        <w:b/>
        <w:caps/>
        <w:sz w:val="18"/>
        <w:szCs w:val="18"/>
      </w:rPr>
      <w:t>NAESB Strategy Committee workpaper outline</w:t>
    </w:r>
  </w:p>
  <w:p w14:paraId="74EDF41B" w14:textId="6E7031F5" w:rsidR="00B457F6" w:rsidRPr="00CD496C" w:rsidRDefault="00B457F6" w:rsidP="00B457F6">
    <w:pPr>
      <w:pStyle w:val="Header"/>
      <w:spacing w:before="60" w:after="60"/>
      <w:jc w:val="right"/>
      <w:rPr>
        <w:b/>
        <w:caps/>
        <w:sz w:val="18"/>
        <w:szCs w:val="18"/>
      </w:rPr>
    </w:pPr>
    <w:r>
      <w:rPr>
        <w:b/>
        <w:caps/>
        <w:sz w:val="18"/>
        <w:szCs w:val="18"/>
      </w:rPr>
      <w:t>April 3,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218B"/>
    <w:multiLevelType w:val="hybridMultilevel"/>
    <w:tmpl w:val="27D220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81406BC"/>
    <w:multiLevelType w:val="hybridMultilevel"/>
    <w:tmpl w:val="27D220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C344D4C"/>
    <w:multiLevelType w:val="hybridMultilevel"/>
    <w:tmpl w:val="45006AE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80224"/>
    <w:multiLevelType w:val="hybridMultilevel"/>
    <w:tmpl w:val="9C5024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43661"/>
    <w:multiLevelType w:val="hybridMultilevel"/>
    <w:tmpl w:val="B0D426F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D718A"/>
    <w:multiLevelType w:val="hybridMultilevel"/>
    <w:tmpl w:val="DD6CFADE"/>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7632A"/>
    <w:multiLevelType w:val="hybridMultilevel"/>
    <w:tmpl w:val="F6804CA0"/>
    <w:lvl w:ilvl="0" w:tplc="6FE4DA76">
      <w:start w:val="1"/>
      <w:numFmt w:val="bullet"/>
      <w:lvlText w:val=""/>
      <w:lvlJc w:val="left"/>
      <w:pPr>
        <w:ind w:left="1440" w:hanging="360"/>
      </w:pPr>
      <w:rPr>
        <w:rFonts w:ascii="Symbol" w:hAnsi="Symbol" w:hint="default"/>
        <w:sz w:val="16"/>
      </w:rPr>
    </w:lvl>
    <w:lvl w:ilvl="1" w:tplc="6FE4DA76">
      <w:start w:val="1"/>
      <w:numFmt w:val="bullet"/>
      <w:lvlText w:val=""/>
      <w:lvlJc w:val="left"/>
      <w:pPr>
        <w:ind w:left="2160" w:hanging="360"/>
      </w:pPr>
      <w:rPr>
        <w:rFonts w:ascii="Symbol" w:hAnsi="Symbol" w:hint="default"/>
        <w:sz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EA08CA"/>
    <w:multiLevelType w:val="hybridMultilevel"/>
    <w:tmpl w:val="B412B13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14C3B"/>
    <w:multiLevelType w:val="hybridMultilevel"/>
    <w:tmpl w:val="5DE4885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D41B6"/>
    <w:multiLevelType w:val="hybridMultilevel"/>
    <w:tmpl w:val="17B2669E"/>
    <w:lvl w:ilvl="0" w:tplc="19868E6A">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num>
  <w:num w:numId="11">
    <w:abstractNumId w:val="6"/>
  </w:num>
  <w:num w:numId="12">
    <w:abstractNumId w:val="7"/>
  </w:num>
  <w:num w:numId="13">
    <w:abstractNumId w:val="0"/>
  </w:num>
  <w:num w:numId="14">
    <w:abstractNumId w:val="4"/>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E3"/>
    <w:rsid w:val="000049A8"/>
    <w:rsid w:val="00060C95"/>
    <w:rsid w:val="00070100"/>
    <w:rsid w:val="000737BF"/>
    <w:rsid w:val="00094B28"/>
    <w:rsid w:val="000E7319"/>
    <w:rsid w:val="00163A82"/>
    <w:rsid w:val="0019079F"/>
    <w:rsid w:val="001B6299"/>
    <w:rsid w:val="002370E3"/>
    <w:rsid w:val="002706F4"/>
    <w:rsid w:val="0027318B"/>
    <w:rsid w:val="002864C2"/>
    <w:rsid w:val="00287105"/>
    <w:rsid w:val="002E7E33"/>
    <w:rsid w:val="003139E5"/>
    <w:rsid w:val="00352BB5"/>
    <w:rsid w:val="00357AD5"/>
    <w:rsid w:val="003A1419"/>
    <w:rsid w:val="003B4596"/>
    <w:rsid w:val="003B54BA"/>
    <w:rsid w:val="003B59B4"/>
    <w:rsid w:val="0040035E"/>
    <w:rsid w:val="00431353"/>
    <w:rsid w:val="004566FB"/>
    <w:rsid w:val="00471AF8"/>
    <w:rsid w:val="00476436"/>
    <w:rsid w:val="005450D7"/>
    <w:rsid w:val="00591ACD"/>
    <w:rsid w:val="005E75BC"/>
    <w:rsid w:val="00624CD2"/>
    <w:rsid w:val="00642143"/>
    <w:rsid w:val="00657BE1"/>
    <w:rsid w:val="006657FA"/>
    <w:rsid w:val="006730FF"/>
    <w:rsid w:val="006D61E2"/>
    <w:rsid w:val="006E7D12"/>
    <w:rsid w:val="0070425A"/>
    <w:rsid w:val="00716ECF"/>
    <w:rsid w:val="007775BA"/>
    <w:rsid w:val="0078267B"/>
    <w:rsid w:val="007B1CF5"/>
    <w:rsid w:val="00804A7C"/>
    <w:rsid w:val="0086463B"/>
    <w:rsid w:val="00870577"/>
    <w:rsid w:val="008761BC"/>
    <w:rsid w:val="008E5DEC"/>
    <w:rsid w:val="009730F2"/>
    <w:rsid w:val="0097470C"/>
    <w:rsid w:val="009807F0"/>
    <w:rsid w:val="0099246D"/>
    <w:rsid w:val="00995E29"/>
    <w:rsid w:val="009C2251"/>
    <w:rsid w:val="00A01C72"/>
    <w:rsid w:val="00A12FFD"/>
    <w:rsid w:val="00A22247"/>
    <w:rsid w:val="00A32D2B"/>
    <w:rsid w:val="00A664F4"/>
    <w:rsid w:val="00A86DFF"/>
    <w:rsid w:val="00AA7E0F"/>
    <w:rsid w:val="00AE1175"/>
    <w:rsid w:val="00AE19C1"/>
    <w:rsid w:val="00AF4503"/>
    <w:rsid w:val="00AF6393"/>
    <w:rsid w:val="00B2528C"/>
    <w:rsid w:val="00B40A68"/>
    <w:rsid w:val="00B42BD4"/>
    <w:rsid w:val="00B44798"/>
    <w:rsid w:val="00B44FB5"/>
    <w:rsid w:val="00B457F6"/>
    <w:rsid w:val="00B83CC8"/>
    <w:rsid w:val="00B866B5"/>
    <w:rsid w:val="00B9691D"/>
    <w:rsid w:val="00BA0FE1"/>
    <w:rsid w:val="00C20C7F"/>
    <w:rsid w:val="00C22D37"/>
    <w:rsid w:val="00C451D0"/>
    <w:rsid w:val="00CD2F75"/>
    <w:rsid w:val="00CD496C"/>
    <w:rsid w:val="00D00F2B"/>
    <w:rsid w:val="00D01176"/>
    <w:rsid w:val="00D04B12"/>
    <w:rsid w:val="00D15FE3"/>
    <w:rsid w:val="00D24ADD"/>
    <w:rsid w:val="00D44AD7"/>
    <w:rsid w:val="00D53541"/>
    <w:rsid w:val="00DD58FE"/>
    <w:rsid w:val="00DD6335"/>
    <w:rsid w:val="00E0462B"/>
    <w:rsid w:val="00E07BA7"/>
    <w:rsid w:val="00E2744E"/>
    <w:rsid w:val="00E526A5"/>
    <w:rsid w:val="00E65F89"/>
    <w:rsid w:val="00E75127"/>
    <w:rsid w:val="00E8491E"/>
    <w:rsid w:val="00F02F39"/>
    <w:rsid w:val="00F17629"/>
    <w:rsid w:val="00F3517F"/>
    <w:rsid w:val="00F46F93"/>
    <w:rsid w:val="00F54947"/>
    <w:rsid w:val="00F8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0404EB"/>
  <w15:docId w15:val="{6D775F6E-94B9-4609-96F3-62080D18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CF"/>
  </w:style>
  <w:style w:type="paragraph" w:styleId="Heading1">
    <w:name w:val="heading 1"/>
    <w:basedOn w:val="Normal"/>
    <w:next w:val="Normal"/>
    <w:link w:val="Heading1Char"/>
    <w:uiPriority w:val="99"/>
    <w:qFormat/>
    <w:rsid w:val="00716ECF"/>
    <w:pPr>
      <w:keepNext/>
      <w:outlineLvl w:val="0"/>
    </w:pPr>
    <w:rPr>
      <w:rFonts w:ascii="Signature" w:hAnsi="Signature"/>
      <w:sz w:val="36"/>
    </w:rPr>
  </w:style>
  <w:style w:type="paragraph" w:styleId="Heading2">
    <w:name w:val="heading 2"/>
    <w:basedOn w:val="Normal"/>
    <w:next w:val="Normal"/>
    <w:link w:val="Heading2Char"/>
    <w:uiPriority w:val="99"/>
    <w:qFormat/>
    <w:rsid w:val="00716ECF"/>
    <w:pPr>
      <w:keepNext/>
      <w:outlineLvl w:val="1"/>
    </w:pPr>
    <w:rPr>
      <w:sz w:val="24"/>
    </w:rPr>
  </w:style>
  <w:style w:type="paragraph" w:styleId="Heading3">
    <w:name w:val="heading 3"/>
    <w:basedOn w:val="Normal"/>
    <w:next w:val="Normal"/>
    <w:link w:val="Heading3Char"/>
    <w:uiPriority w:val="99"/>
    <w:qFormat/>
    <w:rsid w:val="00716ECF"/>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rsid w:val="00716ECF"/>
    <w:pPr>
      <w:keepNext/>
      <w:outlineLvl w:val="3"/>
    </w:pPr>
    <w:rPr>
      <w:rFonts w:ascii="Bookman Old Style" w:hAnsi="Bookman Old Style"/>
      <w:sz w:val="28"/>
    </w:rPr>
  </w:style>
  <w:style w:type="paragraph" w:styleId="Heading5">
    <w:name w:val="heading 5"/>
    <w:basedOn w:val="Normal"/>
    <w:next w:val="Normal"/>
    <w:link w:val="Heading5Char"/>
    <w:uiPriority w:val="99"/>
    <w:qFormat/>
    <w:rsid w:val="00716ECF"/>
    <w:pPr>
      <w:keepNext/>
      <w:spacing w:before="120"/>
      <w:jc w:val="both"/>
      <w:outlineLvl w:val="4"/>
    </w:pPr>
    <w:rPr>
      <w:rFonts w:ascii="Tahoma" w:hAnsi="Tahoma" w:cs="Brush Script"/>
      <w:b/>
      <w:bCs/>
    </w:rPr>
  </w:style>
  <w:style w:type="paragraph" w:styleId="Heading6">
    <w:name w:val="heading 6"/>
    <w:basedOn w:val="Normal"/>
    <w:next w:val="Normal"/>
    <w:link w:val="Heading6Char"/>
    <w:uiPriority w:val="99"/>
    <w:qFormat/>
    <w:rsid w:val="00716ECF"/>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67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3367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33673"/>
    <w:rPr>
      <w:rFonts w:ascii="Cambria" w:eastAsia="Times New Roman" w:hAnsi="Cambria" w:cs="Times New Roman"/>
      <w:b/>
      <w:bCs/>
      <w:sz w:val="26"/>
      <w:szCs w:val="26"/>
    </w:rPr>
  </w:style>
  <w:style w:type="character" w:customStyle="1" w:styleId="Heading4Char">
    <w:name w:val="Heading 4 Char"/>
    <w:link w:val="Heading4"/>
    <w:uiPriority w:val="9"/>
    <w:semiHidden/>
    <w:rsid w:val="00E33673"/>
    <w:rPr>
      <w:rFonts w:ascii="Calibri" w:eastAsia="Times New Roman" w:hAnsi="Calibri" w:cs="Times New Roman"/>
      <w:b/>
      <w:bCs/>
      <w:sz w:val="28"/>
      <w:szCs w:val="28"/>
    </w:rPr>
  </w:style>
  <w:style w:type="character" w:customStyle="1" w:styleId="Heading5Char">
    <w:name w:val="Heading 5 Char"/>
    <w:link w:val="Heading5"/>
    <w:uiPriority w:val="9"/>
    <w:semiHidden/>
    <w:rsid w:val="00E3367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33673"/>
    <w:rPr>
      <w:rFonts w:ascii="Calibri" w:eastAsia="Times New Roman" w:hAnsi="Calibri" w:cs="Times New Roman"/>
      <w:b/>
      <w:bCs/>
    </w:rPr>
  </w:style>
  <w:style w:type="paragraph" w:styleId="Header">
    <w:name w:val="header"/>
    <w:basedOn w:val="Normal"/>
    <w:link w:val="HeaderChar"/>
    <w:uiPriority w:val="99"/>
    <w:rsid w:val="00716ECF"/>
    <w:pPr>
      <w:tabs>
        <w:tab w:val="center" w:pos="4320"/>
        <w:tab w:val="right" w:pos="8640"/>
      </w:tabs>
    </w:pPr>
  </w:style>
  <w:style w:type="character" w:customStyle="1" w:styleId="HeaderChar">
    <w:name w:val="Header Char"/>
    <w:link w:val="Header"/>
    <w:uiPriority w:val="99"/>
    <w:semiHidden/>
    <w:rsid w:val="00E33673"/>
    <w:rPr>
      <w:sz w:val="20"/>
      <w:szCs w:val="20"/>
    </w:rPr>
  </w:style>
  <w:style w:type="paragraph" w:styleId="Footer">
    <w:name w:val="footer"/>
    <w:basedOn w:val="Normal"/>
    <w:link w:val="FooterChar"/>
    <w:uiPriority w:val="99"/>
    <w:rsid w:val="00716ECF"/>
    <w:pPr>
      <w:tabs>
        <w:tab w:val="center" w:pos="4320"/>
        <w:tab w:val="right" w:pos="8640"/>
      </w:tabs>
    </w:pPr>
  </w:style>
  <w:style w:type="character" w:customStyle="1" w:styleId="FooterChar">
    <w:name w:val="Footer Char"/>
    <w:link w:val="Footer"/>
    <w:uiPriority w:val="99"/>
    <w:semiHidden/>
    <w:rsid w:val="00E33673"/>
    <w:rPr>
      <w:sz w:val="20"/>
      <w:szCs w:val="20"/>
    </w:rPr>
  </w:style>
  <w:style w:type="paragraph" w:customStyle="1" w:styleId="Print-FromToSubjectDate">
    <w:name w:val="Print- From: To: Subject: Date:"/>
    <w:basedOn w:val="Normal"/>
    <w:uiPriority w:val="99"/>
    <w:rsid w:val="00716ECF"/>
    <w:pPr>
      <w:pBdr>
        <w:left w:val="single" w:sz="18" w:space="1" w:color="auto"/>
      </w:pBdr>
    </w:pPr>
    <w:rPr>
      <w:rFonts w:ascii="Arial" w:hAnsi="Arial"/>
    </w:rPr>
  </w:style>
  <w:style w:type="paragraph" w:customStyle="1" w:styleId="DefaultText">
    <w:name w:val="Default Text"/>
    <w:uiPriority w:val="99"/>
    <w:rsid w:val="00716ECF"/>
    <w:rPr>
      <w:color w:val="000000"/>
      <w:sz w:val="24"/>
    </w:rPr>
  </w:style>
  <w:style w:type="paragraph" w:styleId="BodyText">
    <w:name w:val="Body Text"/>
    <w:basedOn w:val="Normal"/>
    <w:link w:val="BodyTextChar"/>
    <w:uiPriority w:val="99"/>
    <w:rsid w:val="00716ECF"/>
    <w:rPr>
      <w:sz w:val="24"/>
    </w:rPr>
  </w:style>
  <w:style w:type="character" w:customStyle="1" w:styleId="BodyTextChar">
    <w:name w:val="Body Text Char"/>
    <w:link w:val="BodyText"/>
    <w:uiPriority w:val="99"/>
    <w:locked/>
    <w:rsid w:val="003A1419"/>
    <w:rPr>
      <w:rFonts w:cs="Times New Roman"/>
      <w:sz w:val="24"/>
    </w:rPr>
  </w:style>
  <w:style w:type="paragraph" w:styleId="Date">
    <w:name w:val="Date"/>
    <w:basedOn w:val="Normal"/>
    <w:next w:val="Normal"/>
    <w:link w:val="DateChar"/>
    <w:uiPriority w:val="99"/>
    <w:rsid w:val="00716ECF"/>
  </w:style>
  <w:style w:type="character" w:customStyle="1" w:styleId="DateChar">
    <w:name w:val="Date Char"/>
    <w:link w:val="Date"/>
    <w:uiPriority w:val="99"/>
    <w:semiHidden/>
    <w:rsid w:val="00E33673"/>
    <w:rPr>
      <w:sz w:val="20"/>
      <w:szCs w:val="20"/>
    </w:rPr>
  </w:style>
  <w:style w:type="paragraph" w:customStyle="1" w:styleId="InsideAddressName">
    <w:name w:val="Inside Address Name"/>
    <w:basedOn w:val="Normal"/>
    <w:uiPriority w:val="99"/>
    <w:rsid w:val="00716ECF"/>
  </w:style>
  <w:style w:type="paragraph" w:customStyle="1" w:styleId="InsideAddress">
    <w:name w:val="Inside Address"/>
    <w:basedOn w:val="Normal"/>
    <w:uiPriority w:val="99"/>
    <w:rsid w:val="00716ECF"/>
  </w:style>
  <w:style w:type="paragraph" w:styleId="Salutation">
    <w:name w:val="Salutation"/>
    <w:basedOn w:val="Normal"/>
    <w:next w:val="Normal"/>
    <w:link w:val="SalutationChar"/>
    <w:uiPriority w:val="99"/>
    <w:rsid w:val="00716ECF"/>
  </w:style>
  <w:style w:type="character" w:customStyle="1" w:styleId="SalutationChar">
    <w:name w:val="Salutation Char"/>
    <w:link w:val="Salutation"/>
    <w:uiPriority w:val="99"/>
    <w:semiHidden/>
    <w:rsid w:val="00E33673"/>
    <w:rPr>
      <w:sz w:val="20"/>
      <w:szCs w:val="20"/>
    </w:rPr>
  </w:style>
  <w:style w:type="paragraph" w:styleId="Closing">
    <w:name w:val="Closing"/>
    <w:basedOn w:val="Normal"/>
    <w:link w:val="ClosingChar"/>
    <w:uiPriority w:val="99"/>
    <w:rsid w:val="00716ECF"/>
  </w:style>
  <w:style w:type="character" w:customStyle="1" w:styleId="ClosingChar">
    <w:name w:val="Closing Char"/>
    <w:link w:val="Closing"/>
    <w:uiPriority w:val="99"/>
    <w:semiHidden/>
    <w:rsid w:val="00E33673"/>
    <w:rPr>
      <w:sz w:val="20"/>
      <w:szCs w:val="20"/>
    </w:rPr>
  </w:style>
  <w:style w:type="paragraph" w:styleId="Signature">
    <w:name w:val="Signature"/>
    <w:basedOn w:val="Normal"/>
    <w:link w:val="SignatureChar"/>
    <w:uiPriority w:val="99"/>
    <w:rsid w:val="00716ECF"/>
  </w:style>
  <w:style w:type="character" w:customStyle="1" w:styleId="SignatureChar">
    <w:name w:val="Signature Char"/>
    <w:link w:val="Signature"/>
    <w:uiPriority w:val="99"/>
    <w:semiHidden/>
    <w:rsid w:val="00E33673"/>
    <w:rPr>
      <w:sz w:val="20"/>
      <w:szCs w:val="20"/>
    </w:rPr>
  </w:style>
  <w:style w:type="character" w:styleId="Hyperlink">
    <w:name w:val="Hyperlink"/>
    <w:uiPriority w:val="99"/>
    <w:rsid w:val="00716ECF"/>
    <w:rPr>
      <w:rFonts w:cs="Times New Roman"/>
      <w:color w:val="0000FF"/>
      <w:u w:val="single"/>
    </w:rPr>
  </w:style>
  <w:style w:type="paragraph" w:customStyle="1" w:styleId="TableText">
    <w:name w:val="Table Text"/>
    <w:uiPriority w:val="99"/>
    <w:rsid w:val="00716ECF"/>
    <w:rPr>
      <w:rFonts w:ascii="Arial Narrow" w:hAnsi="Arial Narrow"/>
      <w:color w:val="000000"/>
      <w:sz w:val="24"/>
    </w:rPr>
  </w:style>
  <w:style w:type="paragraph" w:styleId="BodyTextIndent">
    <w:name w:val="Body Text Indent"/>
    <w:basedOn w:val="Normal"/>
    <w:link w:val="BodyTextIndentChar"/>
    <w:uiPriority w:val="99"/>
    <w:rsid w:val="00716ECF"/>
    <w:pPr>
      <w:spacing w:before="120"/>
      <w:ind w:firstLine="720"/>
      <w:jc w:val="both"/>
    </w:pPr>
    <w:rPr>
      <w:rFonts w:ascii="Bookman Old Style" w:hAnsi="Bookman Old Style" w:cs="Brush Script"/>
    </w:rPr>
  </w:style>
  <w:style w:type="character" w:customStyle="1" w:styleId="BodyTextIndentChar">
    <w:name w:val="Body Text Indent Char"/>
    <w:link w:val="BodyTextIndent"/>
    <w:uiPriority w:val="99"/>
    <w:semiHidden/>
    <w:rsid w:val="00E33673"/>
    <w:rPr>
      <w:sz w:val="20"/>
      <w:szCs w:val="20"/>
    </w:rPr>
  </w:style>
  <w:style w:type="character" w:styleId="FollowedHyperlink">
    <w:name w:val="FollowedHyperlink"/>
    <w:uiPriority w:val="99"/>
    <w:rsid w:val="00716ECF"/>
    <w:rPr>
      <w:rFonts w:cs="Times New Roman"/>
      <w:color w:val="0000FF"/>
      <w:u w:val="single"/>
    </w:rPr>
  </w:style>
  <w:style w:type="paragraph" w:styleId="FootnoteText">
    <w:name w:val="footnote text"/>
    <w:basedOn w:val="Normal"/>
    <w:link w:val="FootnoteTextChar"/>
    <w:uiPriority w:val="99"/>
    <w:semiHidden/>
    <w:rsid w:val="00716ECF"/>
  </w:style>
  <w:style w:type="character" w:customStyle="1" w:styleId="FootnoteTextChar">
    <w:name w:val="Footnote Text Char"/>
    <w:link w:val="FootnoteText"/>
    <w:uiPriority w:val="99"/>
    <w:semiHidden/>
    <w:rsid w:val="00E33673"/>
    <w:rPr>
      <w:sz w:val="20"/>
      <w:szCs w:val="20"/>
    </w:rPr>
  </w:style>
  <w:style w:type="character" w:styleId="FootnoteReference">
    <w:name w:val="footnote reference"/>
    <w:uiPriority w:val="99"/>
    <w:semiHidden/>
    <w:rsid w:val="00716ECF"/>
    <w:rPr>
      <w:rFonts w:cs="Times New Roman"/>
      <w:vertAlign w:val="superscript"/>
    </w:rPr>
  </w:style>
  <w:style w:type="character" w:styleId="PageNumber">
    <w:name w:val="page number"/>
    <w:uiPriority w:val="99"/>
    <w:rsid w:val="00716ECF"/>
    <w:rPr>
      <w:rFonts w:cs="Times New Roman"/>
    </w:rPr>
  </w:style>
  <w:style w:type="paragraph" w:styleId="BalloonText">
    <w:name w:val="Balloon Text"/>
    <w:basedOn w:val="Normal"/>
    <w:link w:val="BalloonTextChar"/>
    <w:uiPriority w:val="99"/>
    <w:semiHidden/>
    <w:rsid w:val="00716ECF"/>
    <w:rPr>
      <w:rFonts w:ascii="Tahoma" w:hAnsi="Tahoma" w:cs="Tahoma"/>
      <w:sz w:val="16"/>
      <w:szCs w:val="16"/>
    </w:rPr>
  </w:style>
  <w:style w:type="character" w:customStyle="1" w:styleId="BalloonTextChar">
    <w:name w:val="Balloon Text Char"/>
    <w:link w:val="BalloonText"/>
    <w:uiPriority w:val="99"/>
    <w:semiHidden/>
    <w:rsid w:val="00E33673"/>
    <w:rPr>
      <w:sz w:val="0"/>
      <w:szCs w:val="0"/>
    </w:rPr>
  </w:style>
  <w:style w:type="character" w:customStyle="1" w:styleId="LauraKennedy">
    <w:name w:val="Laura Kennedy"/>
    <w:uiPriority w:val="99"/>
    <w:semiHidden/>
    <w:rsid w:val="00716ECF"/>
    <w:rPr>
      <w:rFonts w:ascii="Bookman Old Style" w:hAnsi="Bookman Old Style"/>
      <w:color w:val="auto"/>
      <w:sz w:val="20"/>
      <w:u w:val="none"/>
    </w:rPr>
  </w:style>
  <w:style w:type="paragraph" w:styleId="DocumentMap">
    <w:name w:val="Document Map"/>
    <w:basedOn w:val="Normal"/>
    <w:link w:val="DocumentMapChar"/>
    <w:uiPriority w:val="99"/>
    <w:semiHidden/>
    <w:rsid w:val="00716ECF"/>
    <w:pPr>
      <w:shd w:val="clear" w:color="auto" w:fill="000080"/>
    </w:pPr>
    <w:rPr>
      <w:rFonts w:ascii="Tahoma" w:hAnsi="Tahoma" w:cs="Tahoma"/>
    </w:rPr>
  </w:style>
  <w:style w:type="character" w:customStyle="1" w:styleId="DocumentMapChar">
    <w:name w:val="Document Map Char"/>
    <w:link w:val="DocumentMap"/>
    <w:uiPriority w:val="99"/>
    <w:semiHidden/>
    <w:rsid w:val="00E33673"/>
    <w:rPr>
      <w:sz w:val="0"/>
      <w:szCs w:val="0"/>
    </w:rPr>
  </w:style>
  <w:style w:type="paragraph" w:styleId="ListParagraph">
    <w:name w:val="List Paragraph"/>
    <w:basedOn w:val="Normal"/>
    <w:uiPriority w:val="99"/>
    <w:qFormat/>
    <w:rsid w:val="00716ECF"/>
    <w:pPr>
      <w:ind w:left="720"/>
      <w:contextualSpacing/>
    </w:pPr>
  </w:style>
  <w:style w:type="paragraph" w:styleId="PlainText">
    <w:name w:val="Plain Text"/>
    <w:basedOn w:val="Normal"/>
    <w:link w:val="PlainTextChar"/>
    <w:uiPriority w:val="99"/>
    <w:rsid w:val="00A86DFF"/>
    <w:rPr>
      <w:szCs w:val="21"/>
    </w:rPr>
  </w:style>
  <w:style w:type="character" w:customStyle="1" w:styleId="PlainTextChar">
    <w:name w:val="Plain Text Char"/>
    <w:link w:val="PlainText"/>
    <w:uiPriority w:val="99"/>
    <w:locked/>
    <w:rsid w:val="00A86DFF"/>
    <w:rPr>
      <w:rFonts w:eastAsia="Times New Roman" w:cs="Times New Roman"/>
      <w:sz w:val="21"/>
      <w:szCs w:val="21"/>
    </w:rPr>
  </w:style>
  <w:style w:type="table" w:styleId="TableGrid">
    <w:name w:val="Table Grid"/>
    <w:basedOn w:val="TableNormal"/>
    <w:uiPriority w:val="99"/>
    <w:rsid w:val="003A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3A1419"/>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3A1419"/>
    <w:rPr>
      <w:rFonts w:ascii="Bookman Old Style" w:hAnsi="Bookman Old Style" w:cs="Times New Roman"/>
      <w:b/>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36510">
      <w:marLeft w:val="0"/>
      <w:marRight w:val="0"/>
      <w:marTop w:val="0"/>
      <w:marBottom w:val="0"/>
      <w:divBdr>
        <w:top w:val="none" w:sz="0" w:space="0" w:color="auto"/>
        <w:left w:val="none" w:sz="0" w:space="0" w:color="auto"/>
        <w:bottom w:val="none" w:sz="0" w:space="0" w:color="auto"/>
        <w:right w:val="none" w:sz="0" w:space="0" w:color="auto"/>
      </w:divBdr>
    </w:div>
    <w:div w:id="182136511">
      <w:marLeft w:val="0"/>
      <w:marRight w:val="0"/>
      <w:marTop w:val="0"/>
      <w:marBottom w:val="0"/>
      <w:divBdr>
        <w:top w:val="none" w:sz="0" w:space="0" w:color="auto"/>
        <w:left w:val="none" w:sz="0" w:space="0" w:color="auto"/>
        <w:bottom w:val="none" w:sz="0" w:space="0" w:color="auto"/>
        <w:right w:val="none" w:sz="0" w:space="0" w:color="auto"/>
      </w:divBdr>
    </w:div>
    <w:div w:id="182136512">
      <w:marLeft w:val="0"/>
      <w:marRight w:val="0"/>
      <w:marTop w:val="0"/>
      <w:marBottom w:val="0"/>
      <w:divBdr>
        <w:top w:val="none" w:sz="0" w:space="0" w:color="auto"/>
        <w:left w:val="none" w:sz="0" w:space="0" w:color="auto"/>
        <w:bottom w:val="none" w:sz="0" w:space="0" w:color="auto"/>
        <w:right w:val="none" w:sz="0" w:space="0" w:color="auto"/>
      </w:divBdr>
    </w:div>
    <w:div w:id="182136513">
      <w:marLeft w:val="0"/>
      <w:marRight w:val="0"/>
      <w:marTop w:val="0"/>
      <w:marBottom w:val="0"/>
      <w:divBdr>
        <w:top w:val="none" w:sz="0" w:space="0" w:color="auto"/>
        <w:left w:val="none" w:sz="0" w:space="0" w:color="auto"/>
        <w:bottom w:val="none" w:sz="0" w:space="0" w:color="auto"/>
        <w:right w:val="none" w:sz="0" w:space="0" w:color="auto"/>
      </w:divBdr>
    </w:div>
    <w:div w:id="182136514">
      <w:marLeft w:val="0"/>
      <w:marRight w:val="0"/>
      <w:marTop w:val="0"/>
      <w:marBottom w:val="0"/>
      <w:divBdr>
        <w:top w:val="none" w:sz="0" w:space="0" w:color="auto"/>
        <w:left w:val="none" w:sz="0" w:space="0" w:color="auto"/>
        <w:bottom w:val="none" w:sz="0" w:space="0" w:color="auto"/>
        <w:right w:val="none" w:sz="0" w:space="0" w:color="auto"/>
      </w:divBdr>
    </w:div>
    <w:div w:id="182136515">
      <w:marLeft w:val="0"/>
      <w:marRight w:val="0"/>
      <w:marTop w:val="0"/>
      <w:marBottom w:val="0"/>
      <w:divBdr>
        <w:top w:val="none" w:sz="0" w:space="0" w:color="auto"/>
        <w:left w:val="none" w:sz="0" w:space="0" w:color="auto"/>
        <w:bottom w:val="none" w:sz="0" w:space="0" w:color="auto"/>
        <w:right w:val="none" w:sz="0" w:space="0" w:color="auto"/>
      </w:divBdr>
    </w:div>
    <w:div w:id="182136516">
      <w:marLeft w:val="0"/>
      <w:marRight w:val="0"/>
      <w:marTop w:val="0"/>
      <w:marBottom w:val="0"/>
      <w:divBdr>
        <w:top w:val="none" w:sz="0" w:space="0" w:color="auto"/>
        <w:left w:val="none" w:sz="0" w:space="0" w:color="auto"/>
        <w:bottom w:val="none" w:sz="0" w:space="0" w:color="auto"/>
        <w:right w:val="none" w:sz="0" w:space="0" w:color="auto"/>
      </w:divBdr>
    </w:div>
    <w:div w:id="182136517">
      <w:marLeft w:val="0"/>
      <w:marRight w:val="0"/>
      <w:marTop w:val="0"/>
      <w:marBottom w:val="0"/>
      <w:divBdr>
        <w:top w:val="none" w:sz="0" w:space="0" w:color="auto"/>
        <w:left w:val="none" w:sz="0" w:space="0" w:color="auto"/>
        <w:bottom w:val="none" w:sz="0" w:space="0" w:color="auto"/>
        <w:right w:val="none" w:sz="0" w:space="0" w:color="auto"/>
      </w:divBdr>
    </w:div>
    <w:div w:id="182136518">
      <w:marLeft w:val="0"/>
      <w:marRight w:val="0"/>
      <w:marTop w:val="0"/>
      <w:marBottom w:val="0"/>
      <w:divBdr>
        <w:top w:val="none" w:sz="0" w:space="0" w:color="auto"/>
        <w:left w:val="none" w:sz="0" w:space="0" w:color="auto"/>
        <w:bottom w:val="none" w:sz="0" w:space="0" w:color="auto"/>
        <w:right w:val="none" w:sz="0" w:space="0" w:color="auto"/>
      </w:divBdr>
    </w:div>
    <w:div w:id="182136519">
      <w:marLeft w:val="0"/>
      <w:marRight w:val="0"/>
      <w:marTop w:val="0"/>
      <w:marBottom w:val="0"/>
      <w:divBdr>
        <w:top w:val="none" w:sz="0" w:space="0" w:color="auto"/>
        <w:left w:val="none" w:sz="0" w:space="0" w:color="auto"/>
        <w:bottom w:val="none" w:sz="0" w:space="0" w:color="auto"/>
        <w:right w:val="none" w:sz="0" w:space="0" w:color="auto"/>
      </w:divBdr>
    </w:div>
    <w:div w:id="182136520">
      <w:marLeft w:val="0"/>
      <w:marRight w:val="0"/>
      <w:marTop w:val="0"/>
      <w:marBottom w:val="0"/>
      <w:divBdr>
        <w:top w:val="none" w:sz="0" w:space="0" w:color="auto"/>
        <w:left w:val="none" w:sz="0" w:space="0" w:color="auto"/>
        <w:bottom w:val="none" w:sz="0" w:space="0" w:color="auto"/>
        <w:right w:val="none" w:sz="0" w:space="0" w:color="auto"/>
      </w:divBdr>
    </w:div>
    <w:div w:id="182136521">
      <w:marLeft w:val="0"/>
      <w:marRight w:val="0"/>
      <w:marTop w:val="0"/>
      <w:marBottom w:val="0"/>
      <w:divBdr>
        <w:top w:val="none" w:sz="0" w:space="0" w:color="auto"/>
        <w:left w:val="none" w:sz="0" w:space="0" w:color="auto"/>
        <w:bottom w:val="none" w:sz="0" w:space="0" w:color="auto"/>
        <w:right w:val="none" w:sz="0" w:space="0" w:color="auto"/>
      </w:divBdr>
    </w:div>
    <w:div w:id="182136522">
      <w:marLeft w:val="0"/>
      <w:marRight w:val="0"/>
      <w:marTop w:val="0"/>
      <w:marBottom w:val="0"/>
      <w:divBdr>
        <w:top w:val="none" w:sz="0" w:space="0" w:color="auto"/>
        <w:left w:val="none" w:sz="0" w:space="0" w:color="auto"/>
        <w:bottom w:val="none" w:sz="0" w:space="0" w:color="auto"/>
        <w:right w:val="none" w:sz="0" w:space="0" w:color="auto"/>
      </w:divBdr>
    </w:div>
    <w:div w:id="182136523">
      <w:marLeft w:val="0"/>
      <w:marRight w:val="0"/>
      <w:marTop w:val="0"/>
      <w:marBottom w:val="0"/>
      <w:divBdr>
        <w:top w:val="none" w:sz="0" w:space="0" w:color="auto"/>
        <w:left w:val="none" w:sz="0" w:space="0" w:color="auto"/>
        <w:bottom w:val="none" w:sz="0" w:space="0" w:color="auto"/>
        <w:right w:val="none" w:sz="0" w:space="0" w:color="auto"/>
      </w:divBdr>
    </w:div>
    <w:div w:id="182136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95C03-8B2A-4F4F-829E-076489D1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Jonathan Booe</cp:lastModifiedBy>
  <cp:revision>2</cp:revision>
  <cp:lastPrinted>2012-08-16T10:39:00Z</cp:lastPrinted>
  <dcterms:created xsi:type="dcterms:W3CDTF">2024-04-02T19:53:00Z</dcterms:created>
  <dcterms:modified xsi:type="dcterms:W3CDTF">2024-04-02T19:53:00Z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