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4197" w14:textId="1A9B9668" w:rsidR="0068491A" w:rsidRPr="00717EE5" w:rsidRDefault="0056180E" w:rsidP="001249D9">
      <w:pPr>
        <w:spacing w:after="120"/>
        <w:ind w:left="1440" w:hanging="1440"/>
        <w:jc w:val="right"/>
        <w:rPr>
          <w:b/>
        </w:rPr>
      </w:pPr>
      <w:r w:rsidRPr="00717EE5">
        <w:rPr>
          <w:b/>
        </w:rPr>
        <w:t>via posting</w:t>
      </w:r>
    </w:p>
    <w:p w14:paraId="28831E24" w14:textId="77777777" w:rsidR="0056180E" w:rsidRPr="00717EE5" w:rsidRDefault="0056180E" w:rsidP="001249D9">
      <w:pPr>
        <w:tabs>
          <w:tab w:val="left" w:pos="900"/>
        </w:tabs>
        <w:spacing w:after="120"/>
        <w:ind w:left="900" w:hanging="900"/>
      </w:pPr>
      <w:r w:rsidRPr="00717EE5">
        <w:rPr>
          <w:b/>
        </w:rPr>
        <w:t>TO:</w:t>
      </w:r>
      <w:r w:rsidRPr="00717EE5">
        <w:rPr>
          <w:b/>
        </w:rPr>
        <w:tab/>
      </w:r>
      <w:r w:rsidRPr="00717EE5">
        <w:t>NAESB Board Revenue Committee Members</w:t>
      </w:r>
      <w:r w:rsidR="0078270B" w:rsidRPr="00717EE5">
        <w:t>:</w:t>
      </w:r>
      <w:r w:rsidRPr="00717EE5">
        <w:t xml:space="preserve"> </w:t>
      </w:r>
      <w:r w:rsidR="00BA0AF0" w:rsidRPr="00717EE5">
        <w:t>Michael Desselle, Jim Buccigross, Cade Burks, Valerie Crockett, Bruce Ellsworth, Debbie McKeever, Gene Nowak, Randy Parker, Terry Thorn, Roy True</w:t>
      </w:r>
    </w:p>
    <w:p w14:paraId="49280E37" w14:textId="77777777" w:rsidR="0056180E" w:rsidRPr="00717EE5" w:rsidRDefault="0056180E" w:rsidP="001249D9">
      <w:pPr>
        <w:tabs>
          <w:tab w:val="left" w:pos="900"/>
        </w:tabs>
        <w:spacing w:after="120"/>
      </w:pPr>
      <w:r w:rsidRPr="00717EE5">
        <w:rPr>
          <w:b/>
        </w:rPr>
        <w:t xml:space="preserve">FROM: </w:t>
      </w:r>
      <w:r w:rsidRPr="00717EE5">
        <w:rPr>
          <w:b/>
        </w:rPr>
        <w:tab/>
      </w:r>
      <w:r w:rsidR="00AF1BBF" w:rsidRPr="00717EE5">
        <w:t>Elizabeth Mallett, Deputy Director</w:t>
      </w:r>
    </w:p>
    <w:p w14:paraId="20B6243B" w14:textId="337AEE2E" w:rsidR="0056180E" w:rsidRPr="00717EE5" w:rsidRDefault="0056180E" w:rsidP="001249D9">
      <w:pPr>
        <w:tabs>
          <w:tab w:val="left" w:pos="900"/>
        </w:tabs>
        <w:spacing w:after="120"/>
        <w:ind w:left="900" w:hanging="900"/>
      </w:pPr>
      <w:r w:rsidRPr="00717EE5">
        <w:rPr>
          <w:b/>
        </w:rPr>
        <w:t>RE:</w:t>
      </w:r>
      <w:r w:rsidRPr="00717EE5">
        <w:rPr>
          <w:b/>
        </w:rPr>
        <w:tab/>
      </w:r>
      <w:r w:rsidRPr="00717EE5">
        <w:t>Meeting Notes from the</w:t>
      </w:r>
      <w:r w:rsidRPr="00717EE5">
        <w:rPr>
          <w:b/>
        </w:rPr>
        <w:t xml:space="preserve"> </w:t>
      </w:r>
      <w:r w:rsidRPr="00717EE5">
        <w:t xml:space="preserve">NAESB Board Revenue Committee </w:t>
      </w:r>
      <w:r w:rsidR="0011006F" w:rsidRPr="00717EE5">
        <w:t xml:space="preserve">Conference Call </w:t>
      </w:r>
      <w:r w:rsidRPr="00717EE5">
        <w:t xml:space="preserve">on </w:t>
      </w:r>
      <w:r w:rsidR="00413FBA">
        <w:t>March 12, 2019</w:t>
      </w:r>
    </w:p>
    <w:p w14:paraId="0698B385" w14:textId="00545931" w:rsidR="0056180E" w:rsidRPr="00717EE5" w:rsidRDefault="0056180E" w:rsidP="001249D9">
      <w:pPr>
        <w:pBdr>
          <w:bottom w:val="single" w:sz="12" w:space="1" w:color="auto"/>
        </w:pBdr>
        <w:tabs>
          <w:tab w:val="left" w:pos="900"/>
        </w:tabs>
        <w:spacing w:after="120"/>
      </w:pPr>
      <w:r w:rsidRPr="00717EE5">
        <w:rPr>
          <w:b/>
        </w:rPr>
        <w:t>DATE:</w:t>
      </w:r>
      <w:r w:rsidRPr="00717EE5">
        <w:tab/>
      </w:r>
      <w:r w:rsidR="0020697A">
        <w:t>March 13</w:t>
      </w:r>
      <w:r w:rsidR="00413FBA">
        <w:t>, 2019</w:t>
      </w:r>
    </w:p>
    <w:p w14:paraId="2B2B9EC1" w14:textId="77777777" w:rsidR="0056180E" w:rsidRPr="00717EE5" w:rsidRDefault="0056180E" w:rsidP="001249D9">
      <w:pPr>
        <w:spacing w:after="120"/>
        <w:outlineLvl w:val="2"/>
      </w:pPr>
      <w:r w:rsidRPr="00717EE5">
        <w:t xml:space="preserve">Dear </w:t>
      </w:r>
      <w:r w:rsidR="006A640F" w:rsidRPr="00717EE5">
        <w:t xml:space="preserve">Board </w:t>
      </w:r>
      <w:r w:rsidRPr="00717EE5">
        <w:t>Revenue Committee Members,</w:t>
      </w:r>
    </w:p>
    <w:p w14:paraId="437616BF" w14:textId="62C71E26" w:rsidR="0056180E" w:rsidRPr="00717EE5" w:rsidRDefault="0056180E" w:rsidP="001249D9">
      <w:pPr>
        <w:spacing w:after="120"/>
        <w:outlineLvl w:val="2"/>
      </w:pPr>
      <w:r w:rsidRPr="00717EE5">
        <w:t xml:space="preserve">A </w:t>
      </w:r>
      <w:r w:rsidR="006A640F" w:rsidRPr="00717EE5">
        <w:t xml:space="preserve">Board </w:t>
      </w:r>
      <w:r w:rsidRPr="00717EE5">
        <w:t xml:space="preserve">Revenue Committee </w:t>
      </w:r>
      <w:r w:rsidR="0011006F" w:rsidRPr="00717EE5">
        <w:t>conference call was held</w:t>
      </w:r>
      <w:r w:rsidR="00857347" w:rsidRPr="00717EE5">
        <w:t xml:space="preserve"> </w:t>
      </w:r>
      <w:r w:rsidR="00CF3F61" w:rsidRPr="00717EE5">
        <w:t xml:space="preserve">on </w:t>
      </w:r>
      <w:r w:rsidR="00413FBA">
        <w:t>Tuesday, March 12, 2019</w:t>
      </w:r>
      <w:r w:rsidRPr="00717EE5">
        <w:t xml:space="preserve">. </w:t>
      </w:r>
      <w:r w:rsidR="00511B90" w:rsidRPr="00717EE5">
        <w:t xml:space="preserve"> </w:t>
      </w:r>
      <w:r w:rsidRPr="00717EE5">
        <w:t>The m</w:t>
      </w:r>
      <w:r w:rsidR="00BC0C49" w:rsidRPr="00717EE5">
        <w:t xml:space="preserve">eeting was called to order at </w:t>
      </w:r>
      <w:r w:rsidR="00C76AD1" w:rsidRPr="00717EE5">
        <w:t>1</w:t>
      </w:r>
      <w:r w:rsidR="000A0793" w:rsidRPr="00717EE5">
        <w:t>:</w:t>
      </w:r>
      <w:r w:rsidR="00C76AD1" w:rsidRPr="00717EE5">
        <w:t>0</w:t>
      </w:r>
      <w:r w:rsidR="00200C6E" w:rsidRPr="00717EE5">
        <w:t xml:space="preserve">0 </w:t>
      </w:r>
      <w:r w:rsidR="00341D8A" w:rsidRPr="00717EE5">
        <w:t>P</w:t>
      </w:r>
      <w:r w:rsidR="00AC5C3D" w:rsidRPr="00717EE5">
        <w:t xml:space="preserve">M </w:t>
      </w:r>
      <w:r w:rsidR="0011006F" w:rsidRPr="00717EE5">
        <w:t>Central</w:t>
      </w:r>
      <w:r w:rsidRPr="00717EE5">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00777E9B" w:rsidRPr="00717EE5">
        <w:t xml:space="preserve"> </w:t>
      </w:r>
      <w:r w:rsidRPr="00717EE5">
        <w:t>The notes and attachments below serve as a record for the meeting</w:t>
      </w:r>
      <w:r w:rsidR="00253F86" w:rsidRPr="00717EE5">
        <w:t>.</w:t>
      </w:r>
    </w:p>
    <w:tbl>
      <w:tblPr>
        <w:tblW w:w="9792" w:type="dxa"/>
        <w:tblInd w:w="108" w:type="dxa"/>
        <w:tblLayout w:type="fixed"/>
        <w:tblLook w:val="01E0" w:firstRow="1" w:lastRow="1" w:firstColumn="1" w:lastColumn="1" w:noHBand="0" w:noVBand="0"/>
      </w:tblPr>
      <w:tblGrid>
        <w:gridCol w:w="1890"/>
        <w:gridCol w:w="7902"/>
      </w:tblGrid>
      <w:tr w:rsidR="0056180E" w:rsidRPr="00717EE5" w14:paraId="33452465" w14:textId="77777777" w:rsidTr="00AF1BBF">
        <w:trPr>
          <w:tblHeader/>
        </w:trPr>
        <w:tc>
          <w:tcPr>
            <w:tcW w:w="9792" w:type="dxa"/>
            <w:gridSpan w:val="2"/>
            <w:tcBorders>
              <w:top w:val="single" w:sz="4" w:space="0" w:color="auto"/>
              <w:bottom w:val="single" w:sz="4" w:space="0" w:color="auto"/>
            </w:tcBorders>
          </w:tcPr>
          <w:p w14:paraId="245385EA" w14:textId="0FB01859" w:rsidR="0056180E" w:rsidRPr="00717EE5" w:rsidRDefault="0056180E" w:rsidP="001249D9">
            <w:pPr>
              <w:spacing w:after="120"/>
              <w:jc w:val="center"/>
              <w:outlineLvl w:val="2"/>
              <w:rPr>
                <w:b/>
                <w:highlight w:val="green"/>
              </w:rPr>
            </w:pPr>
            <w:r w:rsidRPr="00717EE5">
              <w:rPr>
                <w:b/>
              </w:rPr>
              <w:t xml:space="preserve">Notes from the </w:t>
            </w:r>
            <w:r w:rsidR="00413FBA">
              <w:rPr>
                <w:b/>
              </w:rPr>
              <w:t>March 12, 2019</w:t>
            </w:r>
            <w:r w:rsidR="006C2A5E" w:rsidRPr="00717EE5">
              <w:rPr>
                <w:b/>
              </w:rPr>
              <w:t xml:space="preserve"> </w:t>
            </w:r>
            <w:r w:rsidRPr="00717EE5">
              <w:rPr>
                <w:b/>
              </w:rPr>
              <w:t xml:space="preserve">NAESB Board Revenue Committee </w:t>
            </w:r>
            <w:r w:rsidR="0011006F" w:rsidRPr="00717EE5">
              <w:rPr>
                <w:b/>
              </w:rPr>
              <w:t>Conference Call</w:t>
            </w:r>
          </w:p>
        </w:tc>
      </w:tr>
      <w:tr w:rsidR="0056180E" w:rsidRPr="00717EE5" w14:paraId="64D5DF5F" w14:textId="77777777" w:rsidTr="00AF1BBF">
        <w:tc>
          <w:tcPr>
            <w:tcW w:w="1890" w:type="dxa"/>
            <w:tcBorders>
              <w:top w:val="single" w:sz="4" w:space="0" w:color="auto"/>
            </w:tcBorders>
          </w:tcPr>
          <w:p w14:paraId="7E920DFB" w14:textId="77777777" w:rsidR="0056180E" w:rsidRPr="00717EE5" w:rsidRDefault="0056180E" w:rsidP="001249D9">
            <w:pPr>
              <w:spacing w:after="120"/>
              <w:outlineLvl w:val="2"/>
              <w:rPr>
                <w:b/>
              </w:rPr>
            </w:pPr>
            <w:r w:rsidRPr="00717EE5">
              <w:rPr>
                <w:b/>
              </w:rPr>
              <w:t>Administrative</w:t>
            </w:r>
          </w:p>
        </w:tc>
        <w:tc>
          <w:tcPr>
            <w:tcW w:w="7902" w:type="dxa"/>
            <w:tcBorders>
              <w:top w:val="single" w:sz="4" w:space="0" w:color="auto"/>
            </w:tcBorders>
          </w:tcPr>
          <w:p w14:paraId="442F477A" w14:textId="4DB0C314" w:rsidR="00035B9C" w:rsidRPr="00717EE5" w:rsidRDefault="0041018D" w:rsidP="001249D9">
            <w:pPr>
              <w:spacing w:after="12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D9100B" w:rsidRPr="00717EE5">
              <w:t xml:space="preserve">committee members to </w:t>
            </w:r>
            <w:r w:rsidR="00F426A3" w:rsidRPr="00717EE5">
              <w:t xml:space="preserve">the </w:t>
            </w:r>
            <w:r w:rsidR="00D9100B" w:rsidRPr="00717EE5">
              <w:t>conference call</w:t>
            </w:r>
            <w:r w:rsidR="001359E5" w:rsidRPr="00717EE5">
              <w:t xml:space="preserve">.  </w:t>
            </w:r>
            <w:r w:rsidR="00B73D00">
              <w:t>Ms. Mallett</w:t>
            </w:r>
            <w:r w:rsidR="001359E5" w:rsidRPr="00717EE5">
              <w:t xml:space="preserve"> </w:t>
            </w:r>
            <w:r w:rsidR="00200C6E" w:rsidRPr="00717EE5">
              <w:t xml:space="preserve">provided the </w:t>
            </w:r>
            <w:r w:rsidR="0001332B" w:rsidRPr="00717EE5">
              <w:t xml:space="preserve">NAESB Antitrust and Other Meetings Policies </w:t>
            </w:r>
            <w:r w:rsidR="00C64459" w:rsidRPr="00717EE5">
              <w:t>guidance</w:t>
            </w:r>
            <w:r w:rsidR="00B73D00">
              <w:t xml:space="preserve"> and </w:t>
            </w:r>
            <w:r w:rsidR="001359E5" w:rsidRPr="00717EE5">
              <w:t>called</w:t>
            </w:r>
            <w:r w:rsidR="006478D4" w:rsidRPr="00717EE5">
              <w:t xml:space="preserve"> the roll of the Re</w:t>
            </w:r>
            <w:r w:rsidR="001B4BFB" w:rsidRPr="00717EE5">
              <w:t>venue Committee</w:t>
            </w:r>
            <w:r w:rsidR="00B73D00">
              <w:t>.  Quorum was not established and the call was deemed a working session.  Mr. Desselle reviewed the agenda for the meeting</w:t>
            </w:r>
            <w:r w:rsidR="006C1257" w:rsidRPr="00717EE5">
              <w:t>.</w:t>
            </w:r>
          </w:p>
        </w:tc>
      </w:tr>
      <w:tr w:rsidR="00A905DD" w:rsidRPr="00717EE5" w14:paraId="7594402A" w14:textId="77777777" w:rsidTr="00AF1BBF">
        <w:tc>
          <w:tcPr>
            <w:tcW w:w="1890" w:type="dxa"/>
            <w:tcBorders>
              <w:top w:val="single" w:sz="4" w:space="0" w:color="auto"/>
            </w:tcBorders>
          </w:tcPr>
          <w:p w14:paraId="7BE7275C" w14:textId="77777777" w:rsidR="00A905DD" w:rsidRPr="00717EE5" w:rsidRDefault="00CE6FD2" w:rsidP="001249D9">
            <w:pPr>
              <w:spacing w:after="120"/>
              <w:outlineLvl w:val="2"/>
              <w:rPr>
                <w:b/>
              </w:rPr>
            </w:pPr>
            <w:r w:rsidRPr="00717EE5">
              <w:rPr>
                <w:b/>
              </w:rPr>
              <w:t>Communication</w:t>
            </w:r>
            <w:r w:rsidR="00A905DD" w:rsidRPr="00717EE5">
              <w:rPr>
                <w:b/>
              </w:rPr>
              <w:t xml:space="preserve"> </w:t>
            </w:r>
            <w:r w:rsidRPr="00717EE5">
              <w:rPr>
                <w:b/>
              </w:rPr>
              <w:t>Activities</w:t>
            </w:r>
          </w:p>
        </w:tc>
        <w:tc>
          <w:tcPr>
            <w:tcW w:w="7902" w:type="dxa"/>
            <w:tcBorders>
              <w:top w:val="single" w:sz="4" w:space="0" w:color="auto"/>
              <w:left w:val="nil"/>
              <w:bottom w:val="nil"/>
              <w:right w:val="nil"/>
            </w:tcBorders>
          </w:tcPr>
          <w:p w14:paraId="6DDDEB2E" w14:textId="4F7331F0" w:rsidR="00182C11" w:rsidRPr="00717EE5" w:rsidRDefault="00A905DD" w:rsidP="001F589C">
            <w:pPr>
              <w:spacing w:after="120"/>
              <w:jc w:val="both"/>
              <w:outlineLvl w:val="2"/>
            </w:pPr>
            <w:r w:rsidRPr="00717EE5">
              <w:t xml:space="preserve">Mr. Booe </w:t>
            </w:r>
            <w:r w:rsidR="000A0793" w:rsidRPr="00717EE5">
              <w:t xml:space="preserve">delivered </w:t>
            </w:r>
            <w:r w:rsidR="00275AE2" w:rsidRPr="00717EE5">
              <w:t>the</w:t>
            </w:r>
            <w:r w:rsidR="000A0793" w:rsidRPr="00717EE5">
              <w:t xml:space="preserve"> update on the</w:t>
            </w:r>
            <w:r w:rsidRPr="00717EE5">
              <w:t xml:space="preserve"> NAESB communication </w:t>
            </w:r>
            <w:r w:rsidR="00932648" w:rsidRPr="00717EE5">
              <w:t xml:space="preserve">activities.  </w:t>
            </w:r>
            <w:r w:rsidR="00750160" w:rsidRPr="00717EE5">
              <w:t>The</w:t>
            </w:r>
            <w:r w:rsidR="00932648" w:rsidRPr="00717EE5">
              <w:t xml:space="preserve"> </w:t>
            </w:r>
            <w:r w:rsidR="0020697A">
              <w:t>NAESB B</w:t>
            </w:r>
            <w:r w:rsidR="00932648" w:rsidRPr="00717EE5">
              <w:t xml:space="preserve">ulletin </w:t>
            </w:r>
            <w:r w:rsidR="00B73D00">
              <w:t xml:space="preserve">will be posted in </w:t>
            </w:r>
            <w:r w:rsidR="0020697A">
              <w:t xml:space="preserve">mid to late </w:t>
            </w:r>
            <w:r w:rsidR="00B73D00">
              <w:t>March</w:t>
            </w:r>
            <w:r w:rsidR="00750160" w:rsidRPr="00717EE5">
              <w:t xml:space="preserve">. </w:t>
            </w:r>
            <w:r w:rsidR="0001332B" w:rsidRPr="00717EE5">
              <w:t xml:space="preserve"> </w:t>
            </w:r>
            <w:r w:rsidR="00B73D00">
              <w:t>There have been no press releases since the t</w:t>
            </w:r>
            <w:r w:rsidR="0001332B" w:rsidRPr="00717EE5">
              <w:t xml:space="preserve">wo </w:t>
            </w:r>
            <w:r w:rsidR="00750160" w:rsidRPr="00717EE5">
              <w:t xml:space="preserve">announcing the revisions to the REQ.21 Energy Services Provider Interface (ESPI) Model Business Practices and the </w:t>
            </w:r>
            <w:r w:rsidR="009B78E5" w:rsidRPr="00717EE5">
              <w:t xml:space="preserve">October </w:t>
            </w:r>
            <w:r w:rsidR="0020697A">
              <w:t xml:space="preserve">2018 </w:t>
            </w:r>
            <w:r w:rsidR="009B78E5" w:rsidRPr="00717EE5">
              <w:t>kick off meeting</w:t>
            </w:r>
            <w:r w:rsidR="00750160" w:rsidRPr="00717EE5">
              <w:t xml:space="preserve"> for the blockchain standards development effort.</w:t>
            </w:r>
            <w:r w:rsidR="00D013FC" w:rsidRPr="00717EE5">
              <w:t xml:space="preserve">  </w:t>
            </w:r>
            <w:r w:rsidR="009B78E5" w:rsidRPr="00717EE5">
              <w:t xml:space="preserve">The next NAESB Update Call will take place on </w:t>
            </w:r>
            <w:r w:rsidR="00413FBA">
              <w:t>April 17, 2019.</w:t>
            </w:r>
            <w:r w:rsidR="00B73D00">
              <w:t xml:space="preserve">  During the </w:t>
            </w:r>
            <w:r w:rsidR="001F589C">
              <w:t xml:space="preserve">February </w:t>
            </w:r>
            <w:r w:rsidR="00B73D00">
              <w:t xml:space="preserve">NAESB Update Call, the WEQ/WGQ FERC Forms Subcommittee update was placed back on the agenda, which also included updates on the Green Button, Blockchain, OASIS, and the OpenFMB standards development efforts.  In July, NAESB staff may speak about the OASIS System at a meeting hosted by NERC to support the government of Thailand in its recent </w:t>
            </w:r>
            <w:r w:rsidR="0020697A">
              <w:t xml:space="preserve">electric </w:t>
            </w:r>
            <w:r w:rsidR="00B73D00">
              <w:t>initiatives.</w:t>
            </w:r>
            <w:r w:rsidR="000C5533">
              <w:t xml:space="preserve">  </w:t>
            </w:r>
            <w:r w:rsidR="00F43EC3">
              <w:t>A</w:t>
            </w:r>
            <w:r w:rsidR="0020697A">
              <w:t xml:space="preserve">dditionally, </w:t>
            </w:r>
            <w:r w:rsidR="000C5533">
              <w:t xml:space="preserve">Ms. Mallett and Ms. Trum wrote an article concerning NAESB’s activities in 2019 that was published in Natural Gas and Electricity, a </w:t>
            </w:r>
            <w:r w:rsidR="00391B68" w:rsidRPr="00717EE5">
              <w:t>Wiley P</w:t>
            </w:r>
            <w:r w:rsidR="009B78E5" w:rsidRPr="00717EE5">
              <w:t>ublication</w:t>
            </w:r>
            <w:r w:rsidR="000C5533">
              <w:t>.</w:t>
            </w:r>
          </w:p>
        </w:tc>
      </w:tr>
      <w:tr w:rsidR="007C4264" w:rsidRPr="00717EE5" w14:paraId="3260FECB" w14:textId="77777777" w:rsidTr="00AF1BBF">
        <w:tc>
          <w:tcPr>
            <w:tcW w:w="1890" w:type="dxa"/>
            <w:tcBorders>
              <w:top w:val="single" w:sz="4" w:space="0" w:color="auto"/>
            </w:tcBorders>
          </w:tcPr>
          <w:p w14:paraId="536E8038" w14:textId="77777777" w:rsidR="007C4264" w:rsidRPr="00717EE5" w:rsidRDefault="007C4264" w:rsidP="001249D9">
            <w:pPr>
              <w:spacing w:after="120"/>
              <w:outlineLvl w:val="2"/>
              <w:rPr>
                <w:b/>
              </w:rPr>
            </w:pPr>
            <w:r w:rsidRPr="00717EE5">
              <w:rPr>
                <w:b/>
              </w:rPr>
              <w:t>Publication Schedule</w:t>
            </w:r>
            <w:r w:rsidR="00CE6FD2" w:rsidRPr="00717EE5">
              <w:rPr>
                <w:b/>
              </w:rPr>
              <w:t>s</w:t>
            </w:r>
          </w:p>
        </w:tc>
        <w:tc>
          <w:tcPr>
            <w:tcW w:w="7902" w:type="dxa"/>
            <w:tcBorders>
              <w:top w:val="single" w:sz="4" w:space="0" w:color="auto"/>
            </w:tcBorders>
          </w:tcPr>
          <w:p w14:paraId="56098FAE" w14:textId="78F059CB" w:rsidR="00C14A41" w:rsidRDefault="000C5533" w:rsidP="001249D9">
            <w:pPr>
              <w:spacing w:after="120"/>
              <w:jc w:val="both"/>
            </w:pPr>
            <w:r>
              <w:t>Mr. Booe stat</w:t>
            </w:r>
            <w:r w:rsidR="0020697A">
              <w:t>ed that no publication dates have</w:t>
            </w:r>
            <w:r>
              <w:t xml:space="preserve"> been set for 2019.  </w:t>
            </w:r>
            <w:r w:rsidR="00E943F6" w:rsidRPr="00717EE5">
              <w:rPr>
                <w:bCs/>
                <w:iCs/>
              </w:rPr>
              <w:t xml:space="preserve">FERC Order No. 587-Y, </w:t>
            </w:r>
            <w:r w:rsidR="00E943F6" w:rsidRPr="00717EE5">
              <w:rPr>
                <w:i/>
              </w:rPr>
              <w:t>Standards for Business Practices of Interstate Natural Gas Pipelines</w:t>
            </w:r>
            <w:r w:rsidR="00E943F6" w:rsidRPr="00717EE5">
              <w:t xml:space="preserve">, </w:t>
            </w:r>
            <w:r w:rsidR="00E943F6">
              <w:t xml:space="preserve">was </w:t>
            </w:r>
            <w:r w:rsidR="00E943F6" w:rsidRPr="00717EE5">
              <w:t xml:space="preserve">issued on </w:t>
            </w:r>
            <w:r w:rsidR="00E943F6" w:rsidRPr="00717EE5">
              <w:rPr>
                <w:bCs/>
                <w:iCs/>
              </w:rPr>
              <w:t xml:space="preserve">November 15, 2018 </w:t>
            </w:r>
            <w:r w:rsidR="00E943F6" w:rsidRPr="00717EE5">
              <w:t>in Docket No. RM96-1-041</w:t>
            </w:r>
            <w:r w:rsidR="00E943F6">
              <w:t xml:space="preserve"> and incorporated Version 3.1 of the NAESB WGQ Business Practice Standards into the Commission’s regulations by reference</w:t>
            </w:r>
            <w:r w:rsidR="00E943F6" w:rsidRPr="00717EE5">
              <w:t>.</w:t>
            </w:r>
            <w:r w:rsidR="00E943F6">
              <w:t xml:space="preserve">  NAESB has not received a Final Order on Versions 003.1 or 003.2 of the NAESB WEQ Business Practice Standards.  Sandia National Laboratories recently informed NAESB staff that </w:t>
            </w:r>
            <w:r w:rsidR="00D161E7">
              <w:t xml:space="preserve">the Surety Assessment is now expected to be complete in </w:t>
            </w:r>
            <w:r w:rsidR="00907B73">
              <w:t xml:space="preserve">the </w:t>
            </w:r>
            <w:r w:rsidR="00D161E7">
              <w:t xml:space="preserve">Summer of 2019.  </w:t>
            </w:r>
            <w:r w:rsidR="00C14A41">
              <w:t>In response to the Department of Energy request that</w:t>
            </w:r>
            <w:r w:rsidR="00D161E7">
              <w:t xml:space="preserve"> NAESB work quickly </w:t>
            </w:r>
            <w:r w:rsidR="0020697A">
              <w:t>to respond to the Surety Assessment</w:t>
            </w:r>
            <w:r w:rsidR="00C14A41">
              <w:t xml:space="preserve"> effort</w:t>
            </w:r>
            <w:r w:rsidR="00907B73">
              <w:t>, each Executive Committee</w:t>
            </w:r>
            <w:r w:rsidR="00D161E7">
              <w:t xml:space="preserve"> has created an item</w:t>
            </w:r>
            <w:r w:rsidR="00C14A41">
              <w:t xml:space="preserve"> on its annual plan</w:t>
            </w:r>
            <w:r w:rsidR="001F589C">
              <w:t xml:space="preserve"> to ensure that the quadrant</w:t>
            </w:r>
            <w:r w:rsidR="00D161E7">
              <w:t xml:space="preserve"> is able to review and, if needed, develop standards in response to the </w:t>
            </w:r>
            <w:r w:rsidR="00C14A41">
              <w:t>Surety Assessment</w:t>
            </w:r>
            <w:r w:rsidR="001F589C">
              <w:t xml:space="preserve"> as soon as the assessment</w:t>
            </w:r>
            <w:r w:rsidR="00D161E7">
              <w:t xml:space="preserve"> is made available. </w:t>
            </w:r>
            <w:r w:rsidR="00C14A41">
              <w:t xml:space="preserve"> </w:t>
            </w:r>
            <w:r w:rsidR="00D161E7">
              <w:t>Mr. Booe stated that the submission of any related standards submitted to FERC could pos</w:t>
            </w:r>
            <w:r w:rsidR="00D161E7" w:rsidRPr="00C14A41">
              <w:t>sibly trigge</w:t>
            </w:r>
            <w:r w:rsidR="001F589C">
              <w:t>r some publication activity</w:t>
            </w:r>
            <w:r w:rsidR="00D161E7" w:rsidRPr="00C14A41">
              <w:t>.</w:t>
            </w:r>
          </w:p>
          <w:p w14:paraId="5139D303" w14:textId="3D65EA0F" w:rsidR="00C14A41" w:rsidRPr="00717EE5" w:rsidRDefault="00C14A41" w:rsidP="001F589C">
            <w:pPr>
              <w:spacing w:after="120"/>
              <w:jc w:val="both"/>
            </w:pPr>
            <w:r>
              <w:t>Mr. Booe stated that</w:t>
            </w:r>
            <w:r w:rsidR="001F589C">
              <w:t xml:space="preserve">, as the field test nears completion, </w:t>
            </w:r>
            <w:r>
              <w:t xml:space="preserve">FERC has been monitoring the Parallel Flow Visualization (PFV) effort.  </w:t>
            </w:r>
            <w:r w:rsidR="00F546BD">
              <w:t>Mr. Desselle stated that, alt</w:t>
            </w:r>
            <w:r w:rsidR="001F589C">
              <w:t>hough the field test may conclude soon</w:t>
            </w:r>
            <w:r w:rsidR="00F546BD">
              <w:t xml:space="preserve">, a decision still needs to be made on whether to utilize the process.  Mr. Booe stated that the </w:t>
            </w:r>
            <w:r w:rsidR="001F589C">
              <w:t>interim</w:t>
            </w:r>
            <w:r w:rsidR="00F546BD">
              <w:t xml:space="preserve"> metrics reports</w:t>
            </w:r>
            <w:r w:rsidR="00907B73">
              <w:t xml:space="preserve"> submitted to NAESB from the EIDSN Inc.</w:t>
            </w:r>
            <w:r w:rsidR="00F546BD">
              <w:t xml:space="preserve"> indicate that the project has been successful.  He noted </w:t>
            </w:r>
            <w:r w:rsidR="001F589C">
              <w:t xml:space="preserve">another </w:t>
            </w:r>
            <w:r w:rsidR="00F546BD">
              <w:t xml:space="preserve">that the </w:t>
            </w:r>
            <w:r w:rsidR="001F589C">
              <w:t xml:space="preserve">EIDSN Inc. will submit a commercial metrics report providing more information this summer.  After the completion of the field test and </w:t>
            </w:r>
            <w:r w:rsidR="001F589C">
              <w:lastRenderedPageBreak/>
              <w:t xml:space="preserve">receipt of the EIDSN Inc. report, the standards will be reviewed and </w:t>
            </w:r>
            <w:r w:rsidR="002F058D">
              <w:t xml:space="preserve">potentially </w:t>
            </w:r>
            <w:r w:rsidR="001F589C">
              <w:t>modified</w:t>
            </w:r>
            <w:r w:rsidR="00F546BD">
              <w:t xml:space="preserve"> by the WEQ Business Practices Subcommittee and considered once again in the WEQ Executive Committee.</w:t>
            </w:r>
          </w:p>
        </w:tc>
      </w:tr>
      <w:tr w:rsidR="00667644" w:rsidRPr="00717EE5" w14:paraId="16136DFD" w14:textId="77777777" w:rsidTr="00AF1BBF">
        <w:tc>
          <w:tcPr>
            <w:tcW w:w="1890" w:type="dxa"/>
            <w:tcBorders>
              <w:top w:val="single" w:sz="4" w:space="0" w:color="auto"/>
            </w:tcBorders>
          </w:tcPr>
          <w:p w14:paraId="718769D5" w14:textId="3D5ECFB4" w:rsidR="00667644" w:rsidRPr="00717EE5" w:rsidRDefault="00667644" w:rsidP="001249D9">
            <w:pPr>
              <w:spacing w:after="120"/>
              <w:outlineLvl w:val="2"/>
              <w:rPr>
                <w:b/>
              </w:rPr>
            </w:pPr>
            <w:r>
              <w:rPr>
                <w:b/>
              </w:rPr>
              <w:lastRenderedPageBreak/>
              <w:t>2018 Year-End Financials</w:t>
            </w:r>
          </w:p>
        </w:tc>
        <w:tc>
          <w:tcPr>
            <w:tcW w:w="7902" w:type="dxa"/>
            <w:tcBorders>
              <w:top w:val="single" w:sz="4" w:space="0" w:color="auto"/>
            </w:tcBorders>
          </w:tcPr>
          <w:p w14:paraId="72F40291" w14:textId="6798EF4F" w:rsidR="00667644" w:rsidRPr="00717EE5" w:rsidRDefault="005C17E4" w:rsidP="002F058D">
            <w:pPr>
              <w:spacing w:after="120"/>
              <w:jc w:val="both"/>
            </w:pPr>
            <w:r>
              <w:t xml:space="preserve">Ms. McQuade reviewed the 2018 </w:t>
            </w:r>
            <w:r w:rsidR="00907B73">
              <w:t xml:space="preserve">and the January 2019 </w:t>
            </w:r>
            <w:r>
              <w:t>Financial Report</w:t>
            </w:r>
            <w:r w:rsidR="00907B73">
              <w:t>s</w:t>
            </w:r>
            <w:r>
              <w:t xml:space="preserve">.  </w:t>
            </w:r>
            <w:r w:rsidR="00907B73">
              <w:t>She</w:t>
            </w:r>
            <w:r w:rsidR="00D2699F" w:rsidRPr="00717EE5">
              <w:t xml:space="preserve"> noted </w:t>
            </w:r>
            <w:r w:rsidR="00D2699F">
              <w:t xml:space="preserve">that </w:t>
            </w:r>
            <w:r w:rsidR="00D2699F" w:rsidRPr="00717EE5">
              <w:t>the</w:t>
            </w:r>
            <w:r w:rsidR="00D2699F">
              <w:t xml:space="preserve"> unexpected</w:t>
            </w:r>
            <w:r w:rsidR="00D2699F" w:rsidRPr="00717EE5">
              <w:t xml:space="preserve"> decrease </w:t>
            </w:r>
            <w:r>
              <w:t xml:space="preserve">in the revenue generated from </w:t>
            </w:r>
            <w:r w:rsidR="00DA690C">
              <w:t xml:space="preserve">a lack of </w:t>
            </w:r>
            <w:r>
              <w:t xml:space="preserve">sales of standards and contracts led to a negative net income in 2018.  Mr. Nowak </w:t>
            </w:r>
            <w:r w:rsidR="0066428C">
              <w:t xml:space="preserve">asked whether the </w:t>
            </w:r>
            <w:r w:rsidR="00907B73">
              <w:t xml:space="preserve">2018 financials that will be provided to the Board of Directors during its April meeting were </w:t>
            </w:r>
            <w:r w:rsidR="002F058D">
              <w:t>identical to the meeting materials</w:t>
            </w:r>
            <w:r w:rsidR="0066428C">
              <w:t xml:space="preserve"> provided for </w:t>
            </w:r>
            <w:r w:rsidR="00907B73">
              <w:t xml:space="preserve">the </w:t>
            </w:r>
            <w:r w:rsidR="0066428C">
              <w:t xml:space="preserve">call.  Ms. McQuade explained that the </w:t>
            </w:r>
            <w:r w:rsidR="002F058D">
              <w:t xml:space="preserve">financial reports in the </w:t>
            </w:r>
            <w:r w:rsidR="0066428C">
              <w:t xml:space="preserve">Board </w:t>
            </w:r>
            <w:r w:rsidR="002F058D">
              <w:t xml:space="preserve">of Directors meeting </w:t>
            </w:r>
            <w:r w:rsidR="0066428C">
              <w:t>materials would be mor</w:t>
            </w:r>
            <w:r w:rsidR="00064B30">
              <w:t>e extensive.</w:t>
            </w:r>
            <w:r w:rsidR="00D2699F">
              <w:t xml:space="preserve">  She </w:t>
            </w:r>
            <w:r w:rsidR="00907B73">
              <w:t>no</w:t>
            </w:r>
            <w:r w:rsidR="00D2699F">
              <w:t xml:space="preserve">ted that the January numbers are not received until the end of </w:t>
            </w:r>
            <w:r w:rsidR="00DA690C">
              <w:t>February</w:t>
            </w:r>
            <w:r w:rsidR="00D2699F">
              <w:t>.  Mr. No</w:t>
            </w:r>
            <w:r w:rsidR="00DA690C">
              <w:t>w</w:t>
            </w:r>
            <w:r w:rsidR="00D2699F">
              <w:t xml:space="preserve">ak asked </w:t>
            </w:r>
            <w:r w:rsidR="00656241">
              <w:t>whether</w:t>
            </w:r>
            <w:r w:rsidR="00D2699F">
              <w:t xml:space="preserve"> the processing of the financial</w:t>
            </w:r>
            <w:r w:rsidR="00907B73">
              <w:t xml:space="preserve"> reports could be expedited.  Ms</w:t>
            </w:r>
            <w:r w:rsidR="00D2699F">
              <w:t>. McQuade stated that she would check on that possibility.</w:t>
            </w:r>
          </w:p>
        </w:tc>
      </w:tr>
      <w:tr w:rsidR="00061E2A" w:rsidRPr="00717EE5" w14:paraId="11E93B65" w14:textId="77777777" w:rsidTr="00AF1BBF">
        <w:tc>
          <w:tcPr>
            <w:tcW w:w="1890" w:type="dxa"/>
            <w:tcBorders>
              <w:top w:val="single" w:sz="4" w:space="0" w:color="auto"/>
            </w:tcBorders>
          </w:tcPr>
          <w:p w14:paraId="424828CC" w14:textId="405C42A6" w:rsidR="00061E2A" w:rsidRPr="00717EE5" w:rsidRDefault="00061E2A" w:rsidP="001249D9">
            <w:pPr>
              <w:spacing w:after="120"/>
              <w:outlineLvl w:val="2"/>
              <w:rPr>
                <w:b/>
              </w:rPr>
            </w:pPr>
            <w:r w:rsidRPr="00717EE5">
              <w:rPr>
                <w:b/>
              </w:rPr>
              <w:t>Financials and Retained Earnings</w:t>
            </w:r>
          </w:p>
        </w:tc>
        <w:tc>
          <w:tcPr>
            <w:tcW w:w="7902" w:type="dxa"/>
            <w:tcBorders>
              <w:top w:val="single" w:sz="4" w:space="0" w:color="auto"/>
            </w:tcBorders>
          </w:tcPr>
          <w:p w14:paraId="6551E5C9" w14:textId="69CD41FF" w:rsidR="008649D2" w:rsidRPr="00717EE5" w:rsidRDefault="00AE32E4" w:rsidP="00656241">
            <w:pPr>
              <w:spacing w:after="120"/>
              <w:jc w:val="both"/>
            </w:pPr>
            <w:r w:rsidRPr="00717EE5">
              <w:t>Ms. McQuade reviewed the financials</w:t>
            </w:r>
            <w:r w:rsidR="00D2699F">
              <w:t xml:space="preserve"> for January</w:t>
            </w:r>
            <w:r w:rsidRPr="00717EE5">
              <w:t xml:space="preserve">.  </w:t>
            </w:r>
            <w:r w:rsidR="00BF2B9D">
              <w:t>T</w:t>
            </w:r>
            <w:r w:rsidR="008A2C67" w:rsidRPr="00717EE5">
              <w:t xml:space="preserve">he posted report </w:t>
            </w:r>
            <w:r w:rsidR="00BF2B9D">
              <w:t xml:space="preserve">for January </w:t>
            </w:r>
            <w:r w:rsidR="00D2699F">
              <w:t>very closely mirror</w:t>
            </w:r>
            <w:r w:rsidR="00BF2B9D">
              <w:t xml:space="preserve">s </w:t>
            </w:r>
            <w:r w:rsidR="00D2699F">
              <w:t>the estimated budget</w:t>
            </w:r>
            <w:r w:rsidR="00BF2B9D">
              <w:t xml:space="preserve">, as it is only one month into the budgeted period. </w:t>
            </w:r>
            <w:r w:rsidR="00656241">
              <w:t xml:space="preserve"> Revenue has increased </w:t>
            </w:r>
            <w:r w:rsidR="00907B73">
              <w:t>from the sales of WGQ Business Practice S</w:t>
            </w:r>
            <w:r w:rsidR="00656241">
              <w:t>tandards and</w:t>
            </w:r>
            <w:r w:rsidR="00BF2B9D">
              <w:t xml:space="preserve"> a WGQ class</w:t>
            </w:r>
            <w:r w:rsidR="00907B73">
              <w:t xml:space="preserve"> taught by Mr. Buccigross.  Ms. McQuade noted that, d</w:t>
            </w:r>
            <w:r w:rsidR="00BF2B9D">
              <w:t>ue to the organization decreasing face-to-face meetings, the tel</w:t>
            </w:r>
            <w:r w:rsidR="002F058D">
              <w:t>e</w:t>
            </w:r>
            <w:r w:rsidR="00BF2B9D">
              <w:t>com</w:t>
            </w:r>
            <w:r w:rsidR="002F058D">
              <w:t>munications</w:t>
            </w:r>
            <w:r w:rsidR="00BF2B9D">
              <w:t xml:space="preserve"> budget for the year may have been underestimated.</w:t>
            </w:r>
          </w:p>
        </w:tc>
      </w:tr>
      <w:tr w:rsidR="003E2017" w:rsidRPr="00717EE5" w14:paraId="24075CA7" w14:textId="77777777" w:rsidTr="00AF1BBF">
        <w:tc>
          <w:tcPr>
            <w:tcW w:w="1890" w:type="dxa"/>
            <w:tcBorders>
              <w:top w:val="single" w:sz="4" w:space="0" w:color="auto"/>
            </w:tcBorders>
          </w:tcPr>
          <w:p w14:paraId="4E1B9061" w14:textId="147FCF19" w:rsidR="003E2017" w:rsidRPr="00717EE5" w:rsidRDefault="003E2017" w:rsidP="001249D9">
            <w:pPr>
              <w:spacing w:after="120"/>
              <w:outlineLvl w:val="2"/>
              <w:rPr>
                <w:b/>
              </w:rPr>
            </w:pPr>
            <w:r w:rsidRPr="00717EE5">
              <w:rPr>
                <w:b/>
              </w:rPr>
              <w:t>Revenue Report</w:t>
            </w:r>
            <w:r w:rsidR="00CE6FD2" w:rsidRPr="00717EE5">
              <w:rPr>
                <w:b/>
              </w:rPr>
              <w:t xml:space="preserve">, </w:t>
            </w:r>
            <w:r w:rsidR="007B00B0" w:rsidRPr="00717EE5">
              <w:rPr>
                <w:b/>
              </w:rPr>
              <w:t>Membership Report</w:t>
            </w:r>
            <w:r w:rsidR="00CE6FD2" w:rsidRPr="00717EE5">
              <w:rPr>
                <w:b/>
              </w:rPr>
              <w:t xml:space="preserve">, Vacancies, and Copyright </w:t>
            </w:r>
            <w:r w:rsidR="00E12FA8" w:rsidRPr="00717EE5">
              <w:rPr>
                <w:b/>
              </w:rPr>
              <w:t>Reports</w:t>
            </w:r>
          </w:p>
        </w:tc>
        <w:tc>
          <w:tcPr>
            <w:tcW w:w="7902" w:type="dxa"/>
            <w:tcBorders>
              <w:top w:val="single" w:sz="4" w:space="0" w:color="auto"/>
            </w:tcBorders>
          </w:tcPr>
          <w:p w14:paraId="127EC2E4" w14:textId="0FBA68F9" w:rsidR="005F58D9" w:rsidRPr="00717EE5" w:rsidRDefault="00CC319D" w:rsidP="001249D9">
            <w:pPr>
              <w:spacing w:after="120"/>
              <w:jc w:val="both"/>
            </w:pPr>
            <w:r w:rsidRPr="00717EE5">
              <w:t>M</w:t>
            </w:r>
            <w:r w:rsidR="00BF2B9D">
              <w:t>r. Desselle ask</w:t>
            </w:r>
            <w:r w:rsidR="002F058D">
              <w:t>ed for any questions about the p</w:t>
            </w:r>
            <w:r w:rsidR="00BF2B9D">
              <w:t>osted meeting materials.  None were offered.  Ms. McQuade reminded the participants to let the NAESB staff know if a certain company should be contacted regarding a potential membership.</w:t>
            </w:r>
          </w:p>
        </w:tc>
      </w:tr>
      <w:tr w:rsidR="00CC319D" w:rsidRPr="00717EE5" w14:paraId="5BE0A594" w14:textId="77777777" w:rsidTr="00AF1BBF">
        <w:tc>
          <w:tcPr>
            <w:tcW w:w="1890" w:type="dxa"/>
            <w:tcBorders>
              <w:top w:val="single" w:sz="4" w:space="0" w:color="auto"/>
              <w:bottom w:val="single" w:sz="4" w:space="0" w:color="auto"/>
            </w:tcBorders>
          </w:tcPr>
          <w:p w14:paraId="01F0B2F6" w14:textId="1A10FC58" w:rsidR="00CC319D" w:rsidRPr="00717EE5" w:rsidRDefault="00667644" w:rsidP="001249D9">
            <w:pPr>
              <w:spacing w:after="120"/>
              <w:outlineLvl w:val="2"/>
              <w:rPr>
                <w:b/>
              </w:rPr>
            </w:pPr>
            <w:r>
              <w:rPr>
                <w:b/>
              </w:rPr>
              <w:t>Status of Distributed Ledger Technology Projects</w:t>
            </w:r>
          </w:p>
        </w:tc>
        <w:tc>
          <w:tcPr>
            <w:tcW w:w="7902" w:type="dxa"/>
            <w:tcBorders>
              <w:top w:val="single" w:sz="4" w:space="0" w:color="auto"/>
              <w:bottom w:val="single" w:sz="4" w:space="0" w:color="auto"/>
            </w:tcBorders>
          </w:tcPr>
          <w:p w14:paraId="0A0E2651" w14:textId="0C3C1954" w:rsidR="00CC319D" w:rsidRPr="00717EE5" w:rsidRDefault="00523CCF" w:rsidP="00175FEE">
            <w:pPr>
              <w:spacing w:after="120"/>
              <w:jc w:val="both"/>
            </w:pPr>
            <w:r w:rsidRPr="00717EE5">
              <w:t xml:space="preserve">Mr. Booe stated that the WGQ Business Practices Subcommittee, the WGQ Contracts, and the WGQ Electronic Delivery Mechanisms </w:t>
            </w:r>
            <w:r w:rsidR="00656241" w:rsidRPr="00717EE5">
              <w:t>Subcommittee</w:t>
            </w:r>
            <w:r w:rsidR="00656241">
              <w:t xml:space="preserve"> </w:t>
            </w:r>
            <w:r w:rsidR="00BF2B9D">
              <w:t>continue</w:t>
            </w:r>
            <w:r w:rsidRPr="00717EE5">
              <w:t xml:space="preserve"> to address R18007, the blockchain standards request.  </w:t>
            </w:r>
            <w:r w:rsidR="00BF2B9D">
              <w:t xml:space="preserve">The next conference calls are scheduled for April 3 and April 15.  After the March </w:t>
            </w:r>
            <w:bookmarkStart w:id="0" w:name="_GoBack"/>
            <w:r w:rsidR="00BF2B9D">
              <w:t>Executive Committee meetings, the WEQ may hold a meeting to begin discussion and education on its blockchain agenda item to address the power close accounting cycle.  Additionally, the RMQ and WEQ have a shared annual plan item to discuss and determine whether standards should be developed surrounding the Renewable Energy Certificates.</w:t>
            </w:r>
            <w:bookmarkEnd w:id="0"/>
          </w:p>
        </w:tc>
      </w:tr>
      <w:tr w:rsidR="00523CCF" w:rsidRPr="00717EE5" w14:paraId="0A7F3536" w14:textId="77777777" w:rsidTr="00AF1BBF">
        <w:tc>
          <w:tcPr>
            <w:tcW w:w="1890" w:type="dxa"/>
            <w:tcBorders>
              <w:top w:val="single" w:sz="4" w:space="0" w:color="auto"/>
              <w:bottom w:val="single" w:sz="4" w:space="0" w:color="auto"/>
            </w:tcBorders>
          </w:tcPr>
          <w:p w14:paraId="348776F1" w14:textId="18AD7BBC" w:rsidR="00523CCF" w:rsidRPr="00717EE5" w:rsidRDefault="00667644" w:rsidP="001249D9">
            <w:pPr>
              <w:spacing w:after="120"/>
              <w:outlineLvl w:val="2"/>
              <w:rPr>
                <w:b/>
              </w:rPr>
            </w:pPr>
            <w:r>
              <w:rPr>
                <w:b/>
              </w:rPr>
              <w:t xml:space="preserve">Board </w:t>
            </w:r>
            <w:r w:rsidR="00523CCF" w:rsidRPr="00717EE5">
              <w:rPr>
                <w:b/>
              </w:rPr>
              <w:t xml:space="preserve">Retail Structure Review Committee </w:t>
            </w:r>
            <w:r w:rsidR="00857160" w:rsidRPr="00717EE5">
              <w:rPr>
                <w:b/>
              </w:rPr>
              <w:t>Activities</w:t>
            </w:r>
          </w:p>
        </w:tc>
        <w:tc>
          <w:tcPr>
            <w:tcW w:w="7902" w:type="dxa"/>
            <w:tcBorders>
              <w:top w:val="single" w:sz="4" w:space="0" w:color="auto"/>
              <w:bottom w:val="single" w:sz="4" w:space="0" w:color="auto"/>
            </w:tcBorders>
          </w:tcPr>
          <w:p w14:paraId="4BEAD1CB" w14:textId="447F0D98" w:rsidR="00523CCF" w:rsidRPr="00717EE5" w:rsidRDefault="00175FEE" w:rsidP="00451FA7">
            <w:pPr>
              <w:spacing w:after="120"/>
              <w:jc w:val="both"/>
            </w:pPr>
            <w:r w:rsidRPr="00451FA7">
              <w:t>Mr. Desselle stated that the Board</w:t>
            </w:r>
            <w:r w:rsidR="00BF2B9D" w:rsidRPr="00451FA7">
              <w:t xml:space="preserve"> Retail Structure Review </w:t>
            </w:r>
            <w:r w:rsidRPr="00451FA7">
              <w:t>Committee</w:t>
            </w:r>
            <w:r w:rsidR="00451FA7">
              <w:t xml:space="preserve"> (Board RSRC)</w:t>
            </w:r>
            <w:r w:rsidRPr="00451FA7">
              <w:t xml:space="preserve"> </w:t>
            </w:r>
            <w:r w:rsidR="00BF2B9D" w:rsidRPr="00451FA7">
              <w:t xml:space="preserve">met </w:t>
            </w:r>
            <w:r w:rsidR="000F0372" w:rsidRPr="00451FA7">
              <w:t xml:space="preserve">in November to review a draft report that considers several options to boost participation and membership in the RMQ.  Mr. Booe stated that the report includes </w:t>
            </w:r>
            <w:r w:rsidR="00451FA7">
              <w:t xml:space="preserve">a request for a potential reduction in RMQ </w:t>
            </w:r>
            <w:r w:rsidR="00BF2B9D" w:rsidRPr="00451FA7">
              <w:t>dues</w:t>
            </w:r>
            <w:r w:rsidR="00451FA7">
              <w:t xml:space="preserve"> and that, in light of the recent membership dues increase for all members, the Board RSRC determined that the request should be forwarded to the Board Revenue Committee.  Mr. Desselle asked for any support in reducing the dues for the RMQ.  None was offered.  Ms. McQuade noted that the supply service members of ANSI recently received a new dues fee; however, their dues are tiered and much more expensive.</w:t>
            </w:r>
          </w:p>
        </w:tc>
      </w:tr>
      <w:tr w:rsidR="00CC319D" w:rsidRPr="00717EE5" w14:paraId="2E36C347" w14:textId="77777777" w:rsidTr="00AF1BBF">
        <w:tc>
          <w:tcPr>
            <w:tcW w:w="1890" w:type="dxa"/>
            <w:tcBorders>
              <w:top w:val="single" w:sz="4" w:space="0" w:color="auto"/>
              <w:bottom w:val="single" w:sz="4" w:space="0" w:color="auto"/>
            </w:tcBorders>
          </w:tcPr>
          <w:p w14:paraId="5736E59B" w14:textId="57417D26" w:rsidR="00CC319D" w:rsidRPr="00717EE5" w:rsidRDefault="00CC319D" w:rsidP="001249D9">
            <w:pPr>
              <w:spacing w:after="120"/>
              <w:outlineLvl w:val="2"/>
              <w:rPr>
                <w:b/>
              </w:rPr>
            </w:pPr>
            <w:r w:rsidRPr="00717EE5">
              <w:rPr>
                <w:b/>
              </w:rPr>
              <w:t xml:space="preserve">Preparation for </w:t>
            </w:r>
            <w:r w:rsidR="00667644">
              <w:rPr>
                <w:b/>
              </w:rPr>
              <w:t>April 11, 2019</w:t>
            </w:r>
            <w:r w:rsidR="00061E2A" w:rsidRPr="00717EE5">
              <w:rPr>
                <w:b/>
              </w:rPr>
              <w:t xml:space="preserve"> </w:t>
            </w:r>
            <w:r w:rsidRPr="00717EE5">
              <w:rPr>
                <w:b/>
              </w:rPr>
              <w:t>Board Meeting</w:t>
            </w:r>
          </w:p>
        </w:tc>
        <w:tc>
          <w:tcPr>
            <w:tcW w:w="7902" w:type="dxa"/>
            <w:tcBorders>
              <w:top w:val="single" w:sz="4" w:space="0" w:color="auto"/>
              <w:bottom w:val="single" w:sz="4" w:space="0" w:color="auto"/>
            </w:tcBorders>
          </w:tcPr>
          <w:p w14:paraId="70134479" w14:textId="32640645" w:rsidR="00CC319D" w:rsidRPr="00717EE5" w:rsidRDefault="00451FA7" w:rsidP="00451FA7">
            <w:pPr>
              <w:spacing w:after="120"/>
              <w:jc w:val="both"/>
            </w:pPr>
            <w:r>
              <w:t xml:space="preserve">The next Board of Directors meeting will be held on April 11, 2019 </w:t>
            </w:r>
            <w:r w:rsidRPr="00F117B8">
              <w:rPr>
                <w:bCs/>
              </w:rPr>
              <w:t xml:space="preserve">in Houston, Texas at the </w:t>
            </w:r>
            <w:r>
              <w:rPr>
                <w:bCs/>
              </w:rPr>
              <w:t>Marriott Marquis Hotel</w:t>
            </w:r>
            <w:r w:rsidRPr="00F117B8">
              <w:rPr>
                <w:bCs/>
              </w:rPr>
              <w:t>.</w:t>
            </w:r>
          </w:p>
        </w:tc>
      </w:tr>
      <w:tr w:rsidR="00CC319D" w:rsidRPr="00717EE5" w14:paraId="4C755E3B" w14:textId="77777777" w:rsidTr="00AF1BBF">
        <w:trPr>
          <w:cantSplit/>
        </w:trPr>
        <w:tc>
          <w:tcPr>
            <w:tcW w:w="1890" w:type="dxa"/>
            <w:tcBorders>
              <w:top w:val="single" w:sz="4" w:space="0" w:color="auto"/>
              <w:bottom w:val="single" w:sz="4" w:space="0" w:color="auto"/>
            </w:tcBorders>
          </w:tcPr>
          <w:p w14:paraId="05EE553C" w14:textId="77777777" w:rsidR="00CC319D" w:rsidRPr="00717EE5" w:rsidRDefault="00CC319D" w:rsidP="001249D9">
            <w:pPr>
              <w:spacing w:after="120"/>
              <w:outlineLvl w:val="2"/>
              <w:rPr>
                <w:b/>
              </w:rPr>
            </w:pPr>
            <w:r w:rsidRPr="00717EE5">
              <w:rPr>
                <w:b/>
              </w:rPr>
              <w:lastRenderedPageBreak/>
              <w:t>Other Business and Action Items</w:t>
            </w:r>
          </w:p>
        </w:tc>
        <w:tc>
          <w:tcPr>
            <w:tcW w:w="7902" w:type="dxa"/>
            <w:tcBorders>
              <w:top w:val="single" w:sz="4" w:space="0" w:color="auto"/>
              <w:bottom w:val="single" w:sz="4" w:space="0" w:color="auto"/>
            </w:tcBorders>
          </w:tcPr>
          <w:p w14:paraId="23489B7E" w14:textId="30837B12" w:rsidR="00CC319D" w:rsidRPr="00717EE5" w:rsidRDefault="00A02F6D" w:rsidP="001249D9">
            <w:pPr>
              <w:pStyle w:val="ListParagraph"/>
              <w:keepLines/>
              <w:spacing w:after="120"/>
              <w:ind w:left="0"/>
              <w:jc w:val="both"/>
              <w:rPr>
                <w:rFonts w:ascii="Times New Roman" w:hAnsi="Times New Roman" w:cs="Times New Roman"/>
                <w:sz w:val="20"/>
                <w:szCs w:val="20"/>
              </w:rPr>
            </w:pPr>
            <w:r>
              <w:rPr>
                <w:rFonts w:ascii="Times New Roman" w:hAnsi="Times New Roman" w:cs="Times New Roman"/>
                <w:sz w:val="20"/>
                <w:szCs w:val="20"/>
              </w:rPr>
              <w:t>The</w:t>
            </w:r>
            <w:r w:rsidR="00CC319D" w:rsidRPr="00717EE5">
              <w:rPr>
                <w:rFonts w:ascii="Times New Roman" w:hAnsi="Times New Roman" w:cs="Times New Roman"/>
                <w:sz w:val="20"/>
                <w:szCs w:val="20"/>
              </w:rPr>
              <w:t xml:space="preserve"> next Board Revenue Committee </w:t>
            </w:r>
            <w:r>
              <w:rPr>
                <w:rFonts w:ascii="Times New Roman" w:hAnsi="Times New Roman" w:cs="Times New Roman"/>
                <w:sz w:val="20"/>
                <w:szCs w:val="20"/>
              </w:rPr>
              <w:t>conference call has been scheduled for June 11, 2019 from 2:00 pm to 3:00 pm Central.</w:t>
            </w:r>
          </w:p>
          <w:p w14:paraId="3381E932" w14:textId="7D59C543" w:rsidR="00CC319D" w:rsidRPr="00717EE5" w:rsidRDefault="00CC319D" w:rsidP="002F058D">
            <w:pPr>
              <w:spacing w:after="120"/>
            </w:pPr>
            <w:r w:rsidRPr="00717EE5">
              <w:t>Action Items:</w:t>
            </w:r>
          </w:p>
          <w:p w14:paraId="5EF2902C" w14:textId="69189D02" w:rsidR="00391B68" w:rsidRDefault="00391B68" w:rsidP="001249D9">
            <w:pPr>
              <w:pStyle w:val="ListParagraph"/>
              <w:numPr>
                <w:ilvl w:val="0"/>
                <w:numId w:val="31"/>
              </w:numPr>
              <w:spacing w:after="120"/>
              <w:jc w:val="both"/>
              <w:rPr>
                <w:rFonts w:ascii="Times New Roman" w:hAnsi="Times New Roman" w:cs="Times New Roman"/>
                <w:sz w:val="20"/>
                <w:szCs w:val="20"/>
              </w:rPr>
            </w:pPr>
            <w:r w:rsidRPr="00717EE5">
              <w:rPr>
                <w:rFonts w:ascii="Times New Roman" w:hAnsi="Times New Roman" w:cs="Times New Roman"/>
                <w:sz w:val="20"/>
                <w:szCs w:val="20"/>
              </w:rPr>
              <w:t xml:space="preserve">Ms. McQuade will </w:t>
            </w:r>
            <w:r w:rsidR="00A02F6D">
              <w:rPr>
                <w:rFonts w:ascii="Times New Roman" w:hAnsi="Times New Roman" w:cs="Times New Roman"/>
                <w:sz w:val="20"/>
                <w:szCs w:val="20"/>
              </w:rPr>
              <w:t>work to expedite the February financial report.</w:t>
            </w:r>
          </w:p>
          <w:p w14:paraId="263B4FE9" w14:textId="3EBB0AA0" w:rsidR="00857160" w:rsidRPr="00A02F6D" w:rsidRDefault="00A02F6D" w:rsidP="00A02F6D">
            <w:pPr>
              <w:pStyle w:val="ListParagraph"/>
              <w:numPr>
                <w:ilvl w:val="0"/>
                <w:numId w:val="31"/>
              </w:numPr>
              <w:spacing w:after="120"/>
              <w:jc w:val="both"/>
              <w:rPr>
                <w:rFonts w:ascii="Times New Roman" w:hAnsi="Times New Roman" w:cs="Times New Roman"/>
                <w:sz w:val="20"/>
                <w:szCs w:val="20"/>
              </w:rPr>
            </w:pPr>
            <w:r>
              <w:rPr>
                <w:rFonts w:ascii="Times New Roman" w:hAnsi="Times New Roman" w:cs="Times New Roman"/>
                <w:sz w:val="20"/>
                <w:szCs w:val="20"/>
              </w:rPr>
              <w:t>The Board Revenue Committee will adopt the November 15, 2019 draft meeting notes during its next meeting where a quorum is established.</w:t>
            </w:r>
          </w:p>
        </w:tc>
      </w:tr>
      <w:tr w:rsidR="00CC319D" w:rsidRPr="00717EE5" w14:paraId="0D8FDCB1" w14:textId="77777777" w:rsidTr="00FF5383">
        <w:trPr>
          <w:trHeight w:val="458"/>
        </w:trPr>
        <w:tc>
          <w:tcPr>
            <w:tcW w:w="1890" w:type="dxa"/>
            <w:tcBorders>
              <w:top w:val="single" w:sz="4" w:space="0" w:color="auto"/>
              <w:bottom w:val="single" w:sz="4" w:space="0" w:color="auto"/>
            </w:tcBorders>
          </w:tcPr>
          <w:p w14:paraId="4DACED4D" w14:textId="7FE75CE1" w:rsidR="00CC319D" w:rsidRPr="00717EE5" w:rsidRDefault="00CC319D" w:rsidP="001249D9">
            <w:pPr>
              <w:spacing w:after="120"/>
              <w:outlineLvl w:val="2"/>
              <w:rPr>
                <w:b/>
              </w:rPr>
            </w:pPr>
            <w:r w:rsidRPr="00717EE5">
              <w:rPr>
                <w:b/>
              </w:rPr>
              <w:t>Adjourn</w:t>
            </w:r>
          </w:p>
        </w:tc>
        <w:tc>
          <w:tcPr>
            <w:tcW w:w="7902" w:type="dxa"/>
            <w:tcBorders>
              <w:top w:val="single" w:sz="4" w:space="0" w:color="auto"/>
              <w:bottom w:val="single" w:sz="4" w:space="0" w:color="auto"/>
            </w:tcBorders>
          </w:tcPr>
          <w:p w14:paraId="7E188414" w14:textId="35AD79C6" w:rsidR="00CC319D" w:rsidRPr="00717EE5" w:rsidRDefault="00CC319D" w:rsidP="001249D9">
            <w:pPr>
              <w:keepLines/>
              <w:tabs>
                <w:tab w:val="left" w:pos="360"/>
              </w:tabs>
              <w:spacing w:after="120"/>
              <w:jc w:val="both"/>
            </w:pPr>
            <w:r w:rsidRPr="00717EE5">
              <w:t xml:space="preserve">The meeting adjourned </w:t>
            </w:r>
            <w:r w:rsidR="001249D9">
              <w:t>by consensus</w:t>
            </w:r>
            <w:r w:rsidR="00857160" w:rsidRPr="00717EE5">
              <w:t xml:space="preserve"> </w:t>
            </w:r>
            <w:r w:rsidR="00245F9D" w:rsidRPr="00717EE5">
              <w:t xml:space="preserve">at </w:t>
            </w:r>
            <w:r w:rsidR="001249D9">
              <w:t>1:5</w:t>
            </w:r>
            <w:r w:rsidR="00857160" w:rsidRPr="00717EE5">
              <w:t>8 P</w:t>
            </w:r>
            <w:r w:rsidR="00245F9D" w:rsidRPr="00717EE5">
              <w:t>M Central.</w:t>
            </w:r>
          </w:p>
        </w:tc>
      </w:tr>
      <w:tr w:rsidR="00061E2A" w:rsidRPr="00717EE5" w14:paraId="4D18F043" w14:textId="77777777" w:rsidTr="00AF1BBF">
        <w:trPr>
          <w:trHeight w:val="288"/>
        </w:trPr>
        <w:tc>
          <w:tcPr>
            <w:tcW w:w="1890" w:type="dxa"/>
            <w:tcBorders>
              <w:top w:val="single" w:sz="4" w:space="0" w:color="auto"/>
            </w:tcBorders>
          </w:tcPr>
          <w:p w14:paraId="4D876F33" w14:textId="48FED0A6" w:rsidR="00061E2A" w:rsidRPr="00717EE5" w:rsidRDefault="00C03F21" w:rsidP="001249D9">
            <w:pPr>
              <w:spacing w:after="120"/>
              <w:outlineLvl w:val="2"/>
              <w:rPr>
                <w:b/>
              </w:rPr>
            </w:pPr>
            <w:r>
              <w:rPr>
                <w:b/>
              </w:rPr>
              <w:t>W</w:t>
            </w:r>
            <w:r w:rsidR="00061E2A" w:rsidRPr="00717EE5">
              <w:rPr>
                <w:b/>
              </w:rPr>
              <w:t>ork Papers Provided for the Meeting</w:t>
            </w:r>
          </w:p>
        </w:tc>
        <w:tc>
          <w:tcPr>
            <w:tcW w:w="7902" w:type="dxa"/>
            <w:tcBorders>
              <w:top w:val="single" w:sz="4" w:space="0" w:color="auto"/>
            </w:tcBorders>
          </w:tcPr>
          <w:p w14:paraId="5D818076" w14:textId="55AFBEED" w:rsidR="00D07A43" w:rsidRPr="00D07A43" w:rsidRDefault="00D07A43" w:rsidP="001249D9">
            <w:pPr>
              <w:numPr>
                <w:ilvl w:val="0"/>
                <w:numId w:val="23"/>
              </w:numPr>
              <w:spacing w:after="120"/>
              <w:ind w:left="340" w:hanging="340"/>
              <w:outlineLvl w:val="0"/>
            </w:pPr>
            <w:r w:rsidRPr="00D07A43">
              <w:rPr>
                <w:b/>
              </w:rPr>
              <w:t xml:space="preserve">Agenda Item 1:  </w:t>
            </w:r>
            <w:r w:rsidRPr="00D07A43">
              <w:t xml:space="preserve">Antitrust Guidance:  </w:t>
            </w:r>
            <w:hyperlink r:id="rId8" w:history="1">
              <w:r w:rsidRPr="00D07A43">
                <w:rPr>
                  <w:color w:val="0000FF"/>
                  <w:u w:val="single"/>
                </w:rPr>
                <w:t>http://www.naesb.org/misc/antitrust_guidance.doc</w:t>
              </w:r>
            </w:hyperlink>
            <w:r w:rsidRPr="00D07A43">
              <w:t xml:space="preserve"> (antitrust), </w:t>
            </w:r>
            <w:hyperlink r:id="rId9" w:history="1">
              <w:r w:rsidRPr="00D07A43">
                <w:rPr>
                  <w:color w:val="0000FF"/>
                  <w:u w:val="single"/>
                </w:rPr>
                <w:t>http://www.naesb.org/pdf4/board_revenue_committee_members.pdf</w:t>
              </w:r>
            </w:hyperlink>
            <w:r w:rsidRPr="00D07A43">
              <w:t xml:space="preserve"> (roster), </w:t>
            </w:r>
            <w:hyperlink r:id="rId10" w:history="1">
              <w:r w:rsidRPr="00D07A43">
                <w:rPr>
                  <w:color w:val="0000FF"/>
                  <w:u w:val="single"/>
                </w:rPr>
                <w:t>https://www.naesb.org/pdf4/bd_revenue031219a.docx</w:t>
              </w:r>
            </w:hyperlink>
            <w:r w:rsidRPr="00D07A43">
              <w:t xml:space="preserve"> (ag</w:t>
            </w:r>
            <w:r>
              <w:t>enda),</w:t>
            </w:r>
            <w:r w:rsidRPr="00D07A43">
              <w:t xml:space="preserve"> </w:t>
            </w:r>
            <w:hyperlink r:id="rId11" w:history="1">
              <w:r w:rsidRPr="00D07A43">
                <w:rPr>
                  <w:color w:val="0000FF"/>
                  <w:u w:val="single"/>
                </w:rPr>
                <w:t>https://www.naesb.org/pdf4/bd_revenue111518notes.docx</w:t>
              </w:r>
            </w:hyperlink>
            <w:r w:rsidRPr="00D07A43">
              <w:t xml:space="preserve"> (notes)</w:t>
            </w:r>
          </w:p>
          <w:p w14:paraId="03C237C0" w14:textId="514465F4" w:rsidR="00D07A43" w:rsidRPr="00D07A43" w:rsidRDefault="00D07A43" w:rsidP="001249D9">
            <w:pPr>
              <w:numPr>
                <w:ilvl w:val="0"/>
                <w:numId w:val="23"/>
              </w:numPr>
              <w:spacing w:after="120"/>
              <w:ind w:left="340" w:hanging="340"/>
              <w:outlineLvl w:val="0"/>
            </w:pPr>
            <w:r w:rsidRPr="00D07A43">
              <w:rPr>
                <w:b/>
              </w:rPr>
              <w:t>Agenda Item 2:</w:t>
            </w:r>
            <w:r w:rsidRPr="00D07A43">
              <w:t xml:space="preserve"> NAESB Communication Strategy</w:t>
            </w:r>
            <w:r>
              <w:t xml:space="preserve">: </w:t>
            </w:r>
            <w:hyperlink r:id="rId12" w:history="1">
              <w:r w:rsidRPr="00D07A43">
                <w:rPr>
                  <w:color w:val="0000FF"/>
                  <w:u w:val="single"/>
                </w:rPr>
                <w:t>https://www.naesb.org/pdf4/naesb_communications_strategy.pdf</w:t>
              </w:r>
            </w:hyperlink>
          </w:p>
          <w:p w14:paraId="7DDBE1C5" w14:textId="7D2EB53C" w:rsidR="00D07A43" w:rsidRPr="00D07A43" w:rsidRDefault="00D07A43" w:rsidP="001249D9">
            <w:pPr>
              <w:numPr>
                <w:ilvl w:val="0"/>
                <w:numId w:val="23"/>
              </w:numPr>
              <w:spacing w:after="120"/>
              <w:ind w:left="340" w:hanging="340"/>
              <w:outlineLvl w:val="0"/>
            </w:pPr>
            <w:bookmarkStart w:id="1" w:name="_Hlk2599314"/>
            <w:r w:rsidRPr="00D07A43">
              <w:rPr>
                <w:b/>
              </w:rPr>
              <w:t>Agenda Item 3:</w:t>
            </w:r>
            <w:r w:rsidRPr="00D07A43">
              <w:t xml:space="preserve">  Publication Schedules:</w:t>
            </w:r>
            <w:r>
              <w:t xml:space="preserve"> </w:t>
            </w:r>
            <w:hyperlink r:id="rId13" w:history="1">
              <w:r w:rsidRPr="00D07A43">
                <w:rPr>
                  <w:color w:val="0000FF"/>
                  <w:u w:val="single"/>
                </w:rPr>
                <w:t>https://www.naesb.org/misc/bd_revenue_publication_history_111518.docx</w:t>
              </w:r>
            </w:hyperlink>
            <w:r w:rsidRPr="00D07A43">
              <w:rPr>
                <w:color w:val="0000FF"/>
              </w:rPr>
              <w:t xml:space="preserve">, </w:t>
            </w:r>
            <w:r w:rsidRPr="00D07A43">
              <w:t xml:space="preserve">(Publication Work Paper); </w:t>
            </w:r>
            <w:hyperlink r:id="rId14" w:history="1">
              <w:r w:rsidRPr="00D07A43">
                <w:rPr>
                  <w:color w:val="0000FF"/>
                  <w:u w:val="single"/>
                </w:rPr>
                <w:t>http://www.naesb.org/misc/wgq_publication_schedule_ver3_2.doc</w:t>
              </w:r>
            </w:hyperlink>
            <w:r w:rsidR="00DF3AB5">
              <w:t xml:space="preserve"> </w:t>
            </w:r>
            <w:r w:rsidRPr="00D07A43">
              <w:t xml:space="preserve">(WGQ Version 3.2); </w:t>
            </w:r>
            <w:hyperlink r:id="rId15" w:history="1">
              <w:r w:rsidRPr="00D07A43">
                <w:rPr>
                  <w:color w:val="0000FF"/>
                  <w:u w:val="single"/>
                </w:rPr>
                <w:t>http://www.naesb.org/misc/weq_publication_schedule_ver3_3.doc</w:t>
              </w:r>
            </w:hyperlink>
            <w:r w:rsidRPr="00D07A43">
              <w:t xml:space="preserve"> (WEQ Version 003.3); </w:t>
            </w:r>
            <w:hyperlink r:id="rId16" w:history="1">
              <w:r w:rsidRPr="00D07A43">
                <w:rPr>
                  <w:color w:val="0000FF"/>
                  <w:u w:val="single"/>
                </w:rPr>
                <w:t>http://www.naesb.org/misc/retail_publication_schedule_ver3_3.doc</w:t>
              </w:r>
            </w:hyperlink>
            <w:r w:rsidRPr="00D07A43">
              <w:t xml:space="preserve"> (RMQ Version 3.3)</w:t>
            </w:r>
            <w:bookmarkEnd w:id="1"/>
          </w:p>
          <w:p w14:paraId="4BE2565B" w14:textId="5A03EA49" w:rsidR="00D07A43" w:rsidRPr="00D07A43" w:rsidRDefault="00D07A43" w:rsidP="001249D9">
            <w:pPr>
              <w:keepNext/>
              <w:keepLines/>
              <w:pageBreakBefore/>
              <w:numPr>
                <w:ilvl w:val="0"/>
                <w:numId w:val="23"/>
              </w:numPr>
              <w:spacing w:after="120"/>
              <w:ind w:left="342" w:hanging="342"/>
              <w:outlineLvl w:val="0"/>
            </w:pPr>
            <w:r w:rsidRPr="00D07A43">
              <w:rPr>
                <w:b/>
              </w:rPr>
              <w:t>Agenda Item 4:</w:t>
            </w:r>
            <w:r w:rsidRPr="00D07A43">
              <w:t xml:space="preserve"> Revenue Report 2018: </w:t>
            </w:r>
            <w:hyperlink r:id="rId17" w:history="1">
              <w:r w:rsidRPr="00D07A43">
                <w:rPr>
                  <w:color w:val="0000FF"/>
                  <w:u w:val="single"/>
                </w:rPr>
                <w:t>https://www.naesb.org/misc/revenue031219w1.docx</w:t>
              </w:r>
            </w:hyperlink>
            <w:r w:rsidRPr="00D07A43">
              <w:rPr>
                <w:color w:val="0000FF"/>
                <w:u w:val="single"/>
              </w:rPr>
              <w:t xml:space="preserve"> </w:t>
            </w:r>
            <w:r w:rsidRPr="00D07A43">
              <w:t xml:space="preserve">(Revenue Report); </w:t>
            </w:r>
            <w:hyperlink r:id="rId18" w:history="1">
              <w:r w:rsidRPr="00D07A43">
                <w:rPr>
                  <w:color w:val="0000FF"/>
                  <w:u w:val="single"/>
                </w:rPr>
                <w:t>https://www.naesb.org/misc/revenue031219w2.docx</w:t>
              </w:r>
            </w:hyperlink>
            <w:r w:rsidRPr="00D07A43">
              <w:rPr>
                <w:color w:val="0000FF"/>
                <w:u w:val="single"/>
              </w:rPr>
              <w:t xml:space="preserve"> </w:t>
            </w:r>
            <w:r w:rsidRPr="00D07A43">
              <w:t>(2018 Year-end Revenue Report Statistics)</w:t>
            </w:r>
          </w:p>
          <w:p w14:paraId="39616720" w14:textId="1E756B70" w:rsidR="00D07A43" w:rsidRPr="00D07A43" w:rsidRDefault="00D07A43" w:rsidP="001249D9">
            <w:pPr>
              <w:keepLines/>
              <w:numPr>
                <w:ilvl w:val="0"/>
                <w:numId w:val="23"/>
              </w:numPr>
              <w:spacing w:after="120"/>
              <w:ind w:left="342" w:hanging="342"/>
              <w:outlineLvl w:val="0"/>
            </w:pPr>
            <w:r w:rsidRPr="00D07A43">
              <w:rPr>
                <w:b/>
              </w:rPr>
              <w:t xml:space="preserve">Agenda Item 5: </w:t>
            </w:r>
            <w:r w:rsidRPr="00D07A43">
              <w:t xml:space="preserve">Current Revenue Report: </w:t>
            </w:r>
            <w:hyperlink r:id="rId19" w:history="1">
              <w:r w:rsidRPr="00D07A43">
                <w:rPr>
                  <w:color w:val="0000FF"/>
                  <w:u w:val="single"/>
                </w:rPr>
                <w:t>https://www.naesb.org/misc/revenue031219w1.docx</w:t>
              </w:r>
            </w:hyperlink>
            <w:r w:rsidRPr="00D07A43">
              <w:t xml:space="preserve"> (Revenue Report); </w:t>
            </w:r>
            <w:hyperlink r:id="rId20" w:history="1">
              <w:r w:rsidRPr="00D07A43">
                <w:rPr>
                  <w:color w:val="0000FF"/>
                  <w:u w:val="single"/>
                </w:rPr>
                <w:t>https://www.naesb.org/misc/revenue031219w3.docx</w:t>
              </w:r>
            </w:hyperlink>
            <w:r w:rsidRPr="00D07A43">
              <w:rPr>
                <w:color w:val="0000FF"/>
                <w:u w:val="single"/>
              </w:rPr>
              <w:t xml:space="preserve"> </w:t>
            </w:r>
            <w:r w:rsidRPr="00D07A43">
              <w:t>(January 2019 Revenue Report Statistics)</w:t>
            </w:r>
          </w:p>
          <w:p w14:paraId="68BE0B84" w14:textId="63639953" w:rsidR="00D07A43" w:rsidRPr="00D07A43" w:rsidRDefault="00D07A43" w:rsidP="001249D9">
            <w:pPr>
              <w:numPr>
                <w:ilvl w:val="0"/>
                <w:numId w:val="23"/>
              </w:numPr>
              <w:spacing w:after="120"/>
              <w:ind w:left="346" w:hanging="346"/>
            </w:pPr>
            <w:r w:rsidRPr="00D07A43">
              <w:rPr>
                <w:b/>
              </w:rPr>
              <w:t xml:space="preserve">Agenda Item 6: </w:t>
            </w:r>
            <w:r w:rsidRPr="00D07A43">
              <w:t xml:space="preserve">Membership Reports and Prospect List: Membership Reports and Prospect List: </w:t>
            </w:r>
            <w:hyperlink r:id="rId21" w:history="1">
              <w:r w:rsidRPr="00D07A43">
                <w:rPr>
                  <w:color w:val="0000FF"/>
                  <w:u w:val="single"/>
                </w:rPr>
                <w:t>https://www.naesb.org/misc/membership_report_123118.docx</w:t>
              </w:r>
            </w:hyperlink>
            <w:r w:rsidRPr="00D07A43">
              <w:t xml:space="preserve"> (Membership Report 12/31/18), </w:t>
            </w:r>
            <w:hyperlink r:id="rId22" w:history="1">
              <w:r w:rsidRPr="00D07A43">
                <w:rPr>
                  <w:color w:val="0000FF"/>
                  <w:u w:val="single"/>
                </w:rPr>
                <w:t>https://www.naesb.org/pdf4/bod_terms.pdf</w:t>
              </w:r>
            </w:hyperlink>
            <w:r>
              <w:t xml:space="preserve"> </w:t>
            </w:r>
            <w:r w:rsidRPr="00D07A43">
              <w:t xml:space="preserve">(Board Roster), </w:t>
            </w:r>
            <w:hyperlink r:id="rId23" w:history="1">
              <w:r w:rsidRPr="00D07A43">
                <w:rPr>
                  <w:color w:val="0000FF"/>
                  <w:u w:val="single"/>
                </w:rPr>
                <w:t>https://www.naesb.org/pdf4/ec_terms.pdf</w:t>
              </w:r>
            </w:hyperlink>
            <w:r>
              <w:t xml:space="preserve"> </w:t>
            </w:r>
            <w:r w:rsidRPr="00D07A43">
              <w:t xml:space="preserve">(EC Roster), </w:t>
            </w:r>
            <w:hyperlink r:id="rId24" w:history="1">
              <w:r w:rsidRPr="00D07A43">
                <w:rPr>
                  <w:color w:val="0000FF"/>
                  <w:u w:val="single"/>
                </w:rPr>
                <w:t>https://www.naesb.org/misc/member_prospect_list_123118.docx</w:t>
              </w:r>
            </w:hyperlink>
            <w:r w:rsidRPr="00D07A43">
              <w:t xml:space="preserve"> (Prospect List including Board &amp; EC Vacancies 12/31/18)</w:t>
            </w:r>
          </w:p>
          <w:p w14:paraId="5DCCBF70" w14:textId="6218E0F6" w:rsidR="00D07A43" w:rsidRPr="00D07A43" w:rsidRDefault="00D07A43" w:rsidP="001249D9">
            <w:pPr>
              <w:spacing w:after="120"/>
              <w:ind w:left="610" w:hanging="270"/>
            </w:pPr>
            <w:r w:rsidRPr="00D07A43">
              <w:rPr>
                <w:rFonts w:ascii="Wingdings" w:hAnsi="Wingdings"/>
              </w:rPr>
              <w:t></w:t>
            </w:r>
            <w:r w:rsidRPr="00D07A43">
              <w:rPr>
                <w:sz w:val="14"/>
                <w:szCs w:val="14"/>
              </w:rPr>
              <w:t xml:space="preserve"> </w:t>
            </w:r>
            <w:r w:rsidRPr="00D07A43">
              <w:t xml:space="preserve">List of FERC Public Utilities under the Federal Power Act (full list updated 1/8/2019) entities without recorded access to the most recently mandated NAESB WEQ Standards, revised 11/7/2018 - </w:t>
            </w:r>
            <w:hyperlink r:id="rId25" w:history="1">
              <w:r w:rsidRPr="00D07A43">
                <w:rPr>
                  <w:color w:val="0000FF"/>
                  <w:u w:val="single"/>
                </w:rPr>
                <w:t>https://www.naesb.org/pdf4/weq_jurisdictional_entities_without_recorded_access.pdf</w:t>
              </w:r>
            </w:hyperlink>
          </w:p>
          <w:p w14:paraId="2B28D88B" w14:textId="03EBBC9B" w:rsidR="00D07A43" w:rsidRPr="00D07A43" w:rsidRDefault="00D07A43" w:rsidP="001249D9">
            <w:pPr>
              <w:spacing w:after="120"/>
              <w:ind w:left="610" w:hanging="270"/>
            </w:pPr>
            <w:r w:rsidRPr="00D07A43">
              <w:rPr>
                <w:rFonts w:ascii="Wingdings" w:hAnsi="Wingdings"/>
              </w:rPr>
              <w:t></w:t>
            </w:r>
            <w:r>
              <w:rPr>
                <w:sz w:val="14"/>
                <w:szCs w:val="14"/>
              </w:rPr>
              <w:t xml:space="preserve"> </w:t>
            </w:r>
            <w:r w:rsidRPr="00D07A43">
              <w:t xml:space="preserve">List of FERC Interstate Pipelines under the Natural Gas Act (updated 1/8/2019) entities without recorded access to the most recently mandated NAESB WGQ Standards, revised 1/31/2019 - </w:t>
            </w:r>
            <w:hyperlink r:id="rId26" w:history="1">
              <w:r w:rsidRPr="00D07A43">
                <w:rPr>
                  <w:color w:val="0000FF"/>
                  <w:u w:val="single"/>
                </w:rPr>
                <w:t>https://www.naesb.org/pdf4/wgq_jurisdictional_entities_without_recorded_access.pdf</w:t>
              </w:r>
            </w:hyperlink>
          </w:p>
          <w:p w14:paraId="26ED5759" w14:textId="0820819C" w:rsidR="00D07A43" w:rsidRPr="00D07A43" w:rsidRDefault="00D07A43" w:rsidP="001249D9">
            <w:pPr>
              <w:numPr>
                <w:ilvl w:val="0"/>
                <w:numId w:val="33"/>
              </w:numPr>
              <w:spacing w:after="120"/>
            </w:pPr>
            <w:r w:rsidRPr="00D07A43">
              <w:rPr>
                <w:b/>
              </w:rPr>
              <w:lastRenderedPageBreak/>
              <w:t xml:space="preserve">Agenda Item 7: </w:t>
            </w:r>
            <w:r w:rsidRPr="00D07A43">
              <w:t xml:space="preserve">Distributed Ledger Technology Status: </w:t>
            </w:r>
            <w:hyperlink r:id="rId27" w:history="1"/>
            <w:r w:rsidRPr="00D07A43">
              <w:t xml:space="preserve"> </w:t>
            </w:r>
            <w:hyperlink r:id="rId28" w:history="1">
              <w:r w:rsidRPr="00D07A43">
                <w:rPr>
                  <w:color w:val="0000FF"/>
                  <w:u w:val="single"/>
                </w:rPr>
                <w:t>https://naesb.org//pdf4/update022719w4.docx</w:t>
              </w:r>
            </w:hyperlink>
          </w:p>
          <w:p w14:paraId="4745F46D" w14:textId="77777777" w:rsidR="00D07A43" w:rsidRPr="00D07A43" w:rsidRDefault="00D07A43" w:rsidP="001249D9">
            <w:pPr>
              <w:numPr>
                <w:ilvl w:val="0"/>
                <w:numId w:val="23"/>
              </w:numPr>
              <w:spacing w:after="120"/>
              <w:ind w:left="340" w:hanging="340"/>
              <w:outlineLvl w:val="0"/>
              <w:rPr>
                <w:i/>
              </w:rPr>
            </w:pPr>
            <w:r w:rsidRPr="00D07A43">
              <w:rPr>
                <w:b/>
              </w:rPr>
              <w:t>Agenda Item 8:</w:t>
            </w:r>
            <w:r w:rsidRPr="00D07A43">
              <w:t xml:space="preserve"> Retail Structure Review Committee Status: </w:t>
            </w:r>
            <w:hyperlink r:id="rId29" w:history="1">
              <w:r w:rsidRPr="00D07A43">
                <w:rPr>
                  <w:color w:val="0000FF"/>
                  <w:u w:val="single"/>
                </w:rPr>
                <w:t>https://www.naesb.org/misc/retail_structure_review_committee_update_030419.docx</w:t>
              </w:r>
            </w:hyperlink>
          </w:p>
          <w:p w14:paraId="4BAD295F" w14:textId="12833DC0" w:rsidR="00061E2A" w:rsidRPr="00717EE5" w:rsidRDefault="00941D19" w:rsidP="001249D9">
            <w:pPr>
              <w:numPr>
                <w:ilvl w:val="0"/>
                <w:numId w:val="23"/>
              </w:numPr>
              <w:spacing w:after="120"/>
              <w:ind w:left="340" w:hanging="340"/>
              <w:outlineLvl w:val="0"/>
              <w:rPr>
                <w:i/>
              </w:rPr>
            </w:pPr>
            <w:r>
              <w:rPr>
                <w:b/>
              </w:rPr>
              <w:t>Agenda Item 9</w:t>
            </w:r>
            <w:r w:rsidR="00A02BC9" w:rsidRPr="00717EE5">
              <w:rPr>
                <w:b/>
              </w:rPr>
              <w:t>:</w:t>
            </w:r>
            <w:r w:rsidR="00A02BC9" w:rsidRPr="00717EE5">
              <w:t xml:space="preserve"> Retail Structure Review Committee: </w:t>
            </w:r>
            <w:r w:rsidR="00A02BC9" w:rsidRPr="00717EE5">
              <w:rPr>
                <w:color w:val="0000FF"/>
                <w:u w:val="single"/>
              </w:rPr>
              <w:t>https://naesb.org//retail_structure_review.asp</w:t>
            </w:r>
            <w:r w:rsidR="00A02BC9" w:rsidRPr="00717EE5">
              <w:t xml:space="preserve"> (November 27, 2018 Meeting)</w:t>
            </w:r>
          </w:p>
        </w:tc>
      </w:tr>
    </w:tbl>
    <w:p w14:paraId="597420B8" w14:textId="34985D8F" w:rsidR="00900438" w:rsidRPr="00717EE5" w:rsidRDefault="00900438" w:rsidP="001249D9">
      <w:pPr>
        <w:spacing w:after="120"/>
      </w:pPr>
    </w:p>
    <w:p w14:paraId="6D0FA796" w14:textId="77777777" w:rsidR="00941A7A" w:rsidRPr="00717EE5" w:rsidRDefault="00941A7A" w:rsidP="001249D9">
      <w:pPr>
        <w:spacing w:after="120"/>
      </w:pPr>
      <w:r w:rsidRPr="00717EE5">
        <w:br w:type="page"/>
      </w:r>
    </w:p>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6FC4A0E3" w:rsidR="008C43B4" w:rsidRPr="00717EE5" w:rsidRDefault="00D07A43" w:rsidP="001249D9">
            <w:pPr>
              <w:spacing w:after="120"/>
              <w:jc w:val="center"/>
              <w:rPr>
                <w:b/>
              </w:rPr>
            </w:pPr>
            <w:r>
              <w:rPr>
                <w:b/>
              </w:rPr>
              <w:lastRenderedPageBreak/>
              <w:t xml:space="preserve">March 12, 2019 </w:t>
            </w:r>
            <w:r w:rsidR="008C43B4" w:rsidRPr="00717EE5">
              <w:rPr>
                <w:b/>
              </w:rPr>
              <w:t>NAESB Board Revenue Committee Conference Call</w:t>
            </w:r>
          </w:p>
          <w:p w14:paraId="521E3690" w14:textId="77777777" w:rsidR="008C43B4" w:rsidRPr="00717EE5" w:rsidRDefault="008C43B4" w:rsidP="001249D9">
            <w:pPr>
              <w:spacing w:after="12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rsidP="001249D9">
            <w:pPr>
              <w:spacing w:after="120"/>
              <w:jc w:val="both"/>
              <w:rPr>
                <w:b/>
              </w:rPr>
            </w:pPr>
            <w:bookmarkStart w:id="2"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rsidP="001249D9">
            <w:pPr>
              <w:keepNext/>
              <w:spacing w:after="12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rsidP="001249D9">
            <w:pPr>
              <w:keepNext/>
              <w:spacing w:after="120"/>
              <w:jc w:val="both"/>
              <w:rPr>
                <w:b/>
              </w:rPr>
            </w:pPr>
            <w:r w:rsidRPr="00717EE5">
              <w:rPr>
                <w:b/>
              </w:rPr>
              <w:t>Attendance</w:t>
            </w:r>
          </w:p>
        </w:tc>
      </w:tr>
      <w:tr w:rsidR="00551935" w:rsidRPr="00717EE5" w14:paraId="4667358F" w14:textId="77777777" w:rsidTr="00AF1BBF">
        <w:tc>
          <w:tcPr>
            <w:tcW w:w="4032" w:type="dxa"/>
          </w:tcPr>
          <w:p w14:paraId="1F85AC0C" w14:textId="637510EA"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Jim Buccigross</w:t>
            </w:r>
          </w:p>
        </w:tc>
        <w:tc>
          <w:tcPr>
            <w:tcW w:w="3240" w:type="dxa"/>
          </w:tcPr>
          <w:p w14:paraId="662609C5" w14:textId="77777777" w:rsidR="00551935" w:rsidRPr="00717EE5" w:rsidRDefault="00551935" w:rsidP="001249D9">
            <w:pPr>
              <w:spacing w:after="120"/>
            </w:pPr>
            <w:r w:rsidRPr="00717EE5">
              <w:t>8760, Inc.</w:t>
            </w:r>
          </w:p>
        </w:tc>
        <w:tc>
          <w:tcPr>
            <w:tcW w:w="2520" w:type="dxa"/>
          </w:tcPr>
          <w:p w14:paraId="5C51BA5C" w14:textId="34678BD4" w:rsidR="00551935" w:rsidRPr="00717EE5" w:rsidRDefault="001F589C" w:rsidP="001249D9">
            <w:pPr>
              <w:spacing w:after="120"/>
            </w:pPr>
            <w:r>
              <w:t>Present</w:t>
            </w:r>
          </w:p>
        </w:tc>
      </w:tr>
      <w:tr w:rsidR="00551935" w:rsidRPr="00717EE5" w14:paraId="4D682860" w14:textId="77777777" w:rsidTr="00AF1BBF">
        <w:tc>
          <w:tcPr>
            <w:tcW w:w="4032" w:type="dxa"/>
          </w:tcPr>
          <w:p w14:paraId="007E9C80" w14:textId="798D29EE"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Cade Burks</w:t>
            </w:r>
          </w:p>
        </w:tc>
        <w:tc>
          <w:tcPr>
            <w:tcW w:w="3240" w:type="dxa"/>
          </w:tcPr>
          <w:p w14:paraId="14467D0C" w14:textId="77777777" w:rsidR="00551935" w:rsidRPr="00717EE5" w:rsidRDefault="00551935" w:rsidP="001249D9">
            <w:pPr>
              <w:spacing w:after="120"/>
            </w:pPr>
            <w:r w:rsidRPr="00717EE5">
              <w:t>Big Data Energy Services</w:t>
            </w:r>
          </w:p>
        </w:tc>
        <w:tc>
          <w:tcPr>
            <w:tcW w:w="2520" w:type="dxa"/>
          </w:tcPr>
          <w:p w14:paraId="6F37DEB8" w14:textId="0EF72F3D" w:rsidR="00551935" w:rsidRPr="00717EE5" w:rsidRDefault="00551935" w:rsidP="001249D9">
            <w:pPr>
              <w:spacing w:after="120"/>
            </w:pPr>
          </w:p>
        </w:tc>
      </w:tr>
      <w:bookmarkEnd w:id="2"/>
      <w:tr w:rsidR="00551935" w:rsidRPr="00717EE5" w14:paraId="0B05FE34" w14:textId="77777777" w:rsidTr="00AF1BBF">
        <w:tc>
          <w:tcPr>
            <w:tcW w:w="4032" w:type="dxa"/>
          </w:tcPr>
          <w:p w14:paraId="2FE1BFEB" w14:textId="36050492"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Valerie Crockett </w:t>
            </w:r>
          </w:p>
        </w:tc>
        <w:tc>
          <w:tcPr>
            <w:tcW w:w="3240" w:type="dxa"/>
          </w:tcPr>
          <w:p w14:paraId="028C7A6F" w14:textId="77777777" w:rsidR="00551935" w:rsidRPr="00717EE5" w:rsidRDefault="00551935" w:rsidP="001249D9">
            <w:pPr>
              <w:spacing w:after="120"/>
            </w:pPr>
            <w:r w:rsidRPr="00717EE5">
              <w:t>Tennessee Valley Authority</w:t>
            </w:r>
          </w:p>
        </w:tc>
        <w:tc>
          <w:tcPr>
            <w:tcW w:w="2520" w:type="dxa"/>
          </w:tcPr>
          <w:p w14:paraId="6241A28E" w14:textId="6A97894E" w:rsidR="00551935" w:rsidRPr="00717EE5" w:rsidRDefault="00362601" w:rsidP="001249D9">
            <w:pPr>
              <w:spacing w:after="120"/>
            </w:pPr>
            <w:r>
              <w:t>Present</w:t>
            </w:r>
          </w:p>
        </w:tc>
      </w:tr>
      <w:tr w:rsidR="00551935" w:rsidRPr="00717EE5" w14:paraId="4E459C75" w14:textId="77777777" w:rsidTr="00AF1BBF">
        <w:tc>
          <w:tcPr>
            <w:tcW w:w="4032" w:type="dxa"/>
          </w:tcPr>
          <w:p w14:paraId="7FF5C87C" w14:textId="23CACC1C"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Michael Desselle</w:t>
            </w:r>
          </w:p>
        </w:tc>
        <w:tc>
          <w:tcPr>
            <w:tcW w:w="3240" w:type="dxa"/>
          </w:tcPr>
          <w:p w14:paraId="131934B6" w14:textId="77777777" w:rsidR="00551935" w:rsidRPr="00717EE5" w:rsidRDefault="00551935" w:rsidP="001249D9">
            <w:pPr>
              <w:spacing w:after="120"/>
            </w:pPr>
            <w:r w:rsidRPr="00717EE5">
              <w:t>Southwest Power Pool</w:t>
            </w:r>
          </w:p>
        </w:tc>
        <w:tc>
          <w:tcPr>
            <w:tcW w:w="2520" w:type="dxa"/>
          </w:tcPr>
          <w:p w14:paraId="4907E0BD" w14:textId="527B53AB" w:rsidR="00551935" w:rsidRPr="00717EE5" w:rsidRDefault="00362601" w:rsidP="001249D9">
            <w:pPr>
              <w:spacing w:after="120"/>
            </w:pPr>
            <w:r>
              <w:t>Present</w:t>
            </w:r>
          </w:p>
        </w:tc>
      </w:tr>
      <w:tr w:rsidR="00551935" w:rsidRPr="00717EE5" w14:paraId="5676B4CB" w14:textId="77777777" w:rsidTr="00AF1BBF">
        <w:tc>
          <w:tcPr>
            <w:tcW w:w="4032" w:type="dxa"/>
          </w:tcPr>
          <w:p w14:paraId="5F9020A0" w14:textId="25F0D93D"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Bruce Ellsworth</w:t>
            </w:r>
          </w:p>
        </w:tc>
        <w:tc>
          <w:tcPr>
            <w:tcW w:w="3240" w:type="dxa"/>
          </w:tcPr>
          <w:p w14:paraId="37407816" w14:textId="77777777" w:rsidR="00551935" w:rsidRPr="00717EE5" w:rsidRDefault="00551935" w:rsidP="001249D9">
            <w:pPr>
              <w:spacing w:after="120"/>
            </w:pPr>
            <w:r w:rsidRPr="00717EE5">
              <w:t>New York State Reliability Council</w:t>
            </w:r>
          </w:p>
        </w:tc>
        <w:tc>
          <w:tcPr>
            <w:tcW w:w="2520" w:type="dxa"/>
          </w:tcPr>
          <w:p w14:paraId="3F4BB54A" w14:textId="756F0BD4" w:rsidR="00551935" w:rsidRPr="00717EE5" w:rsidRDefault="00551935" w:rsidP="001249D9">
            <w:pPr>
              <w:spacing w:after="120"/>
            </w:pPr>
          </w:p>
        </w:tc>
      </w:tr>
      <w:tr w:rsidR="00551935" w:rsidRPr="00717EE5" w14:paraId="741F53DC" w14:textId="77777777" w:rsidTr="00AF1BBF">
        <w:tc>
          <w:tcPr>
            <w:tcW w:w="4032" w:type="dxa"/>
          </w:tcPr>
          <w:p w14:paraId="2302B294" w14:textId="77777777"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Debbie McKeever</w:t>
            </w:r>
          </w:p>
        </w:tc>
        <w:tc>
          <w:tcPr>
            <w:tcW w:w="3240" w:type="dxa"/>
          </w:tcPr>
          <w:p w14:paraId="3989A1A5" w14:textId="77777777" w:rsidR="00551935" w:rsidRPr="00717EE5" w:rsidRDefault="00551935" w:rsidP="001249D9">
            <w:pPr>
              <w:spacing w:after="120"/>
            </w:pPr>
            <w:r w:rsidRPr="00717EE5">
              <w:t>Oncor Electric Delivery Company</w:t>
            </w:r>
          </w:p>
        </w:tc>
        <w:tc>
          <w:tcPr>
            <w:tcW w:w="2520" w:type="dxa"/>
          </w:tcPr>
          <w:p w14:paraId="700B1486" w14:textId="02397B06" w:rsidR="00551935" w:rsidRPr="00717EE5" w:rsidRDefault="00551935" w:rsidP="001249D9">
            <w:pPr>
              <w:spacing w:after="120"/>
            </w:pPr>
          </w:p>
        </w:tc>
      </w:tr>
      <w:tr w:rsidR="00551935" w:rsidRPr="00717EE5" w14:paraId="7A1FB93E" w14:textId="77777777" w:rsidTr="00AF1BBF">
        <w:tc>
          <w:tcPr>
            <w:tcW w:w="4032" w:type="dxa"/>
          </w:tcPr>
          <w:p w14:paraId="70E11070" w14:textId="35C7EFD4"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Gene Nowak</w:t>
            </w:r>
          </w:p>
        </w:tc>
        <w:tc>
          <w:tcPr>
            <w:tcW w:w="3240" w:type="dxa"/>
          </w:tcPr>
          <w:p w14:paraId="054079B9" w14:textId="77777777" w:rsidR="00551935" w:rsidRPr="00717EE5" w:rsidRDefault="00551935" w:rsidP="001249D9">
            <w:pPr>
              <w:spacing w:after="120"/>
            </w:pPr>
            <w:r w:rsidRPr="00717EE5">
              <w:t>Kinder Morgan Inc.</w:t>
            </w:r>
          </w:p>
        </w:tc>
        <w:tc>
          <w:tcPr>
            <w:tcW w:w="2520" w:type="dxa"/>
          </w:tcPr>
          <w:p w14:paraId="158A6A61" w14:textId="61629493" w:rsidR="00551935" w:rsidRPr="00717EE5" w:rsidRDefault="000378E9" w:rsidP="001249D9">
            <w:pPr>
              <w:spacing w:after="120"/>
            </w:pPr>
            <w:r>
              <w:t>Present</w:t>
            </w:r>
          </w:p>
        </w:tc>
      </w:tr>
      <w:tr w:rsidR="00551935" w:rsidRPr="00717EE5" w14:paraId="7EC3A30D" w14:textId="77777777" w:rsidTr="00AF1BBF">
        <w:tc>
          <w:tcPr>
            <w:tcW w:w="4032" w:type="dxa"/>
          </w:tcPr>
          <w:p w14:paraId="2E126D98" w14:textId="7CF3898D"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Randy Parker</w:t>
            </w:r>
          </w:p>
        </w:tc>
        <w:tc>
          <w:tcPr>
            <w:tcW w:w="3240" w:type="dxa"/>
          </w:tcPr>
          <w:p w14:paraId="1403339E" w14:textId="77777777" w:rsidR="00551935" w:rsidRPr="00717EE5" w:rsidRDefault="00551935" w:rsidP="001249D9">
            <w:pPr>
              <w:spacing w:after="120"/>
            </w:pPr>
            <w:r w:rsidRPr="00717EE5">
              <w:t>Exxon Mobil Corporation</w:t>
            </w:r>
          </w:p>
        </w:tc>
        <w:tc>
          <w:tcPr>
            <w:tcW w:w="2520" w:type="dxa"/>
          </w:tcPr>
          <w:p w14:paraId="59DFEE3E" w14:textId="54864D13" w:rsidR="00551935" w:rsidRPr="00717EE5" w:rsidRDefault="001F589C" w:rsidP="001249D9">
            <w:pPr>
              <w:spacing w:after="120"/>
            </w:pPr>
            <w:r>
              <w:t>Present</w:t>
            </w:r>
          </w:p>
        </w:tc>
      </w:tr>
      <w:tr w:rsidR="00551935" w:rsidRPr="00717EE5" w14:paraId="60AF2A35" w14:textId="77777777" w:rsidTr="00AF1BBF">
        <w:tc>
          <w:tcPr>
            <w:tcW w:w="4032" w:type="dxa"/>
          </w:tcPr>
          <w:p w14:paraId="32532475" w14:textId="4F9582CE"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Terry Thorn</w:t>
            </w:r>
          </w:p>
        </w:tc>
        <w:tc>
          <w:tcPr>
            <w:tcW w:w="3240" w:type="dxa"/>
          </w:tcPr>
          <w:p w14:paraId="3AAA645C" w14:textId="77777777" w:rsidR="00551935" w:rsidRPr="00717EE5" w:rsidRDefault="00551935" w:rsidP="001249D9">
            <w:pPr>
              <w:spacing w:after="120"/>
            </w:pPr>
            <w:r w:rsidRPr="00717EE5">
              <w:t>KEMA Gas Consulting Services</w:t>
            </w:r>
          </w:p>
        </w:tc>
        <w:tc>
          <w:tcPr>
            <w:tcW w:w="2520" w:type="dxa"/>
          </w:tcPr>
          <w:p w14:paraId="35D8FEAE" w14:textId="18E14CEE" w:rsidR="00551935" w:rsidRPr="00717EE5" w:rsidRDefault="00551935" w:rsidP="001249D9">
            <w:pPr>
              <w:spacing w:after="120"/>
            </w:pPr>
          </w:p>
        </w:tc>
      </w:tr>
      <w:tr w:rsidR="00551935" w:rsidRPr="00717EE5" w14:paraId="1EE3F1C6" w14:textId="77777777" w:rsidTr="00AF1BBF">
        <w:tc>
          <w:tcPr>
            <w:tcW w:w="4032" w:type="dxa"/>
          </w:tcPr>
          <w:p w14:paraId="3AF31AA8" w14:textId="175FC1AB" w:rsidR="00551935" w:rsidRPr="00717EE5" w:rsidRDefault="00551935"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Roy True</w:t>
            </w:r>
          </w:p>
        </w:tc>
        <w:tc>
          <w:tcPr>
            <w:tcW w:w="3240" w:type="dxa"/>
          </w:tcPr>
          <w:p w14:paraId="1B526BFC" w14:textId="77777777" w:rsidR="00551935" w:rsidRPr="00717EE5" w:rsidRDefault="00551935" w:rsidP="001249D9">
            <w:pPr>
              <w:spacing w:after="120"/>
            </w:pPr>
            <w:bookmarkStart w:id="3" w:name="_Hlk508788685"/>
            <w:r w:rsidRPr="00717EE5">
              <w:t>Alliance for Cooperative Energy Services Power Marketing LLC</w:t>
            </w:r>
            <w:bookmarkEnd w:id="3"/>
          </w:p>
        </w:tc>
        <w:tc>
          <w:tcPr>
            <w:tcW w:w="2520" w:type="dxa"/>
          </w:tcPr>
          <w:p w14:paraId="44056AED" w14:textId="409EE635" w:rsidR="00551935" w:rsidRPr="00717EE5" w:rsidRDefault="00551935" w:rsidP="001249D9">
            <w:pPr>
              <w:spacing w:after="120"/>
            </w:pP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717EE5" w:rsidRDefault="00900438" w:rsidP="001249D9">
            <w:pPr>
              <w:spacing w:after="120"/>
              <w:jc w:val="center"/>
              <w:rPr>
                <w:b/>
              </w:rPr>
            </w:pPr>
            <w:r w:rsidRPr="00717EE5">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rsidP="001249D9">
            <w:pPr>
              <w:spacing w:after="12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717EE5" w:rsidRDefault="00C253FF" w:rsidP="001249D9">
            <w:pPr>
              <w:keepNext/>
              <w:spacing w:after="120"/>
              <w:jc w:val="both"/>
              <w:rPr>
                <w:b/>
              </w:rPr>
            </w:pPr>
            <w:r w:rsidRPr="00717EE5">
              <w:rPr>
                <w:b/>
              </w:rPr>
              <w:t xml:space="preserve">Organization </w:t>
            </w:r>
          </w:p>
        </w:tc>
      </w:tr>
      <w:tr w:rsidR="00C253FF" w:rsidRPr="00717EE5" w14:paraId="311ABE3F" w14:textId="77777777" w:rsidTr="00AF1BBF">
        <w:tc>
          <w:tcPr>
            <w:tcW w:w="4032" w:type="dxa"/>
          </w:tcPr>
          <w:p w14:paraId="5B018B71" w14:textId="7637B053" w:rsidR="00C253FF" w:rsidRPr="00717EE5" w:rsidRDefault="00C253FF"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Jonathan Booe </w:t>
            </w:r>
          </w:p>
        </w:tc>
        <w:tc>
          <w:tcPr>
            <w:tcW w:w="5760" w:type="dxa"/>
            <w:gridSpan w:val="2"/>
          </w:tcPr>
          <w:p w14:paraId="654F5FCA" w14:textId="77777777" w:rsidR="00C253FF" w:rsidRPr="00717EE5" w:rsidRDefault="00C253FF" w:rsidP="001249D9">
            <w:pPr>
              <w:spacing w:after="120"/>
            </w:pPr>
            <w:r w:rsidRPr="00717EE5">
              <w:t>North American Energy Standards Board</w:t>
            </w:r>
          </w:p>
        </w:tc>
      </w:tr>
      <w:tr w:rsidR="001F589C" w:rsidRPr="00717EE5" w14:paraId="6BA49927" w14:textId="77777777" w:rsidTr="00AF1BBF">
        <w:tc>
          <w:tcPr>
            <w:tcW w:w="4032" w:type="dxa"/>
          </w:tcPr>
          <w:p w14:paraId="66CA8CC3" w14:textId="1BA07866" w:rsidR="001F589C" w:rsidRDefault="001F589C" w:rsidP="001249D9">
            <w:pPr>
              <w:pStyle w:val="Title"/>
              <w:spacing w:before="0" w:after="120"/>
              <w:jc w:val="left"/>
              <w:rPr>
                <w:rFonts w:ascii="Times New Roman" w:hAnsi="Times New Roman"/>
                <w:b w:val="0"/>
                <w:bCs w:val="0"/>
                <w:kern w:val="0"/>
                <w:sz w:val="20"/>
                <w:szCs w:val="20"/>
              </w:rPr>
            </w:pPr>
            <w:r>
              <w:rPr>
                <w:rFonts w:ascii="Times New Roman" w:hAnsi="Times New Roman"/>
                <w:b w:val="0"/>
                <w:bCs w:val="0"/>
                <w:kern w:val="0"/>
                <w:sz w:val="20"/>
                <w:szCs w:val="20"/>
              </w:rPr>
              <w:t>Pete Connor</w:t>
            </w:r>
          </w:p>
        </w:tc>
        <w:tc>
          <w:tcPr>
            <w:tcW w:w="5760" w:type="dxa"/>
            <w:gridSpan w:val="2"/>
          </w:tcPr>
          <w:p w14:paraId="0386F654" w14:textId="163EB572" w:rsidR="001F589C" w:rsidRPr="00717EE5" w:rsidRDefault="001F589C" w:rsidP="001249D9">
            <w:pPr>
              <w:spacing w:after="120"/>
            </w:pPr>
            <w:r>
              <w:t>representing  American Gas Association</w:t>
            </w:r>
          </w:p>
        </w:tc>
      </w:tr>
      <w:tr w:rsidR="00341D8A" w:rsidRPr="00717EE5" w14:paraId="752FF216" w14:textId="77777777" w:rsidTr="00AF1BBF">
        <w:tc>
          <w:tcPr>
            <w:tcW w:w="4032" w:type="dxa"/>
          </w:tcPr>
          <w:p w14:paraId="2E6CDBC5" w14:textId="509913FC" w:rsidR="00341D8A" w:rsidRPr="00717EE5" w:rsidRDefault="001F589C" w:rsidP="001249D9">
            <w:pPr>
              <w:pStyle w:val="Title"/>
              <w:spacing w:before="0" w:after="120"/>
              <w:jc w:val="left"/>
              <w:rPr>
                <w:rFonts w:ascii="Times New Roman" w:hAnsi="Times New Roman"/>
                <w:b w:val="0"/>
                <w:bCs w:val="0"/>
                <w:kern w:val="0"/>
                <w:sz w:val="20"/>
                <w:szCs w:val="20"/>
              </w:rPr>
            </w:pPr>
            <w:r>
              <w:rPr>
                <w:rFonts w:ascii="Times New Roman" w:hAnsi="Times New Roman"/>
                <w:b w:val="0"/>
                <w:bCs w:val="0"/>
                <w:kern w:val="0"/>
                <w:sz w:val="20"/>
                <w:szCs w:val="20"/>
              </w:rPr>
              <w:t>David Crabtree</w:t>
            </w:r>
          </w:p>
        </w:tc>
        <w:tc>
          <w:tcPr>
            <w:tcW w:w="5760" w:type="dxa"/>
            <w:gridSpan w:val="2"/>
          </w:tcPr>
          <w:p w14:paraId="2137CFE9" w14:textId="2BCBF23B" w:rsidR="00341D8A" w:rsidRPr="00717EE5" w:rsidRDefault="001F589C" w:rsidP="001249D9">
            <w:pPr>
              <w:spacing w:after="120"/>
            </w:pPr>
            <w:r>
              <w:t>Tampa Electric Company</w:t>
            </w:r>
          </w:p>
        </w:tc>
      </w:tr>
      <w:tr w:rsidR="001249D9" w:rsidRPr="00717EE5" w14:paraId="3895408E" w14:textId="77777777" w:rsidTr="00AF1BBF">
        <w:tc>
          <w:tcPr>
            <w:tcW w:w="4032" w:type="dxa"/>
          </w:tcPr>
          <w:p w14:paraId="6D1F586B" w14:textId="658F96CD" w:rsidR="001249D9" w:rsidRPr="00717EE5" w:rsidRDefault="001249D9" w:rsidP="001249D9">
            <w:pPr>
              <w:pStyle w:val="Title"/>
              <w:spacing w:before="0" w:after="120"/>
              <w:jc w:val="left"/>
              <w:rPr>
                <w:rFonts w:ascii="Times New Roman" w:hAnsi="Times New Roman"/>
                <w:b w:val="0"/>
                <w:bCs w:val="0"/>
                <w:kern w:val="0"/>
                <w:sz w:val="20"/>
                <w:szCs w:val="20"/>
              </w:rPr>
            </w:pPr>
            <w:r>
              <w:rPr>
                <w:rFonts w:ascii="Times New Roman" w:hAnsi="Times New Roman"/>
                <w:b w:val="0"/>
                <w:bCs w:val="0"/>
                <w:kern w:val="0"/>
                <w:sz w:val="20"/>
                <w:szCs w:val="20"/>
              </w:rPr>
              <w:t>Ronnie Hensley</w:t>
            </w:r>
          </w:p>
        </w:tc>
        <w:tc>
          <w:tcPr>
            <w:tcW w:w="5760" w:type="dxa"/>
            <w:gridSpan w:val="2"/>
          </w:tcPr>
          <w:p w14:paraId="668FE01A" w14:textId="6199A9A5" w:rsidR="001249D9" w:rsidRPr="00717EE5" w:rsidRDefault="001249D9" w:rsidP="001249D9">
            <w:pPr>
              <w:spacing w:after="120"/>
            </w:pPr>
            <w:r>
              <w:t>Southern Star</w:t>
            </w:r>
          </w:p>
        </w:tc>
      </w:tr>
      <w:tr w:rsidR="00C253FF" w:rsidRPr="00717EE5" w14:paraId="04274F3D" w14:textId="77777777" w:rsidTr="00AF1BBF">
        <w:tc>
          <w:tcPr>
            <w:tcW w:w="4032" w:type="dxa"/>
          </w:tcPr>
          <w:p w14:paraId="7A2FFAA8" w14:textId="3657E8ED" w:rsidR="00C253FF" w:rsidRPr="00717EE5" w:rsidRDefault="00C253FF"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Elizabeth Mallett</w:t>
            </w:r>
          </w:p>
        </w:tc>
        <w:tc>
          <w:tcPr>
            <w:tcW w:w="5760" w:type="dxa"/>
            <w:gridSpan w:val="2"/>
          </w:tcPr>
          <w:p w14:paraId="1DB0011C" w14:textId="77777777" w:rsidR="00C253FF" w:rsidRPr="00717EE5" w:rsidRDefault="00C253FF" w:rsidP="001249D9">
            <w:pPr>
              <w:spacing w:after="120"/>
            </w:pPr>
            <w:r w:rsidRPr="00717EE5">
              <w:t>North American Energy Standards Board</w:t>
            </w:r>
          </w:p>
        </w:tc>
      </w:tr>
      <w:tr w:rsidR="00C253FF" w:rsidRPr="00717EE5" w14:paraId="19411E5F" w14:textId="77777777" w:rsidTr="00AF1BBF">
        <w:tc>
          <w:tcPr>
            <w:tcW w:w="4032" w:type="dxa"/>
          </w:tcPr>
          <w:p w14:paraId="6182B828" w14:textId="08F4E73E" w:rsidR="00C253FF" w:rsidRPr="00717EE5" w:rsidRDefault="00C253FF"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Rae McQuade </w:t>
            </w:r>
          </w:p>
        </w:tc>
        <w:tc>
          <w:tcPr>
            <w:tcW w:w="5760" w:type="dxa"/>
            <w:gridSpan w:val="2"/>
          </w:tcPr>
          <w:p w14:paraId="6EDFC2CD" w14:textId="77777777" w:rsidR="00C253FF" w:rsidRPr="00717EE5" w:rsidRDefault="00C253FF" w:rsidP="001249D9">
            <w:pPr>
              <w:spacing w:after="120"/>
            </w:pPr>
            <w:r w:rsidRPr="00717EE5">
              <w:t>North American Energy Standards Board</w:t>
            </w:r>
          </w:p>
        </w:tc>
      </w:tr>
      <w:tr w:rsidR="00D90133" w:rsidRPr="00717EE5" w14:paraId="557287E8" w14:textId="77777777" w:rsidTr="000A2B66">
        <w:tc>
          <w:tcPr>
            <w:tcW w:w="4032" w:type="dxa"/>
          </w:tcPr>
          <w:p w14:paraId="7EE171CA" w14:textId="30FD8570" w:rsidR="00D90133" w:rsidRPr="00717EE5" w:rsidRDefault="00D90133"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Ed Skiba</w:t>
            </w:r>
          </w:p>
        </w:tc>
        <w:tc>
          <w:tcPr>
            <w:tcW w:w="5760" w:type="dxa"/>
            <w:gridSpan w:val="2"/>
          </w:tcPr>
          <w:p w14:paraId="4360037C" w14:textId="52B3BFD8" w:rsidR="00D90133" w:rsidRPr="00717EE5" w:rsidRDefault="00D90133" w:rsidP="001249D9">
            <w:pPr>
              <w:spacing w:after="120"/>
            </w:pPr>
            <w:r w:rsidRPr="00717EE5">
              <w:t>Midcontinent Independent System Operator</w:t>
            </w:r>
          </w:p>
        </w:tc>
      </w:tr>
      <w:tr w:rsidR="008E1321" w:rsidRPr="00717EE5" w14:paraId="77286745" w14:textId="77777777" w:rsidTr="000A2B66">
        <w:tc>
          <w:tcPr>
            <w:tcW w:w="4032" w:type="dxa"/>
          </w:tcPr>
          <w:p w14:paraId="627EA629" w14:textId="7EC39A25" w:rsidR="008E1321" w:rsidRPr="00717EE5" w:rsidRDefault="008E1321" w:rsidP="001249D9">
            <w:pPr>
              <w:pStyle w:val="Title"/>
              <w:spacing w:before="0" w:after="120"/>
              <w:jc w:val="left"/>
              <w:rPr>
                <w:rFonts w:ascii="Times New Roman" w:hAnsi="Times New Roman"/>
                <w:b w:val="0"/>
                <w:bCs w:val="0"/>
                <w:kern w:val="0"/>
                <w:sz w:val="20"/>
                <w:szCs w:val="20"/>
              </w:rPr>
            </w:pPr>
            <w:r w:rsidRPr="00717EE5">
              <w:rPr>
                <w:rFonts w:ascii="Times New Roman" w:hAnsi="Times New Roman"/>
                <w:b w:val="0"/>
                <w:bCs w:val="0"/>
                <w:kern w:val="0"/>
                <w:sz w:val="20"/>
                <w:szCs w:val="20"/>
              </w:rPr>
              <w:t>Caroline Trum</w:t>
            </w:r>
          </w:p>
        </w:tc>
        <w:tc>
          <w:tcPr>
            <w:tcW w:w="5760" w:type="dxa"/>
            <w:gridSpan w:val="2"/>
          </w:tcPr>
          <w:p w14:paraId="2FB96A1B" w14:textId="58FE7949" w:rsidR="008E1321" w:rsidRPr="00717EE5" w:rsidRDefault="008E1321" w:rsidP="001249D9">
            <w:pPr>
              <w:spacing w:after="120"/>
            </w:pPr>
            <w:r w:rsidRPr="00717EE5">
              <w:t>North American Energy Standards Board</w:t>
            </w:r>
          </w:p>
        </w:tc>
      </w:tr>
    </w:tbl>
    <w:p w14:paraId="75F623F8" w14:textId="77777777" w:rsidR="0056180E" w:rsidRPr="00717EE5" w:rsidRDefault="0056180E" w:rsidP="001249D9">
      <w:pPr>
        <w:spacing w:after="120"/>
      </w:pPr>
    </w:p>
    <w:sectPr w:rsidR="0056180E" w:rsidRPr="00717EE5" w:rsidSect="007263AC">
      <w:headerReference w:type="default" r:id="rId30"/>
      <w:footerReference w:type="default" r:id="rId31"/>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D784" w14:textId="77777777" w:rsidR="0026587D" w:rsidRDefault="0026587D">
      <w:r>
        <w:separator/>
      </w:r>
    </w:p>
  </w:endnote>
  <w:endnote w:type="continuationSeparator" w:id="0">
    <w:p w14:paraId="7E8EB50A" w14:textId="77777777" w:rsidR="0026587D" w:rsidRDefault="002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8740" w14:textId="44D1EB60" w:rsidR="000A2B66" w:rsidRDefault="000A2B66">
    <w:pPr>
      <w:pStyle w:val="Footer"/>
      <w:pBdr>
        <w:top w:val="single" w:sz="18" w:space="1" w:color="auto"/>
      </w:pBdr>
      <w:jc w:val="right"/>
    </w:pPr>
    <w:r>
      <w:t xml:space="preserve">NAESB Board Revenue Committee Call Notes – </w:t>
    </w:r>
    <w:r w:rsidR="00413FBA">
      <w:t>March 12, 2019</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2F058D">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F058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238F" w14:textId="77777777" w:rsidR="0026587D" w:rsidRDefault="0026587D">
      <w:r>
        <w:separator/>
      </w:r>
    </w:p>
  </w:footnote>
  <w:footnote w:type="continuationSeparator" w:id="0">
    <w:p w14:paraId="266EEA29" w14:textId="77777777" w:rsidR="0026587D" w:rsidRDefault="0026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63C711C0"/>
    <w:multiLevelType w:val="hybridMultilevel"/>
    <w:tmpl w:val="FBB6FA9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0"/>
  </w:num>
  <w:num w:numId="3">
    <w:abstractNumId w:val="2"/>
  </w:num>
  <w:num w:numId="4">
    <w:abstractNumId w:val="8"/>
  </w:num>
  <w:num w:numId="5">
    <w:abstractNumId w:val="14"/>
  </w:num>
  <w:num w:numId="6">
    <w:abstractNumId w:val="7"/>
  </w:num>
  <w:num w:numId="7">
    <w:abstractNumId w:val="11"/>
  </w:num>
  <w:num w:numId="8">
    <w:abstractNumId w:val="16"/>
  </w:num>
  <w:num w:numId="9">
    <w:abstractNumId w:val="12"/>
  </w:num>
  <w:num w:numId="10">
    <w:abstractNumId w:val="2"/>
  </w:num>
  <w:num w:numId="11">
    <w:abstractNumId w:val="10"/>
  </w:num>
  <w:num w:numId="12">
    <w:abstractNumId w:val="2"/>
  </w:num>
  <w:num w:numId="13">
    <w:abstractNumId w:val="10"/>
  </w:num>
  <w:num w:numId="14">
    <w:abstractNumId w:val="7"/>
  </w:num>
  <w:num w:numId="15">
    <w:abstractNumId w:val="2"/>
  </w:num>
  <w:num w:numId="16">
    <w:abstractNumId w:val="10"/>
  </w:num>
  <w:num w:numId="17">
    <w:abstractNumId w:val="7"/>
  </w:num>
  <w:num w:numId="18">
    <w:abstractNumId w:val="10"/>
  </w:num>
  <w:num w:numId="19">
    <w:abstractNumId w:val="3"/>
  </w:num>
  <w:num w:numId="20">
    <w:abstractNumId w:val="10"/>
  </w:num>
  <w:num w:numId="21">
    <w:abstractNumId w:val="10"/>
  </w:num>
  <w:num w:numId="22">
    <w:abstractNumId w:val="10"/>
  </w:num>
  <w:num w:numId="23">
    <w:abstractNumId w:val="15"/>
  </w:num>
  <w:num w:numId="24">
    <w:abstractNumId w:val="18"/>
  </w:num>
  <w:num w:numId="25">
    <w:abstractNumId w:val="5"/>
  </w:num>
  <w:num w:numId="26">
    <w:abstractNumId w:val="15"/>
  </w:num>
  <w:num w:numId="27">
    <w:abstractNumId w:val="5"/>
  </w:num>
  <w:num w:numId="28">
    <w:abstractNumId w:val="15"/>
  </w:num>
  <w:num w:numId="29">
    <w:abstractNumId w:val="5"/>
  </w:num>
  <w:num w:numId="30">
    <w:abstractNumId w:val="13"/>
  </w:num>
  <w:num w:numId="31">
    <w:abstractNumId w:val="17"/>
  </w:num>
  <w:num w:numId="32">
    <w:abstractNumId w:val="4"/>
  </w:num>
  <w:num w:numId="33">
    <w:abstractNumId w:val="9"/>
  </w:num>
  <w:num w:numId="34">
    <w:abstractNumId w:val="6"/>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21F79"/>
    <w:rsid w:val="00024AA5"/>
    <w:rsid w:val="0002707C"/>
    <w:rsid w:val="00032812"/>
    <w:rsid w:val="000344E0"/>
    <w:rsid w:val="0003512C"/>
    <w:rsid w:val="00035B9C"/>
    <w:rsid w:val="000364A4"/>
    <w:rsid w:val="000378E9"/>
    <w:rsid w:val="00041459"/>
    <w:rsid w:val="0004407E"/>
    <w:rsid w:val="0005220B"/>
    <w:rsid w:val="00052E85"/>
    <w:rsid w:val="000545C9"/>
    <w:rsid w:val="00056D30"/>
    <w:rsid w:val="00061E2A"/>
    <w:rsid w:val="00061FE2"/>
    <w:rsid w:val="00064B30"/>
    <w:rsid w:val="0007019C"/>
    <w:rsid w:val="000720A7"/>
    <w:rsid w:val="00072D20"/>
    <w:rsid w:val="000775C7"/>
    <w:rsid w:val="00080657"/>
    <w:rsid w:val="00081A69"/>
    <w:rsid w:val="0008227D"/>
    <w:rsid w:val="000824C4"/>
    <w:rsid w:val="00085D92"/>
    <w:rsid w:val="00087D0F"/>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3E6F"/>
    <w:rsid w:val="000C5533"/>
    <w:rsid w:val="000D2A5A"/>
    <w:rsid w:val="000D3135"/>
    <w:rsid w:val="000D7FCB"/>
    <w:rsid w:val="000E244B"/>
    <w:rsid w:val="000E6514"/>
    <w:rsid w:val="000E7041"/>
    <w:rsid w:val="000E7B17"/>
    <w:rsid w:val="000F0372"/>
    <w:rsid w:val="000F14C1"/>
    <w:rsid w:val="000F1FB2"/>
    <w:rsid w:val="000F3609"/>
    <w:rsid w:val="000F46E8"/>
    <w:rsid w:val="000F4E94"/>
    <w:rsid w:val="000F628C"/>
    <w:rsid w:val="00106CC1"/>
    <w:rsid w:val="0011006F"/>
    <w:rsid w:val="00111069"/>
    <w:rsid w:val="00111C1A"/>
    <w:rsid w:val="00113C12"/>
    <w:rsid w:val="00117CFF"/>
    <w:rsid w:val="00122C4A"/>
    <w:rsid w:val="001230CD"/>
    <w:rsid w:val="001240E4"/>
    <w:rsid w:val="001249D9"/>
    <w:rsid w:val="00127483"/>
    <w:rsid w:val="0013156F"/>
    <w:rsid w:val="001319E3"/>
    <w:rsid w:val="001355D2"/>
    <w:rsid w:val="001359E5"/>
    <w:rsid w:val="001438A1"/>
    <w:rsid w:val="0014587C"/>
    <w:rsid w:val="00146D9A"/>
    <w:rsid w:val="00147D58"/>
    <w:rsid w:val="0015054C"/>
    <w:rsid w:val="00151A26"/>
    <w:rsid w:val="00153168"/>
    <w:rsid w:val="00154FBA"/>
    <w:rsid w:val="0015555D"/>
    <w:rsid w:val="00155698"/>
    <w:rsid w:val="00161099"/>
    <w:rsid w:val="00173122"/>
    <w:rsid w:val="00175FEE"/>
    <w:rsid w:val="00180ED7"/>
    <w:rsid w:val="00181149"/>
    <w:rsid w:val="00182C11"/>
    <w:rsid w:val="001849BB"/>
    <w:rsid w:val="00187417"/>
    <w:rsid w:val="0019018B"/>
    <w:rsid w:val="00192067"/>
    <w:rsid w:val="0019709B"/>
    <w:rsid w:val="001A655E"/>
    <w:rsid w:val="001A7378"/>
    <w:rsid w:val="001B30B4"/>
    <w:rsid w:val="001B388E"/>
    <w:rsid w:val="001B4BFB"/>
    <w:rsid w:val="001B523C"/>
    <w:rsid w:val="001C0BBE"/>
    <w:rsid w:val="001C231B"/>
    <w:rsid w:val="001C233B"/>
    <w:rsid w:val="001C6190"/>
    <w:rsid w:val="001D0A97"/>
    <w:rsid w:val="001D1EB2"/>
    <w:rsid w:val="001D457A"/>
    <w:rsid w:val="001D4C77"/>
    <w:rsid w:val="001D5D50"/>
    <w:rsid w:val="001E069C"/>
    <w:rsid w:val="001E17A7"/>
    <w:rsid w:val="001E505F"/>
    <w:rsid w:val="001F1C83"/>
    <w:rsid w:val="001F589C"/>
    <w:rsid w:val="001F7EFD"/>
    <w:rsid w:val="00200C6E"/>
    <w:rsid w:val="00201C43"/>
    <w:rsid w:val="00202FAB"/>
    <w:rsid w:val="00206685"/>
    <w:rsid w:val="0020697A"/>
    <w:rsid w:val="002072EE"/>
    <w:rsid w:val="002111CE"/>
    <w:rsid w:val="00214D7D"/>
    <w:rsid w:val="00214DFE"/>
    <w:rsid w:val="002153EE"/>
    <w:rsid w:val="00216890"/>
    <w:rsid w:val="00217049"/>
    <w:rsid w:val="00221A91"/>
    <w:rsid w:val="00221B9C"/>
    <w:rsid w:val="002254C7"/>
    <w:rsid w:val="002266B7"/>
    <w:rsid w:val="00231253"/>
    <w:rsid w:val="00232A6B"/>
    <w:rsid w:val="00237C6B"/>
    <w:rsid w:val="002401B8"/>
    <w:rsid w:val="00244042"/>
    <w:rsid w:val="00245F9D"/>
    <w:rsid w:val="00250244"/>
    <w:rsid w:val="0025042C"/>
    <w:rsid w:val="0025130D"/>
    <w:rsid w:val="00251B31"/>
    <w:rsid w:val="002536C9"/>
    <w:rsid w:val="00253E27"/>
    <w:rsid w:val="00253F86"/>
    <w:rsid w:val="002559C2"/>
    <w:rsid w:val="002604CF"/>
    <w:rsid w:val="0026587D"/>
    <w:rsid w:val="002669ED"/>
    <w:rsid w:val="002675A0"/>
    <w:rsid w:val="002678C4"/>
    <w:rsid w:val="00267B78"/>
    <w:rsid w:val="00272111"/>
    <w:rsid w:val="002729A8"/>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C69"/>
    <w:rsid w:val="002B6BFA"/>
    <w:rsid w:val="002C2A57"/>
    <w:rsid w:val="002C4724"/>
    <w:rsid w:val="002D0E09"/>
    <w:rsid w:val="002D4205"/>
    <w:rsid w:val="002D5F82"/>
    <w:rsid w:val="002D67CC"/>
    <w:rsid w:val="002D6A07"/>
    <w:rsid w:val="002E4F56"/>
    <w:rsid w:val="002E68A1"/>
    <w:rsid w:val="002E7F4F"/>
    <w:rsid w:val="002F058D"/>
    <w:rsid w:val="002F1CC8"/>
    <w:rsid w:val="002F20B8"/>
    <w:rsid w:val="002F52BA"/>
    <w:rsid w:val="00303F8A"/>
    <w:rsid w:val="00307ACB"/>
    <w:rsid w:val="003108D5"/>
    <w:rsid w:val="003109EA"/>
    <w:rsid w:val="00310E8F"/>
    <w:rsid w:val="003113C7"/>
    <w:rsid w:val="00311AB8"/>
    <w:rsid w:val="00311E94"/>
    <w:rsid w:val="00314194"/>
    <w:rsid w:val="0031738A"/>
    <w:rsid w:val="00320553"/>
    <w:rsid w:val="0032090B"/>
    <w:rsid w:val="0032175B"/>
    <w:rsid w:val="00325B6B"/>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6689"/>
    <w:rsid w:val="00361F91"/>
    <w:rsid w:val="00362601"/>
    <w:rsid w:val="00373169"/>
    <w:rsid w:val="00375A47"/>
    <w:rsid w:val="00375B39"/>
    <w:rsid w:val="00384DF7"/>
    <w:rsid w:val="00391B68"/>
    <w:rsid w:val="00392A8B"/>
    <w:rsid w:val="00392D9A"/>
    <w:rsid w:val="003A2122"/>
    <w:rsid w:val="003A6B86"/>
    <w:rsid w:val="003B4462"/>
    <w:rsid w:val="003B7640"/>
    <w:rsid w:val="003C19CC"/>
    <w:rsid w:val="003C2158"/>
    <w:rsid w:val="003D0569"/>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3FBA"/>
    <w:rsid w:val="004162F5"/>
    <w:rsid w:val="0042374D"/>
    <w:rsid w:val="00425002"/>
    <w:rsid w:val="00426906"/>
    <w:rsid w:val="0042696E"/>
    <w:rsid w:val="00432043"/>
    <w:rsid w:val="00432BA2"/>
    <w:rsid w:val="0044206A"/>
    <w:rsid w:val="00442A68"/>
    <w:rsid w:val="00442F39"/>
    <w:rsid w:val="00446ABC"/>
    <w:rsid w:val="00451FA7"/>
    <w:rsid w:val="00452248"/>
    <w:rsid w:val="00456981"/>
    <w:rsid w:val="00456B0C"/>
    <w:rsid w:val="00456DAC"/>
    <w:rsid w:val="00462DEC"/>
    <w:rsid w:val="00464FFD"/>
    <w:rsid w:val="004663BC"/>
    <w:rsid w:val="00473C93"/>
    <w:rsid w:val="0047608A"/>
    <w:rsid w:val="004809FF"/>
    <w:rsid w:val="00483C91"/>
    <w:rsid w:val="0048580C"/>
    <w:rsid w:val="004913CF"/>
    <w:rsid w:val="0049286B"/>
    <w:rsid w:val="004949F4"/>
    <w:rsid w:val="00496FDD"/>
    <w:rsid w:val="004A535A"/>
    <w:rsid w:val="004A579E"/>
    <w:rsid w:val="004B0860"/>
    <w:rsid w:val="004B1126"/>
    <w:rsid w:val="004B27DF"/>
    <w:rsid w:val="004B4D16"/>
    <w:rsid w:val="004B592E"/>
    <w:rsid w:val="004B6AFA"/>
    <w:rsid w:val="004C0D65"/>
    <w:rsid w:val="004C2F97"/>
    <w:rsid w:val="004C423B"/>
    <w:rsid w:val="004C4CFA"/>
    <w:rsid w:val="004C76E3"/>
    <w:rsid w:val="004D3607"/>
    <w:rsid w:val="004D7F4C"/>
    <w:rsid w:val="004E2BB9"/>
    <w:rsid w:val="004E7D13"/>
    <w:rsid w:val="004F014C"/>
    <w:rsid w:val="004F28BA"/>
    <w:rsid w:val="004F69A6"/>
    <w:rsid w:val="004F7AA5"/>
    <w:rsid w:val="0050249D"/>
    <w:rsid w:val="0050260B"/>
    <w:rsid w:val="005028F6"/>
    <w:rsid w:val="00507778"/>
    <w:rsid w:val="005107B2"/>
    <w:rsid w:val="00511B90"/>
    <w:rsid w:val="005202A1"/>
    <w:rsid w:val="00522217"/>
    <w:rsid w:val="00522B01"/>
    <w:rsid w:val="00523CCF"/>
    <w:rsid w:val="0052525E"/>
    <w:rsid w:val="00525A8D"/>
    <w:rsid w:val="00525F8E"/>
    <w:rsid w:val="00526AB9"/>
    <w:rsid w:val="00535BA7"/>
    <w:rsid w:val="00536878"/>
    <w:rsid w:val="00541C30"/>
    <w:rsid w:val="00544466"/>
    <w:rsid w:val="0054719E"/>
    <w:rsid w:val="00547490"/>
    <w:rsid w:val="0055055E"/>
    <w:rsid w:val="00551935"/>
    <w:rsid w:val="0056180E"/>
    <w:rsid w:val="00573688"/>
    <w:rsid w:val="00573B93"/>
    <w:rsid w:val="0058019B"/>
    <w:rsid w:val="005870A1"/>
    <w:rsid w:val="005872EB"/>
    <w:rsid w:val="005951AA"/>
    <w:rsid w:val="00596BD0"/>
    <w:rsid w:val="005A4ACB"/>
    <w:rsid w:val="005A7D5E"/>
    <w:rsid w:val="005A7F7D"/>
    <w:rsid w:val="005B1DEC"/>
    <w:rsid w:val="005B2347"/>
    <w:rsid w:val="005B280C"/>
    <w:rsid w:val="005B33B8"/>
    <w:rsid w:val="005B4113"/>
    <w:rsid w:val="005B490C"/>
    <w:rsid w:val="005B60FA"/>
    <w:rsid w:val="005B7AA3"/>
    <w:rsid w:val="005C1209"/>
    <w:rsid w:val="005C17E4"/>
    <w:rsid w:val="005C743A"/>
    <w:rsid w:val="005C7515"/>
    <w:rsid w:val="005D0A37"/>
    <w:rsid w:val="005D2321"/>
    <w:rsid w:val="005D2566"/>
    <w:rsid w:val="005D25D8"/>
    <w:rsid w:val="005D2E5A"/>
    <w:rsid w:val="005D410C"/>
    <w:rsid w:val="005D5CCA"/>
    <w:rsid w:val="005D7B55"/>
    <w:rsid w:val="005E54AB"/>
    <w:rsid w:val="005E6B04"/>
    <w:rsid w:val="005E7544"/>
    <w:rsid w:val="005F1F3B"/>
    <w:rsid w:val="005F395E"/>
    <w:rsid w:val="005F58D9"/>
    <w:rsid w:val="005F78B3"/>
    <w:rsid w:val="005F7C8D"/>
    <w:rsid w:val="00600D31"/>
    <w:rsid w:val="00606593"/>
    <w:rsid w:val="006101D0"/>
    <w:rsid w:val="0061047A"/>
    <w:rsid w:val="00615018"/>
    <w:rsid w:val="00621870"/>
    <w:rsid w:val="00622F34"/>
    <w:rsid w:val="006324A1"/>
    <w:rsid w:val="00634AB5"/>
    <w:rsid w:val="006413ED"/>
    <w:rsid w:val="00643B30"/>
    <w:rsid w:val="00647276"/>
    <w:rsid w:val="006478D4"/>
    <w:rsid w:val="0065136A"/>
    <w:rsid w:val="0065154E"/>
    <w:rsid w:val="00655955"/>
    <w:rsid w:val="00656241"/>
    <w:rsid w:val="006601C9"/>
    <w:rsid w:val="00660C7E"/>
    <w:rsid w:val="0066428C"/>
    <w:rsid w:val="00667644"/>
    <w:rsid w:val="00667824"/>
    <w:rsid w:val="00670ACE"/>
    <w:rsid w:val="0067183D"/>
    <w:rsid w:val="00674353"/>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357C"/>
    <w:rsid w:val="006B3DE0"/>
    <w:rsid w:val="006B6CCD"/>
    <w:rsid w:val="006B6F6C"/>
    <w:rsid w:val="006C1257"/>
    <w:rsid w:val="006C2A5E"/>
    <w:rsid w:val="006C333F"/>
    <w:rsid w:val="006C3BCE"/>
    <w:rsid w:val="006C50B7"/>
    <w:rsid w:val="006C7B25"/>
    <w:rsid w:val="006D3E17"/>
    <w:rsid w:val="006E0721"/>
    <w:rsid w:val="006E59FF"/>
    <w:rsid w:val="006F13BD"/>
    <w:rsid w:val="006F54ED"/>
    <w:rsid w:val="006F6979"/>
    <w:rsid w:val="006F725A"/>
    <w:rsid w:val="007010BA"/>
    <w:rsid w:val="00703C94"/>
    <w:rsid w:val="007041DB"/>
    <w:rsid w:val="007044ED"/>
    <w:rsid w:val="00704A41"/>
    <w:rsid w:val="00707B71"/>
    <w:rsid w:val="007100C7"/>
    <w:rsid w:val="00713B4E"/>
    <w:rsid w:val="0071659A"/>
    <w:rsid w:val="00717EE5"/>
    <w:rsid w:val="007263AC"/>
    <w:rsid w:val="00726958"/>
    <w:rsid w:val="007274D0"/>
    <w:rsid w:val="00730E0E"/>
    <w:rsid w:val="00730ECE"/>
    <w:rsid w:val="00731966"/>
    <w:rsid w:val="007324C7"/>
    <w:rsid w:val="0073484A"/>
    <w:rsid w:val="00734F24"/>
    <w:rsid w:val="007359E4"/>
    <w:rsid w:val="007407D6"/>
    <w:rsid w:val="00746B11"/>
    <w:rsid w:val="007472DA"/>
    <w:rsid w:val="00750160"/>
    <w:rsid w:val="00763D78"/>
    <w:rsid w:val="00765A09"/>
    <w:rsid w:val="00766E7F"/>
    <w:rsid w:val="007679C5"/>
    <w:rsid w:val="00770494"/>
    <w:rsid w:val="00776E36"/>
    <w:rsid w:val="00777E9B"/>
    <w:rsid w:val="0078270B"/>
    <w:rsid w:val="00782965"/>
    <w:rsid w:val="00783D8E"/>
    <w:rsid w:val="00784A3E"/>
    <w:rsid w:val="007863A1"/>
    <w:rsid w:val="00786D6D"/>
    <w:rsid w:val="0079174E"/>
    <w:rsid w:val="007940EA"/>
    <w:rsid w:val="007941C1"/>
    <w:rsid w:val="00795259"/>
    <w:rsid w:val="00795E1D"/>
    <w:rsid w:val="007A2429"/>
    <w:rsid w:val="007A4049"/>
    <w:rsid w:val="007A7261"/>
    <w:rsid w:val="007B00B0"/>
    <w:rsid w:val="007B03B7"/>
    <w:rsid w:val="007B24AB"/>
    <w:rsid w:val="007B2FC6"/>
    <w:rsid w:val="007B31A4"/>
    <w:rsid w:val="007B682D"/>
    <w:rsid w:val="007B74DB"/>
    <w:rsid w:val="007C26E3"/>
    <w:rsid w:val="007C4264"/>
    <w:rsid w:val="007D17FE"/>
    <w:rsid w:val="007D2194"/>
    <w:rsid w:val="007D2AD6"/>
    <w:rsid w:val="007E1379"/>
    <w:rsid w:val="007E38BD"/>
    <w:rsid w:val="007E790A"/>
    <w:rsid w:val="007F2B14"/>
    <w:rsid w:val="007F588B"/>
    <w:rsid w:val="007F633D"/>
    <w:rsid w:val="007F70A8"/>
    <w:rsid w:val="00801306"/>
    <w:rsid w:val="008036A1"/>
    <w:rsid w:val="0080523D"/>
    <w:rsid w:val="00807C56"/>
    <w:rsid w:val="00810A81"/>
    <w:rsid w:val="00810FC1"/>
    <w:rsid w:val="00813EC1"/>
    <w:rsid w:val="008178EF"/>
    <w:rsid w:val="008200F8"/>
    <w:rsid w:val="0082383C"/>
    <w:rsid w:val="00824B63"/>
    <w:rsid w:val="00825F9B"/>
    <w:rsid w:val="00830D74"/>
    <w:rsid w:val="008324DD"/>
    <w:rsid w:val="00842FE6"/>
    <w:rsid w:val="00846868"/>
    <w:rsid w:val="00850138"/>
    <w:rsid w:val="008514E7"/>
    <w:rsid w:val="008534DF"/>
    <w:rsid w:val="008538D3"/>
    <w:rsid w:val="00855926"/>
    <w:rsid w:val="00857160"/>
    <w:rsid w:val="00857347"/>
    <w:rsid w:val="00861FFF"/>
    <w:rsid w:val="0086224B"/>
    <w:rsid w:val="00863700"/>
    <w:rsid w:val="00863A64"/>
    <w:rsid w:val="008649D2"/>
    <w:rsid w:val="008670F9"/>
    <w:rsid w:val="0087223E"/>
    <w:rsid w:val="00874A1B"/>
    <w:rsid w:val="00882976"/>
    <w:rsid w:val="00890BB0"/>
    <w:rsid w:val="008910AF"/>
    <w:rsid w:val="0089176E"/>
    <w:rsid w:val="00893717"/>
    <w:rsid w:val="00894733"/>
    <w:rsid w:val="008978CA"/>
    <w:rsid w:val="008A039A"/>
    <w:rsid w:val="008A164F"/>
    <w:rsid w:val="008A175F"/>
    <w:rsid w:val="008A269A"/>
    <w:rsid w:val="008A2C67"/>
    <w:rsid w:val="008A2CC5"/>
    <w:rsid w:val="008A48CB"/>
    <w:rsid w:val="008A4B2A"/>
    <w:rsid w:val="008A52C9"/>
    <w:rsid w:val="008A5688"/>
    <w:rsid w:val="008B537A"/>
    <w:rsid w:val="008B5CCF"/>
    <w:rsid w:val="008C2A1C"/>
    <w:rsid w:val="008C42E2"/>
    <w:rsid w:val="008C43B4"/>
    <w:rsid w:val="008C6D3D"/>
    <w:rsid w:val="008D30A4"/>
    <w:rsid w:val="008D3779"/>
    <w:rsid w:val="008E10B5"/>
    <w:rsid w:val="008E1321"/>
    <w:rsid w:val="008F1D7C"/>
    <w:rsid w:val="008F5702"/>
    <w:rsid w:val="00900438"/>
    <w:rsid w:val="0090405E"/>
    <w:rsid w:val="00906896"/>
    <w:rsid w:val="00907B73"/>
    <w:rsid w:val="009121CB"/>
    <w:rsid w:val="0091360F"/>
    <w:rsid w:val="00913CFC"/>
    <w:rsid w:val="0091411E"/>
    <w:rsid w:val="00915046"/>
    <w:rsid w:val="009217F5"/>
    <w:rsid w:val="00925A8E"/>
    <w:rsid w:val="00930A29"/>
    <w:rsid w:val="00931E60"/>
    <w:rsid w:val="00932648"/>
    <w:rsid w:val="00934545"/>
    <w:rsid w:val="00937720"/>
    <w:rsid w:val="00941A7A"/>
    <w:rsid w:val="00941D19"/>
    <w:rsid w:val="009459EC"/>
    <w:rsid w:val="00947192"/>
    <w:rsid w:val="00957046"/>
    <w:rsid w:val="00957D2A"/>
    <w:rsid w:val="009649B0"/>
    <w:rsid w:val="00970FEC"/>
    <w:rsid w:val="0097150C"/>
    <w:rsid w:val="00973B7F"/>
    <w:rsid w:val="00973F7B"/>
    <w:rsid w:val="009745E0"/>
    <w:rsid w:val="009773CB"/>
    <w:rsid w:val="00981168"/>
    <w:rsid w:val="00983332"/>
    <w:rsid w:val="00986985"/>
    <w:rsid w:val="00991662"/>
    <w:rsid w:val="009934B8"/>
    <w:rsid w:val="00993B25"/>
    <w:rsid w:val="00994DCB"/>
    <w:rsid w:val="00996327"/>
    <w:rsid w:val="00997389"/>
    <w:rsid w:val="00997B7A"/>
    <w:rsid w:val="009A243A"/>
    <w:rsid w:val="009A581D"/>
    <w:rsid w:val="009B2779"/>
    <w:rsid w:val="009B6FD7"/>
    <w:rsid w:val="009B78E5"/>
    <w:rsid w:val="009C1523"/>
    <w:rsid w:val="009C2095"/>
    <w:rsid w:val="009C325C"/>
    <w:rsid w:val="009C7236"/>
    <w:rsid w:val="009D131C"/>
    <w:rsid w:val="009D375A"/>
    <w:rsid w:val="009D5C5B"/>
    <w:rsid w:val="009D6B8F"/>
    <w:rsid w:val="009E5426"/>
    <w:rsid w:val="009E7979"/>
    <w:rsid w:val="009F515F"/>
    <w:rsid w:val="009F5B05"/>
    <w:rsid w:val="00A00A73"/>
    <w:rsid w:val="00A02BC9"/>
    <w:rsid w:val="00A02F6D"/>
    <w:rsid w:val="00A04FB1"/>
    <w:rsid w:val="00A059B6"/>
    <w:rsid w:val="00A06C46"/>
    <w:rsid w:val="00A10B53"/>
    <w:rsid w:val="00A15948"/>
    <w:rsid w:val="00A161C6"/>
    <w:rsid w:val="00A171D0"/>
    <w:rsid w:val="00A20163"/>
    <w:rsid w:val="00A30953"/>
    <w:rsid w:val="00A31448"/>
    <w:rsid w:val="00A335E6"/>
    <w:rsid w:val="00A35DAB"/>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81AEA"/>
    <w:rsid w:val="00A84255"/>
    <w:rsid w:val="00A90598"/>
    <w:rsid w:val="00A905DD"/>
    <w:rsid w:val="00A905F2"/>
    <w:rsid w:val="00A9501D"/>
    <w:rsid w:val="00A972F0"/>
    <w:rsid w:val="00AA1ABB"/>
    <w:rsid w:val="00AA72A6"/>
    <w:rsid w:val="00AB6BD1"/>
    <w:rsid w:val="00AC054F"/>
    <w:rsid w:val="00AC0A54"/>
    <w:rsid w:val="00AC0A76"/>
    <w:rsid w:val="00AC246B"/>
    <w:rsid w:val="00AC2571"/>
    <w:rsid w:val="00AC5C3D"/>
    <w:rsid w:val="00AD2B44"/>
    <w:rsid w:val="00AD7376"/>
    <w:rsid w:val="00AE112D"/>
    <w:rsid w:val="00AE17E5"/>
    <w:rsid w:val="00AE2DE4"/>
    <w:rsid w:val="00AE2EB5"/>
    <w:rsid w:val="00AE32E4"/>
    <w:rsid w:val="00AE7D78"/>
    <w:rsid w:val="00AF04AE"/>
    <w:rsid w:val="00AF119B"/>
    <w:rsid w:val="00AF1BBF"/>
    <w:rsid w:val="00AF7F46"/>
    <w:rsid w:val="00B01440"/>
    <w:rsid w:val="00B01627"/>
    <w:rsid w:val="00B037AA"/>
    <w:rsid w:val="00B059A9"/>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782"/>
    <w:rsid w:val="00B610D6"/>
    <w:rsid w:val="00B646E9"/>
    <w:rsid w:val="00B65111"/>
    <w:rsid w:val="00B703CB"/>
    <w:rsid w:val="00B7062B"/>
    <w:rsid w:val="00B70DD7"/>
    <w:rsid w:val="00B71173"/>
    <w:rsid w:val="00B71944"/>
    <w:rsid w:val="00B739D6"/>
    <w:rsid w:val="00B73D00"/>
    <w:rsid w:val="00B81E9C"/>
    <w:rsid w:val="00B82891"/>
    <w:rsid w:val="00B83095"/>
    <w:rsid w:val="00B83FDE"/>
    <w:rsid w:val="00B85A4D"/>
    <w:rsid w:val="00B86650"/>
    <w:rsid w:val="00B86B01"/>
    <w:rsid w:val="00B904D1"/>
    <w:rsid w:val="00B93E7E"/>
    <w:rsid w:val="00B94094"/>
    <w:rsid w:val="00B94670"/>
    <w:rsid w:val="00B94B12"/>
    <w:rsid w:val="00B96077"/>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487C"/>
    <w:rsid w:val="00BC5C28"/>
    <w:rsid w:val="00BD1E2B"/>
    <w:rsid w:val="00BD3FD1"/>
    <w:rsid w:val="00BD3FFD"/>
    <w:rsid w:val="00BD6D38"/>
    <w:rsid w:val="00BE6D67"/>
    <w:rsid w:val="00BE748E"/>
    <w:rsid w:val="00BF2B8D"/>
    <w:rsid w:val="00BF2B9D"/>
    <w:rsid w:val="00BF423A"/>
    <w:rsid w:val="00BF51E3"/>
    <w:rsid w:val="00C03F21"/>
    <w:rsid w:val="00C056CF"/>
    <w:rsid w:val="00C05AD6"/>
    <w:rsid w:val="00C078BA"/>
    <w:rsid w:val="00C079E3"/>
    <w:rsid w:val="00C106B2"/>
    <w:rsid w:val="00C11A47"/>
    <w:rsid w:val="00C13567"/>
    <w:rsid w:val="00C13CED"/>
    <w:rsid w:val="00C14A41"/>
    <w:rsid w:val="00C15093"/>
    <w:rsid w:val="00C244A4"/>
    <w:rsid w:val="00C253FF"/>
    <w:rsid w:val="00C262ED"/>
    <w:rsid w:val="00C32259"/>
    <w:rsid w:val="00C34152"/>
    <w:rsid w:val="00C3535E"/>
    <w:rsid w:val="00C35964"/>
    <w:rsid w:val="00C412BC"/>
    <w:rsid w:val="00C41FE6"/>
    <w:rsid w:val="00C435D3"/>
    <w:rsid w:val="00C44043"/>
    <w:rsid w:val="00C510CD"/>
    <w:rsid w:val="00C53AE5"/>
    <w:rsid w:val="00C579B6"/>
    <w:rsid w:val="00C60014"/>
    <w:rsid w:val="00C61559"/>
    <w:rsid w:val="00C62643"/>
    <w:rsid w:val="00C63119"/>
    <w:rsid w:val="00C64459"/>
    <w:rsid w:val="00C6783F"/>
    <w:rsid w:val="00C67C5B"/>
    <w:rsid w:val="00C76AD1"/>
    <w:rsid w:val="00C81F14"/>
    <w:rsid w:val="00C81F56"/>
    <w:rsid w:val="00C85C5A"/>
    <w:rsid w:val="00C86176"/>
    <w:rsid w:val="00C87D37"/>
    <w:rsid w:val="00C933FA"/>
    <w:rsid w:val="00C967B7"/>
    <w:rsid w:val="00CA3C00"/>
    <w:rsid w:val="00CA4F7F"/>
    <w:rsid w:val="00CA5C79"/>
    <w:rsid w:val="00CA74E3"/>
    <w:rsid w:val="00CB685D"/>
    <w:rsid w:val="00CC0288"/>
    <w:rsid w:val="00CC0C9F"/>
    <w:rsid w:val="00CC25D8"/>
    <w:rsid w:val="00CC319D"/>
    <w:rsid w:val="00CC42AC"/>
    <w:rsid w:val="00CC42E5"/>
    <w:rsid w:val="00CC7556"/>
    <w:rsid w:val="00CD1104"/>
    <w:rsid w:val="00CD531B"/>
    <w:rsid w:val="00CD5C32"/>
    <w:rsid w:val="00CE0290"/>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3D58"/>
    <w:rsid w:val="00D14947"/>
    <w:rsid w:val="00D161E7"/>
    <w:rsid w:val="00D16819"/>
    <w:rsid w:val="00D1721C"/>
    <w:rsid w:val="00D241B3"/>
    <w:rsid w:val="00D24D44"/>
    <w:rsid w:val="00D262E8"/>
    <w:rsid w:val="00D2663F"/>
    <w:rsid w:val="00D2699F"/>
    <w:rsid w:val="00D26FCF"/>
    <w:rsid w:val="00D3481C"/>
    <w:rsid w:val="00D34E34"/>
    <w:rsid w:val="00D362E8"/>
    <w:rsid w:val="00D372D9"/>
    <w:rsid w:val="00D37908"/>
    <w:rsid w:val="00D40CFB"/>
    <w:rsid w:val="00D50A4E"/>
    <w:rsid w:val="00D5186D"/>
    <w:rsid w:val="00D519CE"/>
    <w:rsid w:val="00D55D26"/>
    <w:rsid w:val="00D56C87"/>
    <w:rsid w:val="00D621AA"/>
    <w:rsid w:val="00D635E6"/>
    <w:rsid w:val="00D64C81"/>
    <w:rsid w:val="00D64D38"/>
    <w:rsid w:val="00D65A5E"/>
    <w:rsid w:val="00D752BE"/>
    <w:rsid w:val="00D807B7"/>
    <w:rsid w:val="00D80C5A"/>
    <w:rsid w:val="00D82F90"/>
    <w:rsid w:val="00D85A89"/>
    <w:rsid w:val="00D86546"/>
    <w:rsid w:val="00D876CD"/>
    <w:rsid w:val="00D87F0E"/>
    <w:rsid w:val="00D90133"/>
    <w:rsid w:val="00D9100B"/>
    <w:rsid w:val="00D91F51"/>
    <w:rsid w:val="00D91F5D"/>
    <w:rsid w:val="00D936B8"/>
    <w:rsid w:val="00D937E2"/>
    <w:rsid w:val="00D9531B"/>
    <w:rsid w:val="00D976C8"/>
    <w:rsid w:val="00DA3A60"/>
    <w:rsid w:val="00DA6873"/>
    <w:rsid w:val="00DA690C"/>
    <w:rsid w:val="00DA780C"/>
    <w:rsid w:val="00DB047B"/>
    <w:rsid w:val="00DB069D"/>
    <w:rsid w:val="00DC00C0"/>
    <w:rsid w:val="00DC3595"/>
    <w:rsid w:val="00DC4D31"/>
    <w:rsid w:val="00DC797E"/>
    <w:rsid w:val="00DD03A8"/>
    <w:rsid w:val="00DD21AB"/>
    <w:rsid w:val="00DD4A50"/>
    <w:rsid w:val="00DD5815"/>
    <w:rsid w:val="00DD7B26"/>
    <w:rsid w:val="00DE1C14"/>
    <w:rsid w:val="00DE407D"/>
    <w:rsid w:val="00DE71EF"/>
    <w:rsid w:val="00DF1697"/>
    <w:rsid w:val="00DF189A"/>
    <w:rsid w:val="00DF2B39"/>
    <w:rsid w:val="00DF2F9A"/>
    <w:rsid w:val="00DF37D2"/>
    <w:rsid w:val="00DF3AB5"/>
    <w:rsid w:val="00E02459"/>
    <w:rsid w:val="00E05B49"/>
    <w:rsid w:val="00E10179"/>
    <w:rsid w:val="00E12FA8"/>
    <w:rsid w:val="00E16272"/>
    <w:rsid w:val="00E16561"/>
    <w:rsid w:val="00E17831"/>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80325"/>
    <w:rsid w:val="00E809FB"/>
    <w:rsid w:val="00E81C9B"/>
    <w:rsid w:val="00E8336C"/>
    <w:rsid w:val="00E83CDC"/>
    <w:rsid w:val="00E83DB3"/>
    <w:rsid w:val="00E84330"/>
    <w:rsid w:val="00E91F38"/>
    <w:rsid w:val="00E93526"/>
    <w:rsid w:val="00E943F6"/>
    <w:rsid w:val="00E94A8A"/>
    <w:rsid w:val="00EA26B3"/>
    <w:rsid w:val="00EA3FA5"/>
    <w:rsid w:val="00EB155B"/>
    <w:rsid w:val="00EB203F"/>
    <w:rsid w:val="00EB2652"/>
    <w:rsid w:val="00EB5946"/>
    <w:rsid w:val="00EB7413"/>
    <w:rsid w:val="00EC0AA9"/>
    <w:rsid w:val="00EC5DD0"/>
    <w:rsid w:val="00EC63E2"/>
    <w:rsid w:val="00EC7CA4"/>
    <w:rsid w:val="00EE3A81"/>
    <w:rsid w:val="00EE673C"/>
    <w:rsid w:val="00EF1B80"/>
    <w:rsid w:val="00EF2B5F"/>
    <w:rsid w:val="00EF46B3"/>
    <w:rsid w:val="00F118AB"/>
    <w:rsid w:val="00F13EEC"/>
    <w:rsid w:val="00F14169"/>
    <w:rsid w:val="00F165AC"/>
    <w:rsid w:val="00F175C3"/>
    <w:rsid w:val="00F24761"/>
    <w:rsid w:val="00F260CC"/>
    <w:rsid w:val="00F27E1D"/>
    <w:rsid w:val="00F30362"/>
    <w:rsid w:val="00F40F4E"/>
    <w:rsid w:val="00F418DC"/>
    <w:rsid w:val="00F426A3"/>
    <w:rsid w:val="00F429EF"/>
    <w:rsid w:val="00F43EC3"/>
    <w:rsid w:val="00F44D32"/>
    <w:rsid w:val="00F46C4E"/>
    <w:rsid w:val="00F477BB"/>
    <w:rsid w:val="00F51024"/>
    <w:rsid w:val="00F546BD"/>
    <w:rsid w:val="00F55500"/>
    <w:rsid w:val="00F57DF9"/>
    <w:rsid w:val="00F60F4D"/>
    <w:rsid w:val="00F6192D"/>
    <w:rsid w:val="00F71DCA"/>
    <w:rsid w:val="00F80B79"/>
    <w:rsid w:val="00F81A94"/>
    <w:rsid w:val="00F8313D"/>
    <w:rsid w:val="00F83AB3"/>
    <w:rsid w:val="00F853F2"/>
    <w:rsid w:val="00F85532"/>
    <w:rsid w:val="00F8624C"/>
    <w:rsid w:val="00F8690F"/>
    <w:rsid w:val="00F90978"/>
    <w:rsid w:val="00F939DB"/>
    <w:rsid w:val="00F96749"/>
    <w:rsid w:val="00F96C6B"/>
    <w:rsid w:val="00F9758D"/>
    <w:rsid w:val="00FA12D2"/>
    <w:rsid w:val="00FA1CE2"/>
    <w:rsid w:val="00FB3D7D"/>
    <w:rsid w:val="00FB58E0"/>
    <w:rsid w:val="00FC5F11"/>
    <w:rsid w:val="00FC7E03"/>
    <w:rsid w:val="00FD2453"/>
    <w:rsid w:val="00FE427A"/>
    <w:rsid w:val="00FE6543"/>
    <w:rsid w:val="00FE6B85"/>
    <w:rsid w:val="00FE7E72"/>
    <w:rsid w:val="00FF32B0"/>
    <w:rsid w:val="00FF3D3B"/>
    <w:rsid w:val="00FF5383"/>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BCA478B"/>
  <w15:docId w15:val="{5C847B9F-CE48-4F75-B090-3E2979DE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misc/bd_revenue_publication_history_111518.docx" TargetMode="External"/><Relationship Id="rId18" Type="http://schemas.openxmlformats.org/officeDocument/2006/relationships/hyperlink" Target="https://www.naesb.org/misc/revenue031219w2.docx" TargetMode="External"/><Relationship Id="rId26" Type="http://schemas.openxmlformats.org/officeDocument/2006/relationships/hyperlink" Target="https://www.naesb.org/pdf4/wgq_jurisdictional_entities_without_recorded_access.pdf" TargetMode="External"/><Relationship Id="rId3" Type="http://schemas.openxmlformats.org/officeDocument/2006/relationships/styles" Target="styles.xml"/><Relationship Id="rId21" Type="http://schemas.openxmlformats.org/officeDocument/2006/relationships/hyperlink" Target="https://www.naesb.org/misc/membership_report_123118.docx" TargetMode="External"/><Relationship Id="rId7" Type="http://schemas.openxmlformats.org/officeDocument/2006/relationships/endnotes" Target="endnotes.xml"/><Relationship Id="rId12" Type="http://schemas.openxmlformats.org/officeDocument/2006/relationships/hyperlink" Target="https://www.naesb.org/pdf4/naesb_communications_strategy.pdf" TargetMode="External"/><Relationship Id="rId17" Type="http://schemas.openxmlformats.org/officeDocument/2006/relationships/hyperlink" Target="https://www.naesb.org/misc/revenue031219w1.docx" TargetMode="External"/><Relationship Id="rId25" Type="http://schemas.openxmlformats.org/officeDocument/2006/relationships/hyperlink" Target="https://www.naesb.org/pdf4/weq_jurisdictional_entities_without_recorded_acces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misc/retail_publication_schedule_ver3_3.doc%20" TargetMode="External"/><Relationship Id="rId20" Type="http://schemas.openxmlformats.org/officeDocument/2006/relationships/hyperlink" Target="https://www.naesb.org/misc/revenue031219w3.docx" TargetMode="External"/><Relationship Id="rId29" Type="http://schemas.openxmlformats.org/officeDocument/2006/relationships/hyperlink" Target="https://www.naesb.org/misc/retail_structure_review_committee_update_0304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_revenue111518notes.docx" TargetMode="External"/><Relationship Id="rId24" Type="http://schemas.openxmlformats.org/officeDocument/2006/relationships/hyperlink" Target="https://www.naesb.org/misc/member_prospect_list_123118.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esb.org/misc/weq_publication_schedule_ver3_3.doc" TargetMode="External"/><Relationship Id="rId23" Type="http://schemas.openxmlformats.org/officeDocument/2006/relationships/hyperlink" Target="https://www.naesb.org/pdf4/ec_terms.pdf" TargetMode="External"/><Relationship Id="rId28" Type="http://schemas.openxmlformats.org/officeDocument/2006/relationships/hyperlink" Target="https://naesb.org//pdf4/update022719w4.docx" TargetMode="External"/><Relationship Id="rId10" Type="http://schemas.openxmlformats.org/officeDocument/2006/relationships/hyperlink" Target="https://www.naesb.org/pdf4/bd_revenue031219a.docx" TargetMode="External"/><Relationship Id="rId19" Type="http://schemas.openxmlformats.org/officeDocument/2006/relationships/hyperlink" Target="https://www.naesb.org/misc/revenue031219w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esb.org/pdf4/board_revenue_committee_members.pdf" TargetMode="External"/><Relationship Id="rId14" Type="http://schemas.openxmlformats.org/officeDocument/2006/relationships/hyperlink" Target="http://www.naesb.org/misc/wgq_publication_schedule_ver3_2.doc" TargetMode="External"/><Relationship Id="rId22" Type="http://schemas.openxmlformats.org/officeDocument/2006/relationships/hyperlink" Target="https://www.naesb.org/pdf4/bod_terms.pdf" TargetMode="External"/><Relationship Id="rId27" Type="http://schemas.openxmlformats.org/officeDocument/2006/relationships/hyperlink" Target="https://www.naesb.org/pdf4/bd_revenue031418notes.doc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3CF4-7747-4B25-9489-2059668F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2016-04-25T15:56:00Z</cp:lastPrinted>
  <dcterms:created xsi:type="dcterms:W3CDTF">2019-03-28T18:46:00Z</dcterms:created>
  <dcterms:modified xsi:type="dcterms:W3CDTF">2019-03-28T18:46:00Z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