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0C96" w14:textId="5BD58A62" w:rsidR="00272361" w:rsidRDefault="00272361" w:rsidP="00EA5AEA">
      <w:pPr>
        <w:pStyle w:val="ListParagraph"/>
        <w:keepNext/>
        <w:numPr>
          <w:ilvl w:val="0"/>
          <w:numId w:val="4"/>
        </w:numPr>
        <w:autoSpaceDE w:val="0"/>
        <w:autoSpaceDN w:val="0"/>
        <w:adjustRightInd w:val="0"/>
        <w:spacing w:after="120" w:line="360" w:lineRule="auto"/>
        <w:contextualSpacing w:val="0"/>
        <w:jc w:val="both"/>
        <w:rPr>
          <w:b/>
          <w:smallCaps/>
        </w:rPr>
      </w:pPr>
      <w:r w:rsidRPr="00272361">
        <w:rPr>
          <w:b/>
          <w:smallCaps/>
        </w:rPr>
        <w:t>Areas of Investigation</w:t>
      </w:r>
    </w:p>
    <w:p w14:paraId="6F6CB66F" w14:textId="1F3AE519" w:rsidR="003A30E1" w:rsidRDefault="003A30E1" w:rsidP="0069037E">
      <w:pPr>
        <w:autoSpaceDE w:val="0"/>
        <w:autoSpaceDN w:val="0"/>
        <w:adjustRightInd w:val="0"/>
        <w:spacing w:before="120" w:after="120" w:line="360" w:lineRule="auto"/>
        <w:ind w:left="720"/>
        <w:jc w:val="both"/>
        <w:rPr>
          <w:i/>
        </w:rPr>
      </w:pPr>
      <w:r w:rsidRPr="00715B1C">
        <w:rPr>
          <w:i/>
          <w:highlight w:val="lightGray"/>
        </w:rPr>
        <w:t xml:space="preserve">This section would identify and describe areas that we reviewed.  If there are areas that are self-evident to the scope of a digital committee that we did not review, then we should say </w:t>
      </w:r>
      <w:r w:rsidR="00335562" w:rsidRPr="00715B1C">
        <w:rPr>
          <w:i/>
          <w:highlight w:val="lightGray"/>
        </w:rPr>
        <w:t>why we did not review those areas</w:t>
      </w:r>
      <w:r w:rsidRPr="00715B1C">
        <w:rPr>
          <w:i/>
          <w:highlight w:val="lightGray"/>
        </w:rPr>
        <w:t>.  If there are areas that are premature for our review now, but may be pertinent later, we should describe those.</w:t>
      </w:r>
    </w:p>
    <w:p w14:paraId="0120D8F8" w14:textId="0EB3213C" w:rsidR="00602DF3" w:rsidRPr="00602DF3" w:rsidRDefault="00602DF3" w:rsidP="00602DF3">
      <w:pPr>
        <w:autoSpaceDE w:val="0"/>
        <w:autoSpaceDN w:val="0"/>
        <w:adjustRightInd w:val="0"/>
        <w:spacing w:before="120" w:after="120" w:line="360" w:lineRule="auto"/>
        <w:ind w:left="720"/>
        <w:jc w:val="both"/>
        <w:rPr>
          <w:b/>
          <w:bCs/>
          <w:iCs/>
          <w:u w:val="single"/>
        </w:rPr>
      </w:pPr>
      <w:r w:rsidRPr="00602DF3">
        <w:rPr>
          <w:b/>
          <w:bCs/>
          <w:iCs/>
          <w:u w:val="single"/>
        </w:rPr>
        <w:t>Introduction</w:t>
      </w:r>
    </w:p>
    <w:p w14:paraId="3173B72F" w14:textId="7FF55091" w:rsidR="00B7032A" w:rsidRDefault="00B7032A" w:rsidP="00B7032A">
      <w:pPr>
        <w:pStyle w:val="ListParagraph"/>
        <w:numPr>
          <w:ilvl w:val="0"/>
          <w:numId w:val="12"/>
        </w:numPr>
        <w:autoSpaceDE w:val="0"/>
        <w:autoSpaceDN w:val="0"/>
        <w:adjustRightInd w:val="0"/>
        <w:spacing w:before="120" w:after="120" w:line="360" w:lineRule="auto"/>
        <w:jc w:val="both"/>
        <w:rPr>
          <w:iCs/>
        </w:rPr>
      </w:pPr>
      <w:r>
        <w:rPr>
          <w:iCs/>
        </w:rPr>
        <w:t>Define “Digitalization” in greater detail</w:t>
      </w:r>
    </w:p>
    <w:p w14:paraId="33937E0D" w14:textId="4A7E892E" w:rsidR="00B7032A" w:rsidRDefault="00B7032A" w:rsidP="00491445">
      <w:pPr>
        <w:pStyle w:val="ListParagraph"/>
        <w:numPr>
          <w:ilvl w:val="1"/>
          <w:numId w:val="17"/>
        </w:numPr>
        <w:autoSpaceDE w:val="0"/>
        <w:autoSpaceDN w:val="0"/>
        <w:adjustRightInd w:val="0"/>
        <w:spacing w:before="120" w:after="120" w:line="360" w:lineRule="auto"/>
        <w:jc w:val="both"/>
        <w:rPr>
          <w:iCs/>
        </w:rPr>
      </w:pPr>
      <w:r>
        <w:rPr>
          <w:iCs/>
        </w:rPr>
        <w:t xml:space="preserve">Broad Definition by Gartner’s: </w:t>
      </w:r>
      <w:r w:rsidRPr="00B7032A">
        <w:rPr>
          <w:iCs/>
        </w:rPr>
        <w:t>Digitalization is the use of digital technologies to change a business model and provide new revenue and value-producing opportunities; it is the process of moving to a digital business</w:t>
      </w:r>
    </w:p>
    <w:p w14:paraId="12AF1D12" w14:textId="381ABFC2" w:rsidR="00B7032A" w:rsidRPr="006D720D" w:rsidRDefault="00B7032A" w:rsidP="00491445">
      <w:pPr>
        <w:pStyle w:val="ListParagraph"/>
        <w:numPr>
          <w:ilvl w:val="1"/>
          <w:numId w:val="17"/>
        </w:numPr>
        <w:autoSpaceDE w:val="0"/>
        <w:autoSpaceDN w:val="0"/>
        <w:adjustRightInd w:val="0"/>
        <w:spacing w:before="120" w:after="120" w:line="360" w:lineRule="auto"/>
        <w:jc w:val="both"/>
        <w:rPr>
          <w:iCs/>
        </w:rPr>
      </w:pPr>
      <w:r>
        <w:rPr>
          <w:iCs/>
        </w:rPr>
        <w:t xml:space="preserve">Energy Specific Definition by International Energy Agency: </w:t>
      </w:r>
      <w:r>
        <w:rPr>
          <w:bCs/>
        </w:rPr>
        <w:t xml:space="preserve">Digitalization describes the growing application of information and communications technology across the economy, including energy systems, that has resulted from an increased amount of data available due to declining costs of data storage, greater progress in advanced analytics of data, such as machine learning and greater connectivity with faster and cheaper data transmission.  </w:t>
      </w:r>
    </w:p>
    <w:p w14:paraId="753B413A" w14:textId="72602D4F" w:rsidR="006D720D" w:rsidRPr="006D720D" w:rsidRDefault="006D720D" w:rsidP="006D720D">
      <w:pPr>
        <w:pStyle w:val="ListParagraph"/>
        <w:numPr>
          <w:ilvl w:val="0"/>
          <w:numId w:val="12"/>
        </w:numPr>
        <w:autoSpaceDE w:val="0"/>
        <w:autoSpaceDN w:val="0"/>
        <w:adjustRightInd w:val="0"/>
        <w:spacing w:before="120" w:after="120" w:line="360" w:lineRule="auto"/>
        <w:jc w:val="both"/>
        <w:rPr>
          <w:iCs/>
        </w:rPr>
      </w:pPr>
      <w:r>
        <w:rPr>
          <w:bCs/>
        </w:rPr>
        <w:t>Describe the benefits on a global scale and specific to the energy industry as provided in other reports concerning “digitalization”</w:t>
      </w:r>
    </w:p>
    <w:p w14:paraId="79321CF4" w14:textId="03C5F1AF" w:rsidR="006D720D" w:rsidRPr="00B7032A" w:rsidRDefault="006D720D" w:rsidP="006D720D">
      <w:pPr>
        <w:pStyle w:val="ListParagraph"/>
        <w:numPr>
          <w:ilvl w:val="0"/>
          <w:numId w:val="12"/>
        </w:numPr>
        <w:autoSpaceDE w:val="0"/>
        <w:autoSpaceDN w:val="0"/>
        <w:adjustRightInd w:val="0"/>
        <w:spacing w:before="120" w:after="120" w:line="360" w:lineRule="auto"/>
        <w:jc w:val="both"/>
        <w:rPr>
          <w:iCs/>
        </w:rPr>
      </w:pPr>
      <w:r>
        <w:rPr>
          <w:bCs/>
        </w:rPr>
        <w:t>Describe current investment</w:t>
      </w:r>
      <w:r w:rsidR="00715B1C">
        <w:rPr>
          <w:bCs/>
        </w:rPr>
        <w:t xml:space="preserve"> areas and</w:t>
      </w:r>
      <w:r>
        <w:rPr>
          <w:bCs/>
        </w:rPr>
        <w:t xml:space="preserve"> estimates on a global scale and specific to the energy industry as provided in other reports concerning “digitalization”</w:t>
      </w:r>
    </w:p>
    <w:p w14:paraId="03271AC2" w14:textId="2F2FA863" w:rsidR="007335FE" w:rsidRPr="00715B1C" w:rsidRDefault="007335FE" w:rsidP="0069037E">
      <w:pPr>
        <w:autoSpaceDE w:val="0"/>
        <w:autoSpaceDN w:val="0"/>
        <w:adjustRightInd w:val="0"/>
        <w:spacing w:before="120" w:after="120" w:line="360" w:lineRule="auto"/>
        <w:ind w:left="720"/>
        <w:jc w:val="both"/>
        <w:rPr>
          <w:i/>
          <w:highlight w:val="lightGray"/>
        </w:rPr>
      </w:pPr>
      <w:r w:rsidRPr="00715B1C">
        <w:rPr>
          <w:i/>
          <w:highlight w:val="lightGray"/>
        </w:rPr>
        <w:t>To date we have identified 11 areas</w:t>
      </w:r>
      <w:r w:rsidR="00CF6EF6" w:rsidRPr="00715B1C">
        <w:rPr>
          <w:i/>
          <w:highlight w:val="lightGray"/>
        </w:rPr>
        <w:t>:</w:t>
      </w:r>
    </w:p>
    <w:p w14:paraId="5EC9848C" w14:textId="4B4A7485" w:rsidR="007335FE"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Distributed ledger technology (some standards efforts already underway at NAESB)</w:t>
      </w:r>
    </w:p>
    <w:p w14:paraId="0264F4ED" w14:textId="0A19A5B1" w:rsidR="00491445" w:rsidRPr="00491445" w:rsidRDefault="00491445" w:rsidP="00A06253">
      <w:pPr>
        <w:autoSpaceDE w:val="0"/>
        <w:autoSpaceDN w:val="0"/>
        <w:adjustRightInd w:val="0"/>
        <w:spacing w:before="120" w:after="120" w:line="360" w:lineRule="auto"/>
        <w:ind w:left="720"/>
        <w:jc w:val="both"/>
        <w:rPr>
          <w:i/>
          <w:highlight w:val="lightGray"/>
        </w:rPr>
      </w:pPr>
      <w:r w:rsidRPr="00A06253">
        <w:rPr>
          <w:i/>
          <w:highlight w:val="lightGray"/>
        </w:rPr>
        <w:t>As a basic definition provided by the World Bank, d</w:t>
      </w:r>
      <w:r w:rsidRPr="00A06253">
        <w:rPr>
          <w:i/>
          <w:highlight w:val="lightGray"/>
        </w:rPr>
        <w:t>istributed ledgers use independent computers (referred to as nodes) to record, share and synchronize transactions in their respective electronic ledgers (instead of keeping data centralized as in a traditional ledger).</w:t>
      </w:r>
      <w:r w:rsidR="00A06253">
        <w:rPr>
          <w:i/>
          <w:highlight w:val="lightGray"/>
        </w:rPr>
        <w:t xml:space="preserve">  As applied to the energy industry</w:t>
      </w:r>
      <w:r w:rsidR="00515421">
        <w:rPr>
          <w:i/>
          <w:highlight w:val="lightGray"/>
        </w:rPr>
        <w:t>, NAESB is currently work on smart contracts for natural gas and has other requests for standards development underway,</w:t>
      </w:r>
      <w:bookmarkStart w:id="0" w:name="_GoBack"/>
      <w:bookmarkEnd w:id="0"/>
    </w:p>
    <w:p w14:paraId="73EEEA1D" w14:textId="70FF3647" w:rsidR="007335FE"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Cybersecurity – very broad and pervasive throughout all areas</w:t>
      </w:r>
    </w:p>
    <w:p w14:paraId="09D23749" w14:textId="4CC8EC89" w:rsidR="00491445" w:rsidRPr="00491445" w:rsidRDefault="00491445" w:rsidP="00515421">
      <w:pPr>
        <w:autoSpaceDE w:val="0"/>
        <w:autoSpaceDN w:val="0"/>
        <w:adjustRightInd w:val="0"/>
        <w:spacing w:before="120" w:after="120" w:line="360" w:lineRule="auto"/>
        <w:ind w:left="720"/>
        <w:jc w:val="both"/>
        <w:rPr>
          <w:i/>
          <w:highlight w:val="lightGray"/>
        </w:rPr>
      </w:pPr>
      <w:r>
        <w:rPr>
          <w:i/>
          <w:highlight w:val="lightGray"/>
        </w:rPr>
        <w:t xml:space="preserve">From NAESB’s and GISB’s inception, we have been addressing standards development to support market needs </w:t>
      </w:r>
      <w:r w:rsidR="00A06253">
        <w:rPr>
          <w:i/>
          <w:highlight w:val="lightGray"/>
        </w:rPr>
        <w:t>for</w:t>
      </w:r>
      <w:r w:rsidR="00515421">
        <w:rPr>
          <w:i/>
          <w:highlight w:val="lightGray"/>
        </w:rPr>
        <w:t xml:space="preserve"> protection of electronic transactions, including the application of PGP and PKI.</w:t>
      </w:r>
      <w:r w:rsidR="00A06253">
        <w:rPr>
          <w:i/>
          <w:highlight w:val="lightGray"/>
        </w:rPr>
        <w:t xml:space="preserve"> </w:t>
      </w:r>
    </w:p>
    <w:p w14:paraId="2F985305"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Cloud computing –hosting, data processing, data transit and data storage requirements</w:t>
      </w:r>
    </w:p>
    <w:p w14:paraId="01B5C3A8"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 xml:space="preserve">Deployable Shareware </w:t>
      </w:r>
    </w:p>
    <w:p w14:paraId="351FB988"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lastRenderedPageBreak/>
        <w:t>5G Technologies and Implementation</w:t>
      </w:r>
    </w:p>
    <w:p w14:paraId="1D1D6469" w14:textId="0F2FB7CC"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Energy Usage Data – how it is managed, provided and the privacy issues that are necessarily to be addressed</w:t>
      </w:r>
    </w:p>
    <w:p w14:paraId="0BA1DE00"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Data Governance Requirements – Everything may be in this grouping</w:t>
      </w:r>
    </w:p>
    <w:p w14:paraId="5BCE4EE9"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Distributed Energy Resources – focused on communication protocols</w:t>
      </w:r>
    </w:p>
    <w:p w14:paraId="14B6213B"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Renewable energy certificate/credit tracking and related data.</w:t>
      </w:r>
    </w:p>
    <w:p w14:paraId="2A258D15" w14:textId="77777777"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Internet of Things - needs boundaries – very broad</w:t>
      </w:r>
    </w:p>
    <w:p w14:paraId="7DA21E64" w14:textId="67C1727F" w:rsidR="007335FE" w:rsidRPr="00715B1C" w:rsidRDefault="007335FE" w:rsidP="005D1990">
      <w:pPr>
        <w:pStyle w:val="ListParagraph"/>
        <w:numPr>
          <w:ilvl w:val="0"/>
          <w:numId w:val="7"/>
        </w:numPr>
        <w:autoSpaceDE w:val="0"/>
        <w:autoSpaceDN w:val="0"/>
        <w:adjustRightInd w:val="0"/>
        <w:spacing w:before="120" w:after="120" w:line="360" w:lineRule="auto"/>
        <w:ind w:left="1080"/>
        <w:jc w:val="both"/>
        <w:rPr>
          <w:i/>
          <w:highlight w:val="lightGray"/>
        </w:rPr>
      </w:pPr>
      <w:r w:rsidRPr="00715B1C">
        <w:rPr>
          <w:i/>
          <w:highlight w:val="lightGray"/>
        </w:rPr>
        <w:t xml:space="preserve">Data analytics </w:t>
      </w:r>
    </w:p>
    <w:p w14:paraId="37AAB2C1" w14:textId="27E97EC2" w:rsidR="00715B1C" w:rsidRPr="00602DF3" w:rsidRDefault="00602DF3" w:rsidP="0069037E">
      <w:pPr>
        <w:spacing w:line="360" w:lineRule="auto"/>
        <w:ind w:left="720"/>
        <w:rPr>
          <w:b/>
          <w:bCs/>
          <w:u w:val="single"/>
        </w:rPr>
      </w:pPr>
      <w:r w:rsidRPr="00602DF3">
        <w:rPr>
          <w:b/>
          <w:bCs/>
          <w:u w:val="single"/>
        </w:rPr>
        <w:t>Areas of Evaluation</w:t>
      </w:r>
    </w:p>
    <w:p w14:paraId="55864259" w14:textId="77777777" w:rsidR="00602DF3" w:rsidRPr="00602DF3" w:rsidRDefault="00602DF3" w:rsidP="00715B1C">
      <w:pPr>
        <w:pStyle w:val="ListParagraph"/>
        <w:numPr>
          <w:ilvl w:val="0"/>
          <w:numId w:val="13"/>
        </w:numPr>
        <w:spacing w:line="360" w:lineRule="auto"/>
        <w:rPr>
          <w:i/>
          <w:iCs/>
        </w:rPr>
      </w:pPr>
      <w:r>
        <w:t>Provide a high-level d</w:t>
      </w:r>
      <w:r w:rsidR="00715B1C">
        <w:t>escri</w:t>
      </w:r>
      <w:r>
        <w:t>ption of the</w:t>
      </w:r>
      <w:r w:rsidR="00715B1C">
        <w:t xml:space="preserve"> 11 areas identified </w:t>
      </w:r>
      <w:r w:rsidR="00715B1C" w:rsidRPr="00715B1C">
        <w:t xml:space="preserve">by the Committee </w:t>
      </w:r>
      <w:r>
        <w:t xml:space="preserve">and </w:t>
      </w:r>
      <w:r w:rsidR="00715B1C" w:rsidRPr="00715B1C">
        <w:t xml:space="preserve">included in the report.  </w:t>
      </w:r>
    </w:p>
    <w:p w14:paraId="07FC9539" w14:textId="77777777" w:rsidR="00602DF3" w:rsidRPr="00602DF3" w:rsidRDefault="00602DF3" w:rsidP="00715B1C">
      <w:pPr>
        <w:pStyle w:val="ListParagraph"/>
        <w:numPr>
          <w:ilvl w:val="0"/>
          <w:numId w:val="13"/>
        </w:numPr>
        <w:spacing w:line="360" w:lineRule="auto"/>
        <w:rPr>
          <w:i/>
          <w:iCs/>
        </w:rPr>
      </w:pPr>
      <w:r>
        <w:t>Explain how each</w:t>
      </w:r>
      <w:r w:rsidR="00715B1C" w:rsidRPr="00715B1C">
        <w:t xml:space="preserve"> is area is to be viewed through the lens of digitalization.</w:t>
      </w:r>
    </w:p>
    <w:p w14:paraId="15BD0573" w14:textId="77777777" w:rsidR="00602DF3" w:rsidRPr="00602DF3" w:rsidRDefault="00602DF3" w:rsidP="00715B1C">
      <w:pPr>
        <w:pStyle w:val="ListParagraph"/>
        <w:numPr>
          <w:ilvl w:val="0"/>
          <w:numId w:val="13"/>
        </w:numPr>
        <w:spacing w:line="360" w:lineRule="auto"/>
        <w:rPr>
          <w:i/>
          <w:iCs/>
        </w:rPr>
      </w:pPr>
      <w:r>
        <w:t>Describe the methodology for evaluation</w:t>
      </w:r>
    </w:p>
    <w:p w14:paraId="7595180C" w14:textId="04470438" w:rsidR="00583F65" w:rsidRPr="00583F65" w:rsidRDefault="00583F65" w:rsidP="00583F65">
      <w:pPr>
        <w:pStyle w:val="ListParagraph"/>
        <w:numPr>
          <w:ilvl w:val="2"/>
          <w:numId w:val="4"/>
        </w:numPr>
        <w:spacing w:line="360" w:lineRule="auto"/>
        <w:rPr>
          <w:i/>
          <w:iCs/>
          <w14:textOutline w14:w="9525" w14:cap="rnd" w14:cmpd="sng" w14:algn="ctr">
            <w14:noFill/>
            <w14:prstDash w14:val="solid"/>
            <w14:bevel/>
          </w14:textOutline>
        </w:rPr>
      </w:pPr>
      <w:bookmarkStart w:id="1" w:name="_Hlk14360120"/>
      <w:r w:rsidRPr="00583F65">
        <w:rPr>
          <w14:textOutline w14:w="9525" w14:cap="rnd" w14:cmpd="sng" w14:algn="ctr">
            <w14:noFill/>
            <w14:prstDash w14:val="solid"/>
            <w14:bevel/>
          </w14:textOutline>
        </w:rPr>
        <w:t>Energy Use Case / Business Case</w:t>
      </w:r>
    </w:p>
    <w:p w14:paraId="33798800" w14:textId="0E85670C" w:rsidR="00583F65" w:rsidRPr="00583F65" w:rsidRDefault="00583F65" w:rsidP="00583F65">
      <w:pPr>
        <w:pStyle w:val="ListParagraph"/>
        <w:numPr>
          <w:ilvl w:val="2"/>
          <w:numId w:val="4"/>
        </w:numPr>
        <w:spacing w:line="360" w:lineRule="auto"/>
        <w:rPr>
          <w:i/>
          <w:iCs/>
          <w14:textOutline w14:w="9525" w14:cap="rnd" w14:cmpd="sng" w14:algn="ctr">
            <w14:noFill/>
            <w14:prstDash w14:val="solid"/>
            <w14:bevel/>
          </w14:textOutline>
        </w:rPr>
      </w:pPr>
      <w:r w:rsidRPr="00583F65">
        <w:rPr>
          <w14:textOutline w14:w="9525" w14:cap="rnd" w14:cmpd="sng" w14:algn="ctr">
            <w14:noFill/>
            <w14:prstDash w14:val="solid"/>
            <w14:bevel/>
          </w14:textOutline>
        </w:rPr>
        <w:t>Benefits to the Energy Markets</w:t>
      </w:r>
    </w:p>
    <w:p w14:paraId="2ECEF58D" w14:textId="734569E5" w:rsidR="00583F65" w:rsidRPr="00583F65" w:rsidRDefault="00583F65" w:rsidP="00583F65">
      <w:pPr>
        <w:pStyle w:val="ListParagraph"/>
        <w:numPr>
          <w:ilvl w:val="2"/>
          <w:numId w:val="4"/>
        </w:numPr>
        <w:spacing w:line="360" w:lineRule="auto"/>
        <w:rPr>
          <w:i/>
          <w:iCs/>
          <w14:textOutline w14:w="9525" w14:cap="rnd" w14:cmpd="sng" w14:algn="ctr">
            <w14:noFill/>
            <w14:prstDash w14:val="solid"/>
            <w14:bevel/>
          </w14:textOutline>
        </w:rPr>
      </w:pPr>
      <w:r w:rsidRPr="00583F65">
        <w:rPr>
          <w14:textOutline w14:w="9525" w14:cap="rnd" w14:cmpd="sng" w14:algn="ctr">
            <w14:noFill/>
            <w14:prstDash w14:val="solid"/>
            <w14:bevel/>
          </w14:textOutline>
        </w:rPr>
        <w:t>Issues &amp; Concerns</w:t>
      </w:r>
    </w:p>
    <w:p w14:paraId="48FC7246" w14:textId="60399D5F" w:rsidR="00583F65" w:rsidRPr="00583F65" w:rsidRDefault="00583F65" w:rsidP="00583F65">
      <w:pPr>
        <w:pStyle w:val="ListParagraph"/>
        <w:numPr>
          <w:ilvl w:val="2"/>
          <w:numId w:val="4"/>
        </w:numPr>
        <w:spacing w:line="360" w:lineRule="auto"/>
        <w:rPr>
          <w:i/>
          <w:iCs/>
          <w14:textOutline w14:w="9525" w14:cap="rnd" w14:cmpd="sng" w14:algn="ctr">
            <w14:noFill/>
            <w14:prstDash w14:val="solid"/>
            <w14:bevel/>
          </w14:textOutline>
        </w:rPr>
      </w:pPr>
      <w:r w:rsidRPr="00583F65">
        <w:rPr>
          <w14:textOutline w14:w="9525" w14:cap="rnd" w14:cmpd="sng" w14:algn="ctr">
            <w14:noFill/>
            <w14:prstDash w14:val="solid"/>
            <w14:bevel/>
          </w14:textOutline>
        </w:rPr>
        <w:t>Existing Standards and Efforts</w:t>
      </w:r>
    </w:p>
    <w:p w14:paraId="1D5722E0" w14:textId="02C128AC" w:rsidR="00583F65" w:rsidRPr="00583F65" w:rsidRDefault="00583F65" w:rsidP="00583F65">
      <w:pPr>
        <w:pStyle w:val="ListParagraph"/>
        <w:numPr>
          <w:ilvl w:val="2"/>
          <w:numId w:val="4"/>
        </w:numPr>
        <w:spacing w:line="360" w:lineRule="auto"/>
        <w:rPr>
          <w:i/>
          <w:iCs/>
          <w14:textOutline w14:w="9525" w14:cap="rnd" w14:cmpd="sng" w14:algn="ctr">
            <w14:noFill/>
            <w14:prstDash w14:val="solid"/>
            <w14:bevel/>
          </w14:textOutline>
        </w:rPr>
      </w:pPr>
      <w:r w:rsidRPr="00583F65">
        <w:rPr>
          <w14:textOutline w14:w="9525" w14:cap="rnd" w14:cmpd="sng" w14:algn="ctr">
            <w14:noFill/>
            <w14:prstDash w14:val="solid"/>
            <w14:bevel/>
          </w14:textOutline>
        </w:rPr>
        <w:t>Recommendation</w:t>
      </w:r>
      <w:r w:rsidR="00D12C32">
        <w:rPr>
          <w14:textOutline w14:w="9525" w14:cap="rnd" w14:cmpd="sng" w14:algn="ctr">
            <w14:noFill/>
            <w14:prstDash w14:val="solid"/>
            <w14:bevel/>
          </w14:textOutline>
        </w:rPr>
        <w:t xml:space="preserve"> – Relevancy and Urgency</w:t>
      </w:r>
    </w:p>
    <w:bookmarkEnd w:id="1"/>
    <w:p w14:paraId="539DB687" w14:textId="77777777" w:rsidR="00583F65" w:rsidRPr="00583F65" w:rsidRDefault="00583F65" w:rsidP="00583F65">
      <w:pPr>
        <w:spacing w:line="360" w:lineRule="auto"/>
        <w:ind w:left="1620"/>
        <w:rPr>
          <w:i/>
          <w:iCs/>
          <w14:textOutline w14:w="9525" w14:cap="rnd" w14:cmpd="sng" w14:algn="ctr">
            <w14:noFill/>
            <w14:prstDash w14:val="solid"/>
            <w14:bevel/>
          </w14:textOutline>
        </w:rPr>
      </w:pPr>
    </w:p>
    <w:p w14:paraId="314BA082" w14:textId="2AE47066" w:rsidR="00715B1C" w:rsidRDefault="00583F65" w:rsidP="00583F65">
      <w:pPr>
        <w:spacing w:line="360" w:lineRule="auto"/>
        <w:ind w:left="720"/>
        <w:rPr>
          <w:b/>
          <w:bCs/>
          <w:u w:val="single"/>
        </w:rPr>
      </w:pPr>
      <w:r w:rsidRPr="00583F65">
        <w:rPr>
          <w:b/>
          <w:bCs/>
          <w:u w:val="single"/>
        </w:rPr>
        <w:t>Categorization / Relationship of Areas</w:t>
      </w:r>
    </w:p>
    <w:p w14:paraId="18B8C110" w14:textId="7613424D" w:rsidR="00583F65" w:rsidRPr="003C5EA7" w:rsidRDefault="003C5EA7" w:rsidP="003C5EA7">
      <w:pPr>
        <w:pStyle w:val="ListParagraph"/>
        <w:numPr>
          <w:ilvl w:val="0"/>
          <w:numId w:val="15"/>
        </w:numPr>
        <w:spacing w:line="360" w:lineRule="auto"/>
        <w:rPr>
          <w:b/>
          <w:bCs/>
          <w:u w:val="single"/>
        </w:rPr>
      </w:pPr>
      <w:r>
        <w:t xml:space="preserve">Describe relationship between the 11 areas identified by the Committee </w:t>
      </w:r>
    </w:p>
    <w:p w14:paraId="5BE381C7" w14:textId="621ECEEF" w:rsidR="003C5EA7" w:rsidRPr="003C5EA7" w:rsidRDefault="003C5EA7" w:rsidP="003C5EA7">
      <w:pPr>
        <w:pStyle w:val="ListParagraph"/>
        <w:numPr>
          <w:ilvl w:val="1"/>
          <w:numId w:val="15"/>
        </w:numPr>
        <w:spacing w:line="360" w:lineRule="auto"/>
        <w:rPr>
          <w:b/>
          <w:bCs/>
          <w:u w:val="single"/>
        </w:rPr>
      </w:pPr>
      <w:r>
        <w:t>Areas Enabled by Digitalization or Digital Technology</w:t>
      </w:r>
    </w:p>
    <w:p w14:paraId="509BC7F0" w14:textId="5471B894" w:rsidR="005859A7" w:rsidRPr="00DC5636" w:rsidRDefault="005859A7" w:rsidP="005859A7">
      <w:pPr>
        <w:pStyle w:val="ListParagraph"/>
        <w:numPr>
          <w:ilvl w:val="2"/>
          <w:numId w:val="15"/>
        </w:numPr>
        <w:spacing w:line="360" w:lineRule="auto"/>
      </w:pPr>
      <w:r>
        <w:rPr>
          <w:color w:val="333333"/>
          <w:shd w:val="clear" w:color="auto" w:fill="FFFFFF"/>
        </w:rPr>
        <w:t>These technology areas are a benefit of OR an integral part of the digitalization process.  They may be broad and impact many markets but need to be shaped to suit our specific energy market needs</w:t>
      </w:r>
    </w:p>
    <w:p w14:paraId="26F308A9" w14:textId="25FD213F" w:rsidR="003C5EA7" w:rsidRPr="00DC5636" w:rsidRDefault="003C5EA7" w:rsidP="003C5EA7">
      <w:pPr>
        <w:pStyle w:val="ListParagraph"/>
        <w:numPr>
          <w:ilvl w:val="1"/>
          <w:numId w:val="15"/>
        </w:numPr>
        <w:spacing w:line="360" w:lineRule="auto"/>
        <w:rPr>
          <w:b/>
          <w:bCs/>
          <w:u w:val="single"/>
        </w:rPr>
      </w:pPr>
      <w:r>
        <w:t>Areas Impacted by Digitalization</w:t>
      </w:r>
    </w:p>
    <w:p w14:paraId="4FEED980" w14:textId="4EDB60C0" w:rsidR="00DC5636" w:rsidRPr="00DC5636" w:rsidRDefault="00DC5636" w:rsidP="00DC5636">
      <w:pPr>
        <w:pStyle w:val="ListParagraph"/>
        <w:numPr>
          <w:ilvl w:val="2"/>
          <w:numId w:val="15"/>
        </w:numPr>
        <w:spacing w:line="360" w:lineRule="auto"/>
        <w:rPr>
          <w:b/>
          <w:bCs/>
          <w:u w:val="single"/>
        </w:rPr>
      </w:pPr>
      <w:r>
        <w:rPr>
          <w:color w:val="333333"/>
          <w:shd w:val="clear" w:color="auto" w:fill="FFFFFF"/>
        </w:rPr>
        <w:t xml:space="preserve">These are market functions that define our energy transactions and could benefit from digitalization or are already digitalized </w:t>
      </w:r>
    </w:p>
    <w:p w14:paraId="70BCD29E" w14:textId="11E703F3" w:rsidR="003C5EA7" w:rsidRDefault="00DC5636" w:rsidP="003C5EA7">
      <w:pPr>
        <w:pStyle w:val="ListParagraph"/>
        <w:numPr>
          <w:ilvl w:val="1"/>
          <w:numId w:val="15"/>
        </w:numPr>
        <w:spacing w:line="360" w:lineRule="auto"/>
      </w:pPr>
      <w:r w:rsidRPr="00DC5636">
        <w:t xml:space="preserve">Areas that Impact Digitalization </w:t>
      </w:r>
    </w:p>
    <w:p w14:paraId="7F80106B" w14:textId="2ADA3C39" w:rsidR="005859A7" w:rsidRPr="005859A7" w:rsidRDefault="00DC5636" w:rsidP="005859A7">
      <w:pPr>
        <w:pStyle w:val="ListParagraph"/>
        <w:numPr>
          <w:ilvl w:val="2"/>
          <w:numId w:val="15"/>
        </w:numPr>
        <w:spacing w:line="360" w:lineRule="auto"/>
      </w:pPr>
      <w:bookmarkStart w:id="2" w:name="_Hlk14346180"/>
      <w:r>
        <w:rPr>
          <w:color w:val="333333"/>
          <w:shd w:val="clear" w:color="auto" w:fill="FFFFFF"/>
        </w:rPr>
        <w:t xml:space="preserve">These areas are broad </w:t>
      </w:r>
      <w:r w:rsidR="005859A7">
        <w:rPr>
          <w:color w:val="333333"/>
          <w:shd w:val="clear" w:color="auto" w:fill="FFFFFF"/>
        </w:rPr>
        <w:t>and impact many markets but need to be shaped to suit our specific energy market needs</w:t>
      </w:r>
    </w:p>
    <w:p w14:paraId="018B6FE0" w14:textId="77777777" w:rsidR="005859A7" w:rsidRPr="00DC5636" w:rsidRDefault="005859A7" w:rsidP="005859A7">
      <w:pPr>
        <w:pStyle w:val="ListParagraph"/>
        <w:spacing w:line="360" w:lineRule="auto"/>
        <w:ind w:left="2880"/>
      </w:pPr>
    </w:p>
    <w:bookmarkEnd w:id="2"/>
    <w:p w14:paraId="26964120" w14:textId="2A9856EE" w:rsidR="007335FE" w:rsidRPr="00651357" w:rsidRDefault="007335FE" w:rsidP="0069037E">
      <w:pPr>
        <w:spacing w:line="360" w:lineRule="auto"/>
        <w:ind w:left="720"/>
        <w:rPr>
          <w:i/>
          <w:iCs/>
          <w:highlight w:val="lightGray"/>
        </w:rPr>
      </w:pPr>
      <w:r w:rsidRPr="00651357">
        <w:rPr>
          <w:i/>
          <w:iCs/>
          <w:highlight w:val="lightGray"/>
        </w:rPr>
        <w:t>These areas can be considered in four categories</w:t>
      </w:r>
      <w:r w:rsidR="0000081A" w:rsidRPr="00651357">
        <w:rPr>
          <w:i/>
          <w:iCs/>
          <w:highlight w:val="lightGray"/>
        </w:rPr>
        <w:t xml:space="preserve"> and several of the areas fall into multiple categories</w:t>
      </w:r>
      <w:r w:rsidRPr="00651357">
        <w:rPr>
          <w:i/>
          <w:iCs/>
          <w:highlight w:val="lightGray"/>
        </w:rPr>
        <w:t>:</w:t>
      </w:r>
    </w:p>
    <w:p w14:paraId="52A7B179" w14:textId="19712C38" w:rsidR="007335FE" w:rsidRPr="00651357" w:rsidRDefault="007335FE" w:rsidP="0069037E">
      <w:pPr>
        <w:autoSpaceDE w:val="0"/>
        <w:autoSpaceDN w:val="0"/>
        <w:adjustRightInd w:val="0"/>
        <w:spacing w:before="120" w:after="120" w:line="360" w:lineRule="auto"/>
        <w:ind w:left="1080" w:hanging="360"/>
        <w:jc w:val="both"/>
        <w:rPr>
          <w:i/>
          <w:iCs/>
          <w:highlight w:val="lightGray"/>
        </w:rPr>
      </w:pPr>
      <w:r w:rsidRPr="00651357">
        <w:rPr>
          <w:i/>
          <w:iCs/>
          <w:highlight w:val="lightGray"/>
        </w:rPr>
        <w:lastRenderedPageBreak/>
        <w:t>1)</w:t>
      </w:r>
      <w:r w:rsidRPr="00651357">
        <w:rPr>
          <w:i/>
          <w:iCs/>
          <w:highlight w:val="lightGray"/>
        </w:rPr>
        <w:tab/>
        <w:t>High Interest &amp; Value – these are the topics that gained a lot of interest in our initial discussions.  One could argue that all the topics are high interest, but some of the NAESB members have already begun investigations and expended funds and resources, or are considering investments in these particular areas</w:t>
      </w:r>
    </w:p>
    <w:p w14:paraId="06504102" w14:textId="79D6BD67" w:rsidR="007335FE" w:rsidRPr="00651357" w:rsidRDefault="007335FE" w:rsidP="0069037E">
      <w:pPr>
        <w:autoSpaceDE w:val="0"/>
        <w:autoSpaceDN w:val="0"/>
        <w:adjustRightInd w:val="0"/>
        <w:spacing w:before="120" w:after="120" w:line="360" w:lineRule="auto"/>
        <w:ind w:left="1080" w:hanging="360"/>
        <w:jc w:val="both"/>
        <w:rPr>
          <w:i/>
          <w:iCs/>
          <w:highlight w:val="lightGray"/>
        </w:rPr>
      </w:pPr>
      <w:r w:rsidRPr="00651357">
        <w:rPr>
          <w:i/>
          <w:iCs/>
          <w:highlight w:val="lightGray"/>
        </w:rPr>
        <w:t>2)</w:t>
      </w:r>
      <w:r w:rsidRPr="00651357">
        <w:rPr>
          <w:i/>
          <w:iCs/>
          <w:highlight w:val="lightGray"/>
        </w:rPr>
        <w:tab/>
        <w:t>Emerging Areas – these are hot topics, but still dynamic in the market space.  These have unknown aspects and we may want to observe or obtain more info before we jump in.</w:t>
      </w:r>
      <w:r w:rsidR="0000081A" w:rsidRPr="00651357">
        <w:rPr>
          <w:i/>
          <w:iCs/>
          <w:highlight w:val="lightGray"/>
        </w:rPr>
        <w:t xml:space="preserve"> Some examples are new market areas, IoT, Integrated Command and Control Across controlling entities, data integration and complex event processing referred to as str</w:t>
      </w:r>
      <w:r w:rsidR="00502E16" w:rsidRPr="00651357">
        <w:rPr>
          <w:i/>
          <w:iCs/>
          <w:highlight w:val="lightGray"/>
        </w:rPr>
        <w:t>e</w:t>
      </w:r>
      <w:r w:rsidR="0000081A" w:rsidRPr="00651357">
        <w:rPr>
          <w:i/>
          <w:iCs/>
          <w:highlight w:val="lightGray"/>
        </w:rPr>
        <w:t>am processing, real time monitoring and forecasting, and advanced statistical and analytic methods and techniques also referred to as machine learning and deep learning.</w:t>
      </w:r>
    </w:p>
    <w:p w14:paraId="4FDA993B" w14:textId="77777777" w:rsidR="007335FE" w:rsidRPr="00651357" w:rsidRDefault="007335FE" w:rsidP="0069037E">
      <w:pPr>
        <w:autoSpaceDE w:val="0"/>
        <w:autoSpaceDN w:val="0"/>
        <w:adjustRightInd w:val="0"/>
        <w:spacing w:before="120" w:after="120" w:line="360" w:lineRule="auto"/>
        <w:ind w:left="1080" w:hanging="360"/>
        <w:jc w:val="both"/>
        <w:rPr>
          <w:i/>
          <w:iCs/>
          <w:highlight w:val="lightGray"/>
        </w:rPr>
      </w:pPr>
      <w:r w:rsidRPr="00651357">
        <w:rPr>
          <w:i/>
          <w:iCs/>
          <w:highlight w:val="lightGray"/>
        </w:rPr>
        <w:t>3)</w:t>
      </w:r>
      <w:r w:rsidRPr="00651357">
        <w:rPr>
          <w:i/>
          <w:iCs/>
          <w:highlight w:val="lightGray"/>
        </w:rPr>
        <w:tab/>
        <w:t>Existing Standards or Research Exist – these topics are included in other industry (or infrastructure sector) standard, or research products are available for NAESB’s use.  In this case, there may be considerable we can pull from, and then focus on applying that to our specific space and application</w:t>
      </w:r>
    </w:p>
    <w:p w14:paraId="7FB5068E" w14:textId="30A9CF09" w:rsidR="007335FE" w:rsidRDefault="007335FE" w:rsidP="0069037E">
      <w:pPr>
        <w:autoSpaceDE w:val="0"/>
        <w:autoSpaceDN w:val="0"/>
        <w:adjustRightInd w:val="0"/>
        <w:spacing w:before="120" w:after="120" w:line="360" w:lineRule="auto"/>
        <w:ind w:left="1080" w:hanging="360"/>
        <w:jc w:val="both"/>
        <w:rPr>
          <w:i/>
          <w:iCs/>
        </w:rPr>
      </w:pPr>
      <w:r w:rsidRPr="00651357">
        <w:rPr>
          <w:i/>
          <w:iCs/>
          <w:highlight w:val="lightGray"/>
        </w:rPr>
        <w:t>4)</w:t>
      </w:r>
      <w:r w:rsidRPr="00651357">
        <w:rPr>
          <w:i/>
          <w:iCs/>
          <w:highlight w:val="lightGray"/>
        </w:rPr>
        <w:tab/>
        <w:t>Data Related – the integrity of data is so vital, and so many successful technology applications are completely dependent on accurate data, that this may warrant its own category.  Although topics in this category may have different objectives, they are interrelated due to the value of the data. In other words, a little work in this area may have big impacts for the members.</w:t>
      </w:r>
    </w:p>
    <w:p w14:paraId="7D785AA4" w14:textId="1A93DB58" w:rsidR="005859A7" w:rsidRPr="00CA666B" w:rsidRDefault="005859A7" w:rsidP="00CA666B">
      <w:pPr>
        <w:pStyle w:val="ListParagraph"/>
        <w:numPr>
          <w:ilvl w:val="0"/>
          <w:numId w:val="15"/>
        </w:numPr>
        <w:autoSpaceDE w:val="0"/>
        <w:autoSpaceDN w:val="0"/>
        <w:adjustRightInd w:val="0"/>
        <w:spacing w:before="120" w:after="120" w:line="360" w:lineRule="auto"/>
        <w:jc w:val="both"/>
        <w:rPr>
          <w:i/>
          <w:iCs/>
        </w:rPr>
      </w:pPr>
      <w:r>
        <w:t xml:space="preserve">Describe </w:t>
      </w:r>
      <w:r w:rsidR="00CA666B">
        <w:t xml:space="preserve">the </w:t>
      </w:r>
      <w:r>
        <w:t xml:space="preserve">Relevancy </w:t>
      </w:r>
      <w:r w:rsidR="00CA666B">
        <w:t xml:space="preserve">of the Area </w:t>
      </w:r>
      <w:r>
        <w:t>to NAESB</w:t>
      </w:r>
      <w:r w:rsidR="00CA666B">
        <w:t xml:space="preserve"> Activities and </w:t>
      </w:r>
      <w:r>
        <w:t xml:space="preserve">the Urgency of </w:t>
      </w:r>
      <w:r w:rsidR="00CA666B">
        <w:t>Standards Development</w:t>
      </w:r>
    </w:p>
    <w:p w14:paraId="1A3B0DCD" w14:textId="72E38882" w:rsidR="00CA666B" w:rsidRPr="00CA666B" w:rsidRDefault="00CA666B" w:rsidP="00CA666B">
      <w:pPr>
        <w:autoSpaceDE w:val="0"/>
        <w:autoSpaceDN w:val="0"/>
        <w:adjustRightInd w:val="0"/>
        <w:spacing w:before="120" w:line="360" w:lineRule="auto"/>
        <w:ind w:left="1080" w:firstLine="720"/>
        <w:jc w:val="both"/>
        <w:rPr>
          <w:u w:val="single"/>
        </w:rPr>
      </w:pPr>
      <w:r w:rsidRPr="00CA666B">
        <w:rPr>
          <w:u w:val="single"/>
        </w:rPr>
        <w:t>Relevancy</w:t>
      </w:r>
      <w:r>
        <w:rPr>
          <w:u w:val="single"/>
        </w:rPr>
        <w:t xml:space="preserve"> to NAESB Activities </w:t>
      </w:r>
      <w:r w:rsidRPr="00CA666B">
        <w:rPr>
          <w:u w:val="single"/>
        </w:rPr>
        <w:t xml:space="preserve"> </w:t>
      </w:r>
    </w:p>
    <w:p w14:paraId="53374E07" w14:textId="1DB5563E" w:rsidR="005859A7" w:rsidRPr="00651357" w:rsidRDefault="00C3622C" w:rsidP="00CA666B">
      <w:pPr>
        <w:pStyle w:val="ListParagraph"/>
        <w:numPr>
          <w:ilvl w:val="1"/>
          <w:numId w:val="15"/>
        </w:numPr>
        <w:autoSpaceDE w:val="0"/>
        <w:autoSpaceDN w:val="0"/>
        <w:adjustRightInd w:val="0"/>
        <w:spacing w:after="120" w:line="360" w:lineRule="auto"/>
        <w:jc w:val="both"/>
        <w:rPr>
          <w:i/>
          <w:iCs/>
        </w:rPr>
      </w:pPr>
      <w:r>
        <w:t>1</w:t>
      </w:r>
      <w:r w:rsidR="00DD465A">
        <w:t xml:space="preserve"> – </w:t>
      </w:r>
      <w:bookmarkStart w:id="3" w:name="_Hlk14359375"/>
      <w:r w:rsidR="00CA666B">
        <w:t>R</w:t>
      </w:r>
      <w:r w:rsidR="00651357">
        <w:t>elevant</w:t>
      </w:r>
      <w:r w:rsidR="00DD465A">
        <w:t xml:space="preserve"> </w:t>
      </w:r>
      <w:r w:rsidR="00651357">
        <w:t>to processes/transactions that NAESB standards</w:t>
      </w:r>
      <w:r w:rsidR="00651357" w:rsidRPr="00CA666B">
        <w:rPr>
          <w:i/>
          <w:iCs/>
        </w:rPr>
        <w:t xml:space="preserve"> </w:t>
      </w:r>
      <w:r w:rsidR="00CA666B" w:rsidRPr="00CA666B">
        <w:rPr>
          <w:i/>
          <w:iCs/>
        </w:rPr>
        <w:t>currently</w:t>
      </w:r>
      <w:r w:rsidR="00CA666B">
        <w:t xml:space="preserve"> </w:t>
      </w:r>
      <w:r w:rsidR="00651357">
        <w:t>address</w:t>
      </w:r>
      <w:bookmarkEnd w:id="3"/>
    </w:p>
    <w:p w14:paraId="5FAF9D0B" w14:textId="15CD2475" w:rsidR="00651357" w:rsidRPr="00651357" w:rsidRDefault="00C3622C" w:rsidP="005859A7">
      <w:pPr>
        <w:pStyle w:val="ListParagraph"/>
        <w:numPr>
          <w:ilvl w:val="1"/>
          <w:numId w:val="15"/>
        </w:numPr>
        <w:autoSpaceDE w:val="0"/>
        <w:autoSpaceDN w:val="0"/>
        <w:adjustRightInd w:val="0"/>
        <w:spacing w:before="120" w:after="120" w:line="360" w:lineRule="auto"/>
        <w:jc w:val="both"/>
        <w:rPr>
          <w:i/>
          <w:iCs/>
        </w:rPr>
      </w:pPr>
      <w:r>
        <w:t>2</w:t>
      </w:r>
      <w:r w:rsidR="00651357">
        <w:t xml:space="preserve"> – Relevant to processes/transactions that NAESB standards </w:t>
      </w:r>
      <w:r w:rsidR="00CA666B" w:rsidRPr="00CA666B">
        <w:rPr>
          <w:i/>
          <w:iCs/>
        </w:rPr>
        <w:t xml:space="preserve">may </w:t>
      </w:r>
      <w:r w:rsidR="00651357">
        <w:t>address in the future</w:t>
      </w:r>
    </w:p>
    <w:p w14:paraId="1377D134" w14:textId="5FD17F23" w:rsidR="00651357" w:rsidRPr="00CA666B" w:rsidRDefault="00C3622C" w:rsidP="005859A7">
      <w:pPr>
        <w:pStyle w:val="ListParagraph"/>
        <w:numPr>
          <w:ilvl w:val="1"/>
          <w:numId w:val="15"/>
        </w:numPr>
        <w:autoSpaceDE w:val="0"/>
        <w:autoSpaceDN w:val="0"/>
        <w:adjustRightInd w:val="0"/>
        <w:spacing w:before="120" w:after="120" w:line="360" w:lineRule="auto"/>
        <w:jc w:val="both"/>
        <w:rPr>
          <w:i/>
          <w:iCs/>
        </w:rPr>
      </w:pPr>
      <w:r>
        <w:t>3</w:t>
      </w:r>
      <w:r w:rsidR="00651357">
        <w:t xml:space="preserve"> – Not relevant to the processes</w:t>
      </w:r>
      <w:r w:rsidR="00CA666B">
        <w:t>/transactions</w:t>
      </w:r>
      <w:r w:rsidR="00651357">
        <w:t xml:space="preserve"> that NAESB</w:t>
      </w:r>
      <w:r w:rsidR="00CA666B">
        <w:t xml:space="preserve"> standards currently address or may address in the future. </w:t>
      </w:r>
      <w:r w:rsidR="00651357">
        <w:t xml:space="preserve">  </w:t>
      </w:r>
    </w:p>
    <w:p w14:paraId="2563E8DE" w14:textId="0A853FE9" w:rsidR="00CA666B" w:rsidRPr="00CA666B" w:rsidRDefault="00CA666B" w:rsidP="00CA666B">
      <w:pPr>
        <w:autoSpaceDE w:val="0"/>
        <w:autoSpaceDN w:val="0"/>
        <w:adjustRightInd w:val="0"/>
        <w:spacing w:before="120" w:line="360" w:lineRule="auto"/>
        <w:ind w:left="1080" w:firstLine="720"/>
        <w:jc w:val="both"/>
        <w:rPr>
          <w:u w:val="single"/>
        </w:rPr>
      </w:pPr>
      <w:r>
        <w:rPr>
          <w:u w:val="single"/>
        </w:rPr>
        <w:t>Urgency of Standards Development</w:t>
      </w:r>
      <w:r w:rsidRPr="00CA666B">
        <w:rPr>
          <w:u w:val="single"/>
        </w:rPr>
        <w:t xml:space="preserve"> </w:t>
      </w:r>
    </w:p>
    <w:p w14:paraId="2344BD79" w14:textId="00D9E72D" w:rsidR="00820322" w:rsidRPr="00DD465A" w:rsidRDefault="00820322" w:rsidP="00820322">
      <w:pPr>
        <w:pStyle w:val="ListParagraph"/>
        <w:numPr>
          <w:ilvl w:val="1"/>
          <w:numId w:val="15"/>
        </w:numPr>
        <w:autoSpaceDE w:val="0"/>
        <w:autoSpaceDN w:val="0"/>
        <w:adjustRightInd w:val="0"/>
        <w:spacing w:line="360" w:lineRule="auto"/>
        <w:jc w:val="both"/>
        <w:rPr>
          <w:i/>
          <w:iCs/>
        </w:rPr>
      </w:pPr>
      <w:r>
        <w:t>1 – Standards in the area would be helpful and are not currently emerging for the energy industry</w:t>
      </w:r>
    </w:p>
    <w:p w14:paraId="2E85475D" w14:textId="36538B75" w:rsidR="00820322" w:rsidRPr="00DD465A" w:rsidRDefault="00820322" w:rsidP="00820322">
      <w:pPr>
        <w:pStyle w:val="ListParagraph"/>
        <w:numPr>
          <w:ilvl w:val="1"/>
          <w:numId w:val="15"/>
        </w:numPr>
        <w:autoSpaceDE w:val="0"/>
        <w:autoSpaceDN w:val="0"/>
        <w:adjustRightInd w:val="0"/>
        <w:spacing w:after="120" w:line="360" w:lineRule="auto"/>
        <w:jc w:val="both"/>
        <w:rPr>
          <w:i/>
          <w:iCs/>
        </w:rPr>
      </w:pPr>
      <w:r>
        <w:t>2 – Standards in the area would be helpful and are currently emerging for the energy industry</w:t>
      </w:r>
    </w:p>
    <w:p w14:paraId="44085126" w14:textId="01120837" w:rsidR="00820322" w:rsidRPr="00CA666B" w:rsidRDefault="00820322" w:rsidP="00820322">
      <w:pPr>
        <w:pStyle w:val="ListParagraph"/>
        <w:numPr>
          <w:ilvl w:val="1"/>
          <w:numId w:val="15"/>
        </w:numPr>
        <w:autoSpaceDE w:val="0"/>
        <w:autoSpaceDN w:val="0"/>
        <w:adjustRightInd w:val="0"/>
        <w:spacing w:after="120" w:line="360" w:lineRule="auto"/>
        <w:jc w:val="both"/>
        <w:rPr>
          <w:i/>
          <w:iCs/>
        </w:rPr>
      </w:pPr>
      <w:r>
        <w:t>3 – Standards currently exist that adequately address the area for the energy industry</w:t>
      </w:r>
    </w:p>
    <w:p w14:paraId="0D635A07" w14:textId="2C343351" w:rsidR="00DD465A" w:rsidRPr="00DD465A" w:rsidRDefault="00820322" w:rsidP="00CA666B">
      <w:pPr>
        <w:pStyle w:val="ListParagraph"/>
        <w:numPr>
          <w:ilvl w:val="1"/>
          <w:numId w:val="15"/>
        </w:numPr>
        <w:autoSpaceDE w:val="0"/>
        <w:autoSpaceDN w:val="0"/>
        <w:adjustRightInd w:val="0"/>
        <w:spacing w:after="120" w:line="360" w:lineRule="auto"/>
        <w:jc w:val="both"/>
        <w:rPr>
          <w:i/>
          <w:iCs/>
        </w:rPr>
      </w:pPr>
      <w:r>
        <w:t>4</w:t>
      </w:r>
      <w:r w:rsidR="00CA666B">
        <w:t xml:space="preserve"> – </w:t>
      </w:r>
      <w:r w:rsidR="00DD465A">
        <w:t>Standards to support the area are not needed for the energy industry</w:t>
      </w:r>
    </w:p>
    <w:p w14:paraId="6FB0E449" w14:textId="066BD64D" w:rsidR="007335FE" w:rsidRPr="00DD465A" w:rsidRDefault="007335FE" w:rsidP="0069037E">
      <w:pPr>
        <w:autoSpaceDE w:val="0"/>
        <w:autoSpaceDN w:val="0"/>
        <w:adjustRightInd w:val="0"/>
        <w:spacing w:before="120" w:after="120" w:line="360" w:lineRule="auto"/>
        <w:ind w:left="1080" w:hanging="360"/>
        <w:jc w:val="both"/>
        <w:rPr>
          <w:i/>
          <w:iCs/>
          <w:highlight w:val="lightGray"/>
        </w:rPr>
      </w:pPr>
      <w:r w:rsidRPr="00DD465A">
        <w:rPr>
          <w:i/>
          <w:iCs/>
          <w:highlight w:val="lightGray"/>
        </w:rPr>
        <w:lastRenderedPageBreak/>
        <w:t>In mapping our discussions/areas into these categories, a preliminary take is:</w:t>
      </w:r>
    </w:p>
    <w:p w14:paraId="27273604" w14:textId="43E23734"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 xml:space="preserve">Distributed ledger technology - (Categories 1, 2) – This is a hot topic that many have interest in, and I would say that with the existing efforts ongoing at NAESB, it will fall out of category 2 fairly quickly.  </w:t>
      </w:r>
    </w:p>
    <w:p w14:paraId="67CB6664" w14:textId="57FF7436"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Cybersecurity – (Category 3) – Trends suggest that regulation is unlikely but we see a general increase in oversight and federal expectation of the industry to comply with best practices, particularly preparedness, detection, and incident response.  A lot of work we can pull from here – NIST, IEC, ISA, etc.</w:t>
      </w:r>
    </w:p>
    <w:p w14:paraId="5CEBC9A4" w14:textId="77777777"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 xml:space="preserve">Cloud computing –hosting, data processing, data transit and data storage requirements – (Category 3) – Many best practices in this space, including energy, infrastructure and </w:t>
      </w:r>
      <w:proofErr w:type="gramStart"/>
      <w:r w:rsidRPr="00DD465A">
        <w:rPr>
          <w:i/>
          <w:iCs/>
          <w:highlight w:val="lightGray"/>
        </w:rPr>
        <w:t>high risk</w:t>
      </w:r>
      <w:proofErr w:type="gramEnd"/>
      <w:r w:rsidRPr="00DD465A">
        <w:rPr>
          <w:i/>
          <w:iCs/>
          <w:highlight w:val="lightGray"/>
        </w:rPr>
        <w:t xml:space="preserve"> areas.  Our task would be to apply this to the energy transaction space, understanding the risks in ‘outsourcing’ data processing and storage space.  </w:t>
      </w:r>
    </w:p>
    <w:p w14:paraId="05CDEB7C" w14:textId="2861B2F4"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Deployable shareware – (Shareware in general presents some challenges and risk but those are primarily related to the Cybersecurity bullet above</w:t>
      </w:r>
      <w:r w:rsidR="000C2BE5" w:rsidRPr="00DD465A">
        <w:rPr>
          <w:i/>
          <w:iCs/>
          <w:highlight w:val="lightGray"/>
        </w:rPr>
        <w:t xml:space="preserve"> and may be combined as an aspect of cybersecurity, unless there are aspects that are separate – such as tools needed, standards for providing shareware, etc.</w:t>
      </w:r>
      <w:r w:rsidRPr="00DD465A">
        <w:rPr>
          <w:i/>
          <w:iCs/>
          <w:highlight w:val="lightGray"/>
        </w:rPr>
        <w:t>).</w:t>
      </w:r>
    </w:p>
    <w:p w14:paraId="04775010" w14:textId="35CC7F9D"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5G technologies and implementation – (Category 2) –This may be a space to watch.  Scientifically, we have 5G information we can analyze, but implementation strategies are still very dynamic</w:t>
      </w:r>
      <w:r w:rsidR="000C2BE5" w:rsidRPr="00DD465A">
        <w:rPr>
          <w:i/>
          <w:iCs/>
          <w:highlight w:val="lightGray"/>
        </w:rPr>
        <w:t>.</w:t>
      </w:r>
    </w:p>
    <w:p w14:paraId="7489533E" w14:textId="77777777"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Energy usage data – how it is managed, provided and the privacy issues attached – (Categories 1, 4) – Big data, data in storage, data in transit, etc., are major topics.  There are some existing best practices we can pull from regarding encryption, etc., but addressing these topics in the context of energy transactional data would yield a huge benefit.  This may be the most impactful topic.</w:t>
      </w:r>
    </w:p>
    <w:p w14:paraId="0EB8D0F1" w14:textId="545B3691"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 xml:space="preserve">Data governance requirements – (Category 4) – Data storage, protection, required technical controls, handling, policy, this area is huge and related directly to the bullet above. </w:t>
      </w:r>
    </w:p>
    <w:p w14:paraId="6F2710EC" w14:textId="197FE367"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 xml:space="preserve">Distributed Energy Resources – focused on communication protocols – (Categories 3, 4) – research exists in this area with recommendations on reliable and secure protocols in high value data transit.  We </w:t>
      </w:r>
      <w:r w:rsidR="000C2BE5" w:rsidRPr="00DD465A">
        <w:rPr>
          <w:i/>
          <w:iCs/>
          <w:highlight w:val="lightGray"/>
        </w:rPr>
        <w:t>may want</w:t>
      </w:r>
      <w:r w:rsidRPr="00DD465A">
        <w:rPr>
          <w:i/>
          <w:iCs/>
          <w:highlight w:val="lightGray"/>
        </w:rPr>
        <w:t xml:space="preserve"> to apply this research to our space.</w:t>
      </w:r>
    </w:p>
    <w:p w14:paraId="35400B0B" w14:textId="72DD6509"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Renewable energy certificate/credit tracking and related data. – (Categories 3, 4) – while it is about 5 years old, NREL did significant research in this area. I think we could leverage this and ‘refresh’ the research. </w:t>
      </w:r>
    </w:p>
    <w:p w14:paraId="607C62E4" w14:textId="77777777"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t xml:space="preserve">Internet of Things – (Categories 1, 2) – there is rapid growth in this area, the key here is focusing IoT to the energy transaction space and ensuring our scope is narrow.  </w:t>
      </w:r>
    </w:p>
    <w:p w14:paraId="2AB60DB5" w14:textId="05CB9DB6" w:rsidR="007335FE" w:rsidRPr="00DD465A" w:rsidRDefault="007335FE" w:rsidP="005D1990">
      <w:pPr>
        <w:pStyle w:val="ListParagraph"/>
        <w:numPr>
          <w:ilvl w:val="0"/>
          <w:numId w:val="6"/>
        </w:numPr>
        <w:spacing w:before="120" w:after="120" w:line="360" w:lineRule="auto"/>
        <w:rPr>
          <w:i/>
          <w:iCs/>
          <w:highlight w:val="lightGray"/>
        </w:rPr>
      </w:pPr>
      <w:r w:rsidRPr="00DD465A">
        <w:rPr>
          <w:i/>
          <w:iCs/>
          <w:highlight w:val="lightGray"/>
        </w:rPr>
        <w:lastRenderedPageBreak/>
        <w:t>Data analytics – (Category 4) – this may be part of Energy Usage Data and Data Governance topics.  The vendor space for data analytics is huge, helping members understand how to proceed with technology while maintaining data integrity, privacy, and meet</w:t>
      </w:r>
      <w:r w:rsidR="000C2BE5" w:rsidRPr="00DD465A">
        <w:rPr>
          <w:i/>
          <w:iCs/>
          <w:highlight w:val="lightGray"/>
        </w:rPr>
        <w:t>ing</w:t>
      </w:r>
      <w:r w:rsidRPr="00DD465A">
        <w:rPr>
          <w:i/>
          <w:iCs/>
          <w:highlight w:val="lightGray"/>
        </w:rPr>
        <w:t xml:space="preserve"> governance goals</w:t>
      </w:r>
      <w:r w:rsidR="000C2BE5" w:rsidRPr="00DD465A">
        <w:rPr>
          <w:i/>
          <w:iCs/>
          <w:highlight w:val="lightGray"/>
        </w:rPr>
        <w:t>.</w:t>
      </w:r>
    </w:p>
    <w:p w14:paraId="740EEFB7" w14:textId="3CE82BBC" w:rsidR="00DD465A" w:rsidRDefault="00DD465A" w:rsidP="00D12C32">
      <w:pPr>
        <w:keepNext/>
        <w:spacing w:before="120" w:after="120" w:line="360" w:lineRule="auto"/>
        <w:ind w:left="720"/>
        <w:rPr>
          <w:b/>
          <w:bCs/>
          <w:u w:val="single"/>
        </w:rPr>
      </w:pPr>
      <w:r w:rsidRPr="00DD465A">
        <w:rPr>
          <w:b/>
          <w:bCs/>
          <w:u w:val="single"/>
        </w:rPr>
        <w:t>Evaluation</w:t>
      </w:r>
    </w:p>
    <w:p w14:paraId="30FFB382" w14:textId="10496A5D" w:rsidR="00D12C32" w:rsidRPr="00D12C32" w:rsidRDefault="00D12C32" w:rsidP="00D12C32">
      <w:pPr>
        <w:pStyle w:val="ListParagraph"/>
        <w:numPr>
          <w:ilvl w:val="0"/>
          <w:numId w:val="15"/>
        </w:numPr>
        <w:spacing w:line="360" w:lineRule="auto"/>
        <w:rPr>
          <w:b/>
          <w:bCs/>
          <w:u w:val="single"/>
        </w:rPr>
      </w:pPr>
      <w:bookmarkStart w:id="4" w:name="_Hlk14360375"/>
      <w:r w:rsidRPr="00D12C32">
        <w:rPr>
          <w:u w:val="single"/>
        </w:rPr>
        <w:t xml:space="preserve">Areas Enabled by Digitalization or Digital Technology </w:t>
      </w:r>
    </w:p>
    <w:p w14:paraId="5C96559F" w14:textId="454768CD" w:rsidR="00D12C32" w:rsidRPr="00D12C32" w:rsidRDefault="00D12C32" w:rsidP="00D12C32">
      <w:pPr>
        <w:pStyle w:val="ListParagraph"/>
        <w:numPr>
          <w:ilvl w:val="1"/>
          <w:numId w:val="15"/>
        </w:numPr>
        <w:spacing w:line="360" w:lineRule="auto"/>
        <w:rPr>
          <w:b/>
          <w:bCs/>
          <w:u w:val="single"/>
        </w:rPr>
      </w:pPr>
      <w:r>
        <w:t>Distributed Ledger Technology</w:t>
      </w:r>
    </w:p>
    <w:p w14:paraId="59AB4108" w14:textId="77777777" w:rsidR="00D12C32" w:rsidRPr="00D12C32" w:rsidRDefault="00D12C32" w:rsidP="00D12C32">
      <w:pPr>
        <w:pStyle w:val="ListParagraph"/>
        <w:numPr>
          <w:ilvl w:val="2"/>
          <w:numId w:val="15"/>
        </w:numPr>
        <w:spacing w:line="360" w:lineRule="auto"/>
      </w:pPr>
      <w:r w:rsidRPr="00D12C32">
        <w:t>Energy Use Case / Business Case</w:t>
      </w:r>
    </w:p>
    <w:p w14:paraId="19EAC6A2" w14:textId="77777777" w:rsidR="00D12C32" w:rsidRPr="00D12C32" w:rsidRDefault="00D12C32" w:rsidP="00D12C32">
      <w:pPr>
        <w:pStyle w:val="ListParagraph"/>
        <w:numPr>
          <w:ilvl w:val="2"/>
          <w:numId w:val="15"/>
        </w:numPr>
        <w:spacing w:line="360" w:lineRule="auto"/>
      </w:pPr>
      <w:r w:rsidRPr="00D12C32">
        <w:t>Benefits to the Energy Markets</w:t>
      </w:r>
    </w:p>
    <w:p w14:paraId="5ED2F43D" w14:textId="77777777" w:rsidR="00D12C32" w:rsidRPr="00D12C32" w:rsidRDefault="00D12C32" w:rsidP="00D12C32">
      <w:pPr>
        <w:pStyle w:val="ListParagraph"/>
        <w:numPr>
          <w:ilvl w:val="2"/>
          <w:numId w:val="15"/>
        </w:numPr>
        <w:spacing w:line="360" w:lineRule="auto"/>
      </w:pPr>
      <w:r w:rsidRPr="00D12C32">
        <w:t>Issues &amp; Concerns</w:t>
      </w:r>
    </w:p>
    <w:p w14:paraId="5DF0BBA0" w14:textId="77777777" w:rsidR="00D12C32" w:rsidRPr="00D12C32" w:rsidRDefault="00D12C32" w:rsidP="00D12C32">
      <w:pPr>
        <w:pStyle w:val="ListParagraph"/>
        <w:numPr>
          <w:ilvl w:val="2"/>
          <w:numId w:val="15"/>
        </w:numPr>
        <w:spacing w:line="360" w:lineRule="auto"/>
      </w:pPr>
      <w:r w:rsidRPr="00D12C32">
        <w:t>Existing Standards and Efforts</w:t>
      </w:r>
    </w:p>
    <w:p w14:paraId="775ABF70" w14:textId="77777777" w:rsidR="00D12C32" w:rsidRPr="00D12C32" w:rsidRDefault="00D12C32" w:rsidP="00D12C32">
      <w:pPr>
        <w:pStyle w:val="ListParagraph"/>
        <w:numPr>
          <w:ilvl w:val="2"/>
          <w:numId w:val="15"/>
        </w:numPr>
        <w:spacing w:line="360" w:lineRule="auto"/>
      </w:pPr>
      <w:r w:rsidRPr="00D12C32">
        <w:t>Recommendation – Relevancy and Urgency</w:t>
      </w:r>
    </w:p>
    <w:bookmarkEnd w:id="4"/>
    <w:p w14:paraId="5F8C518B" w14:textId="3E10F4B8" w:rsidR="00D12C32" w:rsidRPr="00D12C32" w:rsidRDefault="00D12C32" w:rsidP="00D12C32">
      <w:pPr>
        <w:pStyle w:val="ListParagraph"/>
        <w:numPr>
          <w:ilvl w:val="1"/>
          <w:numId w:val="15"/>
        </w:numPr>
        <w:spacing w:line="360" w:lineRule="auto"/>
        <w:rPr>
          <w:b/>
          <w:bCs/>
          <w:u w:val="single"/>
        </w:rPr>
      </w:pPr>
      <w:r>
        <w:t>Internet of Things</w:t>
      </w:r>
    </w:p>
    <w:p w14:paraId="52DFBF97" w14:textId="77777777" w:rsidR="00D12C32" w:rsidRPr="00D12C32" w:rsidRDefault="00D12C32" w:rsidP="00D12C32">
      <w:pPr>
        <w:pStyle w:val="ListParagraph"/>
        <w:numPr>
          <w:ilvl w:val="2"/>
          <w:numId w:val="15"/>
        </w:numPr>
        <w:spacing w:line="360" w:lineRule="auto"/>
      </w:pPr>
      <w:r w:rsidRPr="00D12C32">
        <w:t>Energy Use Case / Business Case</w:t>
      </w:r>
    </w:p>
    <w:p w14:paraId="6CC5F345" w14:textId="77777777" w:rsidR="00D12C32" w:rsidRPr="00D12C32" w:rsidRDefault="00D12C32" w:rsidP="00D12C32">
      <w:pPr>
        <w:pStyle w:val="ListParagraph"/>
        <w:numPr>
          <w:ilvl w:val="2"/>
          <w:numId w:val="15"/>
        </w:numPr>
        <w:spacing w:line="360" w:lineRule="auto"/>
      </w:pPr>
      <w:r w:rsidRPr="00D12C32">
        <w:t>Benefits to the Energy Markets</w:t>
      </w:r>
    </w:p>
    <w:p w14:paraId="0112A218" w14:textId="77777777" w:rsidR="00D12C32" w:rsidRPr="00D12C32" w:rsidRDefault="00D12C32" w:rsidP="00D12C32">
      <w:pPr>
        <w:pStyle w:val="ListParagraph"/>
        <w:numPr>
          <w:ilvl w:val="2"/>
          <w:numId w:val="15"/>
        </w:numPr>
        <w:spacing w:line="360" w:lineRule="auto"/>
      </w:pPr>
      <w:r w:rsidRPr="00D12C32">
        <w:t>Issues &amp; Concerns</w:t>
      </w:r>
    </w:p>
    <w:p w14:paraId="42E1284B" w14:textId="77777777" w:rsidR="00D12C32" w:rsidRPr="00D12C32" w:rsidRDefault="00D12C32" w:rsidP="00D12C32">
      <w:pPr>
        <w:pStyle w:val="ListParagraph"/>
        <w:numPr>
          <w:ilvl w:val="2"/>
          <w:numId w:val="15"/>
        </w:numPr>
        <w:spacing w:line="360" w:lineRule="auto"/>
      </w:pPr>
      <w:r w:rsidRPr="00D12C32">
        <w:t>Existing Standards and Efforts</w:t>
      </w:r>
    </w:p>
    <w:p w14:paraId="52D39A37" w14:textId="1AD01489" w:rsidR="00D12C32" w:rsidRDefault="00D12C32" w:rsidP="00D12C32">
      <w:pPr>
        <w:pStyle w:val="ListParagraph"/>
        <w:numPr>
          <w:ilvl w:val="2"/>
          <w:numId w:val="15"/>
        </w:numPr>
        <w:spacing w:line="360" w:lineRule="auto"/>
      </w:pPr>
      <w:r w:rsidRPr="00D12C32">
        <w:t>Recommendation – Relevancy and Urgency</w:t>
      </w:r>
    </w:p>
    <w:p w14:paraId="3BB09C78" w14:textId="79ECB156" w:rsidR="00D12C32" w:rsidRDefault="00D12C32" w:rsidP="00D12C32">
      <w:pPr>
        <w:pStyle w:val="ListParagraph"/>
        <w:numPr>
          <w:ilvl w:val="1"/>
          <w:numId w:val="15"/>
        </w:numPr>
        <w:spacing w:line="360" w:lineRule="auto"/>
      </w:pPr>
      <w:r>
        <w:t>5G Implementation</w:t>
      </w:r>
    </w:p>
    <w:p w14:paraId="1B30CEDA" w14:textId="77777777" w:rsidR="00D12C32" w:rsidRDefault="00D12C32" w:rsidP="00D12C32">
      <w:pPr>
        <w:pStyle w:val="ListParagraph"/>
        <w:numPr>
          <w:ilvl w:val="2"/>
          <w:numId w:val="15"/>
        </w:numPr>
        <w:spacing w:line="360" w:lineRule="auto"/>
      </w:pPr>
      <w:r>
        <w:t>Energy Use Case / Business Case</w:t>
      </w:r>
    </w:p>
    <w:p w14:paraId="3A7C33C6" w14:textId="77777777" w:rsidR="00D12C32" w:rsidRDefault="00D12C32" w:rsidP="00D12C32">
      <w:pPr>
        <w:pStyle w:val="ListParagraph"/>
        <w:numPr>
          <w:ilvl w:val="2"/>
          <w:numId w:val="15"/>
        </w:numPr>
        <w:spacing w:line="360" w:lineRule="auto"/>
      </w:pPr>
      <w:r>
        <w:t>Benefits to the Energy Markets</w:t>
      </w:r>
    </w:p>
    <w:p w14:paraId="49DAFDB5" w14:textId="77777777" w:rsidR="00D12C32" w:rsidRDefault="00D12C32" w:rsidP="00D12C32">
      <w:pPr>
        <w:pStyle w:val="ListParagraph"/>
        <w:numPr>
          <w:ilvl w:val="2"/>
          <w:numId w:val="15"/>
        </w:numPr>
        <w:spacing w:line="360" w:lineRule="auto"/>
      </w:pPr>
      <w:r>
        <w:t>Issues &amp; Concerns</w:t>
      </w:r>
    </w:p>
    <w:p w14:paraId="7143ED3B" w14:textId="77777777" w:rsidR="00D12C32" w:rsidRDefault="00D12C32" w:rsidP="00D12C32">
      <w:pPr>
        <w:pStyle w:val="ListParagraph"/>
        <w:numPr>
          <w:ilvl w:val="2"/>
          <w:numId w:val="15"/>
        </w:numPr>
        <w:spacing w:line="360" w:lineRule="auto"/>
      </w:pPr>
      <w:r>
        <w:t>Existing Standards and Efforts</w:t>
      </w:r>
    </w:p>
    <w:p w14:paraId="55F0E086" w14:textId="77777777" w:rsidR="00D12C32" w:rsidRDefault="00D12C32" w:rsidP="00D12C32">
      <w:pPr>
        <w:pStyle w:val="ListParagraph"/>
        <w:numPr>
          <w:ilvl w:val="2"/>
          <w:numId w:val="15"/>
        </w:numPr>
        <w:spacing w:line="360" w:lineRule="auto"/>
      </w:pPr>
      <w:r>
        <w:t>Recommendation – Relevancy and Urgency</w:t>
      </w:r>
    </w:p>
    <w:p w14:paraId="5CB8E79A" w14:textId="6A1F7B26" w:rsidR="00D12C32" w:rsidRDefault="00D12C32" w:rsidP="00D12C32">
      <w:pPr>
        <w:pStyle w:val="ListParagraph"/>
        <w:numPr>
          <w:ilvl w:val="1"/>
          <w:numId w:val="15"/>
        </w:numPr>
        <w:spacing w:line="360" w:lineRule="auto"/>
      </w:pPr>
      <w:r>
        <w:t>Data Analytics [Improved]</w:t>
      </w:r>
    </w:p>
    <w:p w14:paraId="562F55A8" w14:textId="77777777" w:rsidR="00D12C32" w:rsidRDefault="00D12C32" w:rsidP="00D12C32">
      <w:pPr>
        <w:pStyle w:val="ListParagraph"/>
        <w:numPr>
          <w:ilvl w:val="2"/>
          <w:numId w:val="15"/>
        </w:numPr>
        <w:spacing w:line="360" w:lineRule="auto"/>
      </w:pPr>
      <w:r>
        <w:t>Energy Use Case / Business Case</w:t>
      </w:r>
    </w:p>
    <w:p w14:paraId="70F5F31B" w14:textId="77777777" w:rsidR="00D12C32" w:rsidRDefault="00D12C32" w:rsidP="00D12C32">
      <w:pPr>
        <w:pStyle w:val="ListParagraph"/>
        <w:numPr>
          <w:ilvl w:val="2"/>
          <w:numId w:val="15"/>
        </w:numPr>
        <w:spacing w:line="360" w:lineRule="auto"/>
      </w:pPr>
      <w:r>
        <w:t>Benefits to the Energy Markets</w:t>
      </w:r>
    </w:p>
    <w:p w14:paraId="267C5449" w14:textId="77777777" w:rsidR="00D12C32" w:rsidRDefault="00D12C32" w:rsidP="00D12C32">
      <w:pPr>
        <w:pStyle w:val="ListParagraph"/>
        <w:numPr>
          <w:ilvl w:val="2"/>
          <w:numId w:val="15"/>
        </w:numPr>
        <w:spacing w:line="360" w:lineRule="auto"/>
      </w:pPr>
      <w:r>
        <w:t>Issues &amp; Concerns</w:t>
      </w:r>
    </w:p>
    <w:p w14:paraId="0ABA4991" w14:textId="77777777" w:rsidR="00D12C32" w:rsidRDefault="00D12C32" w:rsidP="00D12C32">
      <w:pPr>
        <w:pStyle w:val="ListParagraph"/>
        <w:numPr>
          <w:ilvl w:val="2"/>
          <w:numId w:val="15"/>
        </w:numPr>
        <w:spacing w:line="360" w:lineRule="auto"/>
      </w:pPr>
      <w:r>
        <w:t>Existing Standards and Efforts</w:t>
      </w:r>
    </w:p>
    <w:p w14:paraId="27A4F95F" w14:textId="77777777" w:rsidR="00D12C32" w:rsidRDefault="00D12C32" w:rsidP="00D12C32">
      <w:pPr>
        <w:pStyle w:val="ListParagraph"/>
        <w:numPr>
          <w:ilvl w:val="2"/>
          <w:numId w:val="15"/>
        </w:numPr>
        <w:spacing w:line="360" w:lineRule="auto"/>
      </w:pPr>
      <w:r>
        <w:t>Recommendation – Relevancy and Urgency</w:t>
      </w:r>
    </w:p>
    <w:p w14:paraId="66A51D14" w14:textId="42F12FA2" w:rsidR="00D12C32" w:rsidRPr="00D12C32" w:rsidRDefault="00D12C32" w:rsidP="00D12C32">
      <w:pPr>
        <w:pStyle w:val="ListParagraph"/>
        <w:numPr>
          <w:ilvl w:val="0"/>
          <w:numId w:val="15"/>
        </w:numPr>
        <w:spacing w:line="360" w:lineRule="auto"/>
        <w:rPr>
          <w:b/>
          <w:bCs/>
          <w:u w:val="single"/>
        </w:rPr>
      </w:pPr>
      <w:r w:rsidRPr="00D12C32">
        <w:rPr>
          <w:u w:val="single"/>
        </w:rPr>
        <w:t xml:space="preserve">Areas </w:t>
      </w:r>
      <w:r>
        <w:rPr>
          <w:u w:val="single"/>
        </w:rPr>
        <w:t xml:space="preserve">Impacted </w:t>
      </w:r>
      <w:r w:rsidRPr="00D12C32">
        <w:rPr>
          <w:u w:val="single"/>
        </w:rPr>
        <w:t xml:space="preserve">by Digitalization </w:t>
      </w:r>
    </w:p>
    <w:p w14:paraId="67598625" w14:textId="6D4CF9CA" w:rsidR="00D12C32" w:rsidRPr="00D12C32" w:rsidRDefault="00B276AB" w:rsidP="00D12C32">
      <w:pPr>
        <w:pStyle w:val="ListParagraph"/>
        <w:numPr>
          <w:ilvl w:val="1"/>
          <w:numId w:val="15"/>
        </w:numPr>
        <w:spacing w:line="360" w:lineRule="auto"/>
        <w:rPr>
          <w:b/>
          <w:bCs/>
          <w:u w:val="single"/>
        </w:rPr>
      </w:pPr>
      <w:bookmarkStart w:id="5" w:name="_Hlk14360450"/>
      <w:r>
        <w:t>Renewable Energy Certificate Tracking/Accounting</w:t>
      </w:r>
    </w:p>
    <w:p w14:paraId="63E2787B" w14:textId="77777777" w:rsidR="00D12C32" w:rsidRPr="00D12C32" w:rsidRDefault="00D12C32" w:rsidP="00D12C32">
      <w:pPr>
        <w:pStyle w:val="ListParagraph"/>
        <w:numPr>
          <w:ilvl w:val="2"/>
          <w:numId w:val="15"/>
        </w:numPr>
        <w:spacing w:line="360" w:lineRule="auto"/>
      </w:pPr>
      <w:r w:rsidRPr="00D12C32">
        <w:t>Energy Use Case / Business Case</w:t>
      </w:r>
    </w:p>
    <w:p w14:paraId="0234EFD0" w14:textId="77777777" w:rsidR="00D12C32" w:rsidRPr="00D12C32" w:rsidRDefault="00D12C32" w:rsidP="00D12C32">
      <w:pPr>
        <w:pStyle w:val="ListParagraph"/>
        <w:numPr>
          <w:ilvl w:val="2"/>
          <w:numId w:val="15"/>
        </w:numPr>
        <w:spacing w:line="360" w:lineRule="auto"/>
      </w:pPr>
      <w:r w:rsidRPr="00D12C32">
        <w:lastRenderedPageBreak/>
        <w:t>Benefits to the Energy Markets</w:t>
      </w:r>
    </w:p>
    <w:p w14:paraId="43E0ABF8" w14:textId="77777777" w:rsidR="00D12C32" w:rsidRPr="00D12C32" w:rsidRDefault="00D12C32" w:rsidP="00D12C32">
      <w:pPr>
        <w:pStyle w:val="ListParagraph"/>
        <w:numPr>
          <w:ilvl w:val="2"/>
          <w:numId w:val="15"/>
        </w:numPr>
        <w:spacing w:line="360" w:lineRule="auto"/>
      </w:pPr>
      <w:r w:rsidRPr="00D12C32">
        <w:t>Issues &amp; Concerns</w:t>
      </w:r>
    </w:p>
    <w:p w14:paraId="1D3225C9" w14:textId="77777777" w:rsidR="00D12C32" w:rsidRPr="00D12C32" w:rsidRDefault="00D12C32" w:rsidP="00D12C32">
      <w:pPr>
        <w:pStyle w:val="ListParagraph"/>
        <w:numPr>
          <w:ilvl w:val="2"/>
          <w:numId w:val="15"/>
        </w:numPr>
        <w:spacing w:line="360" w:lineRule="auto"/>
      </w:pPr>
      <w:r w:rsidRPr="00D12C32">
        <w:t>Existing Standards and Efforts</w:t>
      </w:r>
    </w:p>
    <w:p w14:paraId="27E04E96" w14:textId="77777777" w:rsidR="00D12C32" w:rsidRPr="00D12C32" w:rsidRDefault="00D12C32" w:rsidP="00D12C32">
      <w:pPr>
        <w:pStyle w:val="ListParagraph"/>
        <w:numPr>
          <w:ilvl w:val="2"/>
          <w:numId w:val="15"/>
        </w:numPr>
        <w:spacing w:line="360" w:lineRule="auto"/>
      </w:pPr>
      <w:r w:rsidRPr="00D12C32">
        <w:t>Recommendation – Relevancy and Urgency</w:t>
      </w:r>
    </w:p>
    <w:bookmarkEnd w:id="5"/>
    <w:p w14:paraId="0BB4BBBE" w14:textId="3EFA79C9" w:rsidR="00B276AB" w:rsidRPr="00D12C32" w:rsidRDefault="00B276AB" w:rsidP="00B276AB">
      <w:pPr>
        <w:pStyle w:val="ListParagraph"/>
        <w:numPr>
          <w:ilvl w:val="1"/>
          <w:numId w:val="15"/>
        </w:numPr>
        <w:spacing w:line="360" w:lineRule="auto"/>
        <w:rPr>
          <w:b/>
          <w:bCs/>
          <w:u w:val="single"/>
        </w:rPr>
      </w:pPr>
      <w:r>
        <w:t>Distributed Energy Resource Communication Protocols</w:t>
      </w:r>
    </w:p>
    <w:p w14:paraId="37F7C1AB" w14:textId="77777777" w:rsidR="00B276AB" w:rsidRPr="00D12C32" w:rsidRDefault="00B276AB" w:rsidP="00B276AB">
      <w:pPr>
        <w:pStyle w:val="ListParagraph"/>
        <w:numPr>
          <w:ilvl w:val="2"/>
          <w:numId w:val="15"/>
        </w:numPr>
        <w:spacing w:line="360" w:lineRule="auto"/>
      </w:pPr>
      <w:r w:rsidRPr="00D12C32">
        <w:t>Energy Use Case / Business Case</w:t>
      </w:r>
    </w:p>
    <w:p w14:paraId="36CD7E03" w14:textId="77777777" w:rsidR="00B276AB" w:rsidRPr="00D12C32" w:rsidRDefault="00B276AB" w:rsidP="00B276AB">
      <w:pPr>
        <w:pStyle w:val="ListParagraph"/>
        <w:numPr>
          <w:ilvl w:val="2"/>
          <w:numId w:val="15"/>
        </w:numPr>
        <w:spacing w:line="360" w:lineRule="auto"/>
      </w:pPr>
      <w:r w:rsidRPr="00D12C32">
        <w:t>Benefits to the Energy Markets</w:t>
      </w:r>
    </w:p>
    <w:p w14:paraId="0467F81C" w14:textId="77777777" w:rsidR="00B276AB" w:rsidRPr="00D12C32" w:rsidRDefault="00B276AB" w:rsidP="00B276AB">
      <w:pPr>
        <w:pStyle w:val="ListParagraph"/>
        <w:numPr>
          <w:ilvl w:val="2"/>
          <w:numId w:val="15"/>
        </w:numPr>
        <w:spacing w:line="360" w:lineRule="auto"/>
      </w:pPr>
      <w:r w:rsidRPr="00D12C32">
        <w:t>Issues &amp; Concerns</w:t>
      </w:r>
    </w:p>
    <w:p w14:paraId="23A5F46F" w14:textId="77777777" w:rsidR="00B276AB" w:rsidRPr="00D12C32" w:rsidRDefault="00B276AB" w:rsidP="00B276AB">
      <w:pPr>
        <w:pStyle w:val="ListParagraph"/>
        <w:numPr>
          <w:ilvl w:val="2"/>
          <w:numId w:val="15"/>
        </w:numPr>
        <w:spacing w:line="360" w:lineRule="auto"/>
      </w:pPr>
      <w:r w:rsidRPr="00D12C32">
        <w:t>Existing Standards and Efforts</w:t>
      </w:r>
    </w:p>
    <w:p w14:paraId="309F0AE3" w14:textId="77777777" w:rsidR="00B276AB" w:rsidRPr="00D12C32" w:rsidRDefault="00B276AB" w:rsidP="00B276AB">
      <w:pPr>
        <w:pStyle w:val="ListParagraph"/>
        <w:numPr>
          <w:ilvl w:val="2"/>
          <w:numId w:val="15"/>
        </w:numPr>
        <w:spacing w:line="360" w:lineRule="auto"/>
      </w:pPr>
      <w:r w:rsidRPr="00D12C32">
        <w:t>Recommendation – Relevancy and Urgency</w:t>
      </w:r>
    </w:p>
    <w:p w14:paraId="54C45910" w14:textId="6F90DC4D" w:rsidR="00D12C32" w:rsidRPr="00D12C32" w:rsidRDefault="00B276AB" w:rsidP="00D12C32">
      <w:pPr>
        <w:pStyle w:val="ListParagraph"/>
        <w:numPr>
          <w:ilvl w:val="1"/>
          <w:numId w:val="15"/>
        </w:numPr>
        <w:spacing w:line="360" w:lineRule="auto"/>
      </w:pPr>
      <w:r>
        <w:t>Deployable Shareware</w:t>
      </w:r>
    </w:p>
    <w:p w14:paraId="11737D55" w14:textId="77777777" w:rsidR="00B276AB" w:rsidRPr="00D12C32" w:rsidRDefault="00B276AB" w:rsidP="00B276AB">
      <w:pPr>
        <w:pStyle w:val="ListParagraph"/>
        <w:numPr>
          <w:ilvl w:val="2"/>
          <w:numId w:val="15"/>
        </w:numPr>
        <w:spacing w:line="360" w:lineRule="auto"/>
      </w:pPr>
      <w:r w:rsidRPr="00D12C32">
        <w:t>Energy Use Case / Business Case</w:t>
      </w:r>
    </w:p>
    <w:p w14:paraId="169BD3BD" w14:textId="77777777" w:rsidR="00B276AB" w:rsidRPr="00D12C32" w:rsidRDefault="00B276AB" w:rsidP="00B276AB">
      <w:pPr>
        <w:pStyle w:val="ListParagraph"/>
        <w:numPr>
          <w:ilvl w:val="2"/>
          <w:numId w:val="15"/>
        </w:numPr>
        <w:spacing w:line="360" w:lineRule="auto"/>
      </w:pPr>
      <w:r w:rsidRPr="00D12C32">
        <w:t>Benefits to the Energy Markets</w:t>
      </w:r>
    </w:p>
    <w:p w14:paraId="7316B36D" w14:textId="77777777" w:rsidR="00B276AB" w:rsidRPr="00D12C32" w:rsidRDefault="00B276AB" w:rsidP="00B276AB">
      <w:pPr>
        <w:pStyle w:val="ListParagraph"/>
        <w:numPr>
          <w:ilvl w:val="2"/>
          <w:numId w:val="15"/>
        </w:numPr>
        <w:spacing w:line="360" w:lineRule="auto"/>
      </w:pPr>
      <w:r w:rsidRPr="00D12C32">
        <w:t>Issues &amp; Concerns</w:t>
      </w:r>
    </w:p>
    <w:p w14:paraId="48EE5E86" w14:textId="77777777" w:rsidR="00B276AB" w:rsidRPr="00D12C32" w:rsidRDefault="00B276AB" w:rsidP="00B276AB">
      <w:pPr>
        <w:pStyle w:val="ListParagraph"/>
        <w:numPr>
          <w:ilvl w:val="2"/>
          <w:numId w:val="15"/>
        </w:numPr>
        <w:spacing w:line="360" w:lineRule="auto"/>
      </w:pPr>
      <w:r w:rsidRPr="00D12C32">
        <w:t>Existing Standards and Efforts</w:t>
      </w:r>
    </w:p>
    <w:p w14:paraId="7BAD1351" w14:textId="10A9E3DC" w:rsidR="00B276AB" w:rsidRDefault="00B276AB" w:rsidP="00B276AB">
      <w:pPr>
        <w:pStyle w:val="ListParagraph"/>
        <w:numPr>
          <w:ilvl w:val="2"/>
          <w:numId w:val="15"/>
        </w:numPr>
        <w:spacing w:line="360" w:lineRule="auto"/>
      </w:pPr>
      <w:r w:rsidRPr="00D12C32">
        <w:t>Recommendation – Relevancy and Urgency</w:t>
      </w:r>
    </w:p>
    <w:p w14:paraId="2314DD73" w14:textId="576BFF5B" w:rsidR="00B276AB" w:rsidRPr="00D12C32" w:rsidRDefault="00B276AB" w:rsidP="00B276AB">
      <w:pPr>
        <w:pStyle w:val="ListParagraph"/>
        <w:numPr>
          <w:ilvl w:val="0"/>
          <w:numId w:val="15"/>
        </w:numPr>
        <w:spacing w:line="360" w:lineRule="auto"/>
        <w:rPr>
          <w:b/>
          <w:bCs/>
          <w:u w:val="single"/>
        </w:rPr>
      </w:pPr>
      <w:r w:rsidRPr="00D12C32">
        <w:rPr>
          <w:u w:val="single"/>
        </w:rPr>
        <w:t xml:space="preserve">Areas </w:t>
      </w:r>
      <w:r>
        <w:rPr>
          <w:u w:val="single"/>
        </w:rPr>
        <w:t>that Impact</w:t>
      </w:r>
      <w:r w:rsidRPr="00D12C32">
        <w:rPr>
          <w:u w:val="single"/>
        </w:rPr>
        <w:t xml:space="preserve"> Digitalization </w:t>
      </w:r>
    </w:p>
    <w:p w14:paraId="72805147" w14:textId="7AB36EDB" w:rsidR="00B276AB" w:rsidRPr="00D12C32" w:rsidRDefault="00B276AB" w:rsidP="00B276AB">
      <w:pPr>
        <w:pStyle w:val="ListParagraph"/>
        <w:numPr>
          <w:ilvl w:val="1"/>
          <w:numId w:val="15"/>
        </w:numPr>
        <w:spacing w:line="360" w:lineRule="auto"/>
        <w:rPr>
          <w:b/>
          <w:bCs/>
          <w:u w:val="single"/>
        </w:rPr>
      </w:pPr>
      <w:r>
        <w:t>Cybersecurity</w:t>
      </w:r>
    </w:p>
    <w:p w14:paraId="0365DC65" w14:textId="77777777" w:rsidR="00B276AB" w:rsidRPr="00D12C32" w:rsidRDefault="00B276AB" w:rsidP="00B276AB">
      <w:pPr>
        <w:pStyle w:val="ListParagraph"/>
        <w:numPr>
          <w:ilvl w:val="2"/>
          <w:numId w:val="15"/>
        </w:numPr>
        <w:spacing w:line="360" w:lineRule="auto"/>
      </w:pPr>
      <w:r w:rsidRPr="00D12C32">
        <w:t>Energy Use Case / Business Case</w:t>
      </w:r>
    </w:p>
    <w:p w14:paraId="75C4C097" w14:textId="77777777" w:rsidR="00B276AB" w:rsidRPr="00D12C32" w:rsidRDefault="00B276AB" w:rsidP="00B276AB">
      <w:pPr>
        <w:pStyle w:val="ListParagraph"/>
        <w:numPr>
          <w:ilvl w:val="2"/>
          <w:numId w:val="15"/>
        </w:numPr>
        <w:spacing w:line="360" w:lineRule="auto"/>
      </w:pPr>
      <w:r w:rsidRPr="00D12C32">
        <w:t>Benefits to the Energy Markets</w:t>
      </w:r>
    </w:p>
    <w:p w14:paraId="181D6003" w14:textId="77777777" w:rsidR="00B276AB" w:rsidRPr="00D12C32" w:rsidRDefault="00B276AB" w:rsidP="00B276AB">
      <w:pPr>
        <w:pStyle w:val="ListParagraph"/>
        <w:numPr>
          <w:ilvl w:val="2"/>
          <w:numId w:val="15"/>
        </w:numPr>
        <w:spacing w:line="360" w:lineRule="auto"/>
      </w:pPr>
      <w:r w:rsidRPr="00D12C32">
        <w:t>Issues &amp; Concerns</w:t>
      </w:r>
    </w:p>
    <w:p w14:paraId="39F91002" w14:textId="77777777" w:rsidR="00B276AB" w:rsidRPr="00D12C32" w:rsidRDefault="00B276AB" w:rsidP="00B276AB">
      <w:pPr>
        <w:pStyle w:val="ListParagraph"/>
        <w:numPr>
          <w:ilvl w:val="2"/>
          <w:numId w:val="15"/>
        </w:numPr>
        <w:spacing w:line="360" w:lineRule="auto"/>
      </w:pPr>
      <w:r w:rsidRPr="00D12C32">
        <w:t>Existing Standards and Efforts</w:t>
      </w:r>
    </w:p>
    <w:p w14:paraId="22E7EA0E" w14:textId="77777777" w:rsidR="00B276AB" w:rsidRPr="00D12C32" w:rsidRDefault="00B276AB" w:rsidP="00B276AB">
      <w:pPr>
        <w:pStyle w:val="ListParagraph"/>
        <w:numPr>
          <w:ilvl w:val="2"/>
          <w:numId w:val="15"/>
        </w:numPr>
        <w:spacing w:line="360" w:lineRule="auto"/>
      </w:pPr>
      <w:r w:rsidRPr="00D12C32">
        <w:t>Recommendation – Relevancy and Urgency</w:t>
      </w:r>
    </w:p>
    <w:p w14:paraId="120DA7DD" w14:textId="3C620928" w:rsidR="00B276AB" w:rsidRPr="00D12C32" w:rsidRDefault="00B276AB" w:rsidP="00B276AB">
      <w:pPr>
        <w:pStyle w:val="ListParagraph"/>
        <w:numPr>
          <w:ilvl w:val="1"/>
          <w:numId w:val="15"/>
        </w:numPr>
        <w:spacing w:line="360" w:lineRule="auto"/>
        <w:rPr>
          <w:b/>
          <w:bCs/>
          <w:u w:val="single"/>
        </w:rPr>
      </w:pPr>
      <w:r>
        <w:t>Data Governance</w:t>
      </w:r>
    </w:p>
    <w:p w14:paraId="2311686B" w14:textId="77777777" w:rsidR="00B276AB" w:rsidRPr="00D12C32" w:rsidRDefault="00B276AB" w:rsidP="00B276AB">
      <w:pPr>
        <w:pStyle w:val="ListParagraph"/>
        <w:numPr>
          <w:ilvl w:val="2"/>
          <w:numId w:val="15"/>
        </w:numPr>
        <w:spacing w:line="360" w:lineRule="auto"/>
      </w:pPr>
      <w:r w:rsidRPr="00D12C32">
        <w:t>Energy Use Case / Business Case</w:t>
      </w:r>
    </w:p>
    <w:p w14:paraId="6DDF8F0F" w14:textId="77777777" w:rsidR="00B276AB" w:rsidRPr="00D12C32" w:rsidRDefault="00B276AB" w:rsidP="00B276AB">
      <w:pPr>
        <w:pStyle w:val="ListParagraph"/>
        <w:numPr>
          <w:ilvl w:val="2"/>
          <w:numId w:val="15"/>
        </w:numPr>
        <w:spacing w:line="360" w:lineRule="auto"/>
      </w:pPr>
      <w:r w:rsidRPr="00D12C32">
        <w:t>Benefits to the Energy Markets</w:t>
      </w:r>
    </w:p>
    <w:p w14:paraId="34802983" w14:textId="77777777" w:rsidR="00B276AB" w:rsidRPr="00D12C32" w:rsidRDefault="00B276AB" w:rsidP="00B276AB">
      <w:pPr>
        <w:pStyle w:val="ListParagraph"/>
        <w:numPr>
          <w:ilvl w:val="2"/>
          <w:numId w:val="15"/>
        </w:numPr>
        <w:spacing w:line="360" w:lineRule="auto"/>
      </w:pPr>
      <w:r w:rsidRPr="00D12C32">
        <w:t>Issues &amp; Concerns</w:t>
      </w:r>
    </w:p>
    <w:p w14:paraId="33C55232" w14:textId="77777777" w:rsidR="00B276AB" w:rsidRPr="00D12C32" w:rsidRDefault="00B276AB" w:rsidP="00B276AB">
      <w:pPr>
        <w:pStyle w:val="ListParagraph"/>
        <w:numPr>
          <w:ilvl w:val="2"/>
          <w:numId w:val="15"/>
        </w:numPr>
        <w:spacing w:line="360" w:lineRule="auto"/>
      </w:pPr>
      <w:r w:rsidRPr="00D12C32">
        <w:t>Existing Standards and Efforts</w:t>
      </w:r>
    </w:p>
    <w:p w14:paraId="33EF0635" w14:textId="77777777" w:rsidR="00B276AB" w:rsidRPr="00D12C32" w:rsidRDefault="00B276AB" w:rsidP="00B276AB">
      <w:pPr>
        <w:pStyle w:val="ListParagraph"/>
        <w:numPr>
          <w:ilvl w:val="2"/>
          <w:numId w:val="15"/>
        </w:numPr>
        <w:spacing w:line="360" w:lineRule="auto"/>
      </w:pPr>
      <w:r w:rsidRPr="00D12C32">
        <w:t>Recommendation – Relevancy and Urgency</w:t>
      </w:r>
    </w:p>
    <w:p w14:paraId="1806132F" w14:textId="7BCA9238" w:rsidR="00B276AB" w:rsidRPr="00D12C32" w:rsidRDefault="00B276AB" w:rsidP="00B276AB">
      <w:pPr>
        <w:pStyle w:val="ListParagraph"/>
        <w:numPr>
          <w:ilvl w:val="1"/>
          <w:numId w:val="15"/>
        </w:numPr>
        <w:spacing w:line="360" w:lineRule="auto"/>
        <w:rPr>
          <w:b/>
          <w:bCs/>
          <w:u w:val="single"/>
        </w:rPr>
      </w:pPr>
      <w:r>
        <w:t>Cloud Computing</w:t>
      </w:r>
    </w:p>
    <w:p w14:paraId="65C97E55" w14:textId="77777777" w:rsidR="00B276AB" w:rsidRPr="00D12C32" w:rsidRDefault="00B276AB" w:rsidP="00B276AB">
      <w:pPr>
        <w:pStyle w:val="ListParagraph"/>
        <w:numPr>
          <w:ilvl w:val="2"/>
          <w:numId w:val="15"/>
        </w:numPr>
        <w:spacing w:line="360" w:lineRule="auto"/>
      </w:pPr>
      <w:r w:rsidRPr="00D12C32">
        <w:t>Energy Use Case / Business Case</w:t>
      </w:r>
    </w:p>
    <w:p w14:paraId="7E006AE0" w14:textId="77777777" w:rsidR="00B276AB" w:rsidRPr="00D12C32" w:rsidRDefault="00B276AB" w:rsidP="00B276AB">
      <w:pPr>
        <w:pStyle w:val="ListParagraph"/>
        <w:numPr>
          <w:ilvl w:val="2"/>
          <w:numId w:val="15"/>
        </w:numPr>
        <w:spacing w:line="360" w:lineRule="auto"/>
      </w:pPr>
      <w:r w:rsidRPr="00D12C32">
        <w:t>Benefits to the Energy Markets</w:t>
      </w:r>
    </w:p>
    <w:p w14:paraId="71111812" w14:textId="77777777" w:rsidR="00B276AB" w:rsidRPr="00D12C32" w:rsidRDefault="00B276AB" w:rsidP="00B276AB">
      <w:pPr>
        <w:pStyle w:val="ListParagraph"/>
        <w:numPr>
          <w:ilvl w:val="2"/>
          <w:numId w:val="15"/>
        </w:numPr>
        <w:spacing w:line="360" w:lineRule="auto"/>
      </w:pPr>
      <w:r w:rsidRPr="00D12C32">
        <w:t>Issues &amp; Concerns</w:t>
      </w:r>
    </w:p>
    <w:p w14:paraId="37D55EC1" w14:textId="77777777" w:rsidR="00B276AB" w:rsidRPr="00D12C32" w:rsidRDefault="00B276AB" w:rsidP="00B276AB">
      <w:pPr>
        <w:pStyle w:val="ListParagraph"/>
        <w:numPr>
          <w:ilvl w:val="2"/>
          <w:numId w:val="15"/>
        </w:numPr>
        <w:spacing w:line="360" w:lineRule="auto"/>
      </w:pPr>
      <w:r w:rsidRPr="00D12C32">
        <w:lastRenderedPageBreak/>
        <w:t>Existing Standards and Efforts</w:t>
      </w:r>
    </w:p>
    <w:p w14:paraId="0FA0E177" w14:textId="77777777" w:rsidR="00B276AB" w:rsidRPr="00D12C32" w:rsidRDefault="00B276AB" w:rsidP="00B276AB">
      <w:pPr>
        <w:pStyle w:val="ListParagraph"/>
        <w:numPr>
          <w:ilvl w:val="2"/>
          <w:numId w:val="15"/>
        </w:numPr>
        <w:spacing w:line="360" w:lineRule="auto"/>
      </w:pPr>
      <w:r w:rsidRPr="00D12C32">
        <w:t>Recommendation – Relevancy and Urgency</w:t>
      </w:r>
    </w:p>
    <w:p w14:paraId="25585D2A" w14:textId="5DE9B5DA" w:rsidR="00B276AB" w:rsidRPr="00D12C32" w:rsidRDefault="00B276AB" w:rsidP="00B276AB">
      <w:pPr>
        <w:pStyle w:val="ListParagraph"/>
        <w:numPr>
          <w:ilvl w:val="1"/>
          <w:numId w:val="15"/>
        </w:numPr>
        <w:spacing w:line="360" w:lineRule="auto"/>
        <w:rPr>
          <w:b/>
          <w:bCs/>
          <w:u w:val="single"/>
        </w:rPr>
      </w:pPr>
      <w:r>
        <w:t>Energy Usage Data Management/Communication</w:t>
      </w:r>
    </w:p>
    <w:p w14:paraId="49FAE09C" w14:textId="77777777" w:rsidR="00B276AB" w:rsidRPr="00D12C32" w:rsidRDefault="00B276AB" w:rsidP="00B276AB">
      <w:pPr>
        <w:pStyle w:val="ListParagraph"/>
        <w:numPr>
          <w:ilvl w:val="2"/>
          <w:numId w:val="15"/>
        </w:numPr>
        <w:spacing w:line="360" w:lineRule="auto"/>
      </w:pPr>
      <w:r w:rsidRPr="00D12C32">
        <w:t>Overview/Industry Definition</w:t>
      </w:r>
    </w:p>
    <w:p w14:paraId="38879E09" w14:textId="77777777" w:rsidR="00B276AB" w:rsidRPr="00D12C32" w:rsidRDefault="00B276AB" w:rsidP="00B276AB">
      <w:pPr>
        <w:pStyle w:val="ListParagraph"/>
        <w:numPr>
          <w:ilvl w:val="2"/>
          <w:numId w:val="15"/>
        </w:numPr>
        <w:spacing w:line="360" w:lineRule="auto"/>
      </w:pPr>
      <w:r w:rsidRPr="00D12C32">
        <w:t>Energy Use Case / Business Case</w:t>
      </w:r>
    </w:p>
    <w:p w14:paraId="45C67F2F" w14:textId="77777777" w:rsidR="00B276AB" w:rsidRPr="00D12C32" w:rsidRDefault="00B276AB" w:rsidP="00B276AB">
      <w:pPr>
        <w:pStyle w:val="ListParagraph"/>
        <w:numPr>
          <w:ilvl w:val="2"/>
          <w:numId w:val="15"/>
        </w:numPr>
        <w:spacing w:line="360" w:lineRule="auto"/>
      </w:pPr>
      <w:r w:rsidRPr="00D12C32">
        <w:t>Benefits to the Energy Markets</w:t>
      </w:r>
    </w:p>
    <w:p w14:paraId="6B0A0597" w14:textId="77777777" w:rsidR="00B276AB" w:rsidRPr="00D12C32" w:rsidRDefault="00B276AB" w:rsidP="00B276AB">
      <w:pPr>
        <w:pStyle w:val="ListParagraph"/>
        <w:numPr>
          <w:ilvl w:val="2"/>
          <w:numId w:val="15"/>
        </w:numPr>
        <w:spacing w:line="360" w:lineRule="auto"/>
      </w:pPr>
      <w:r w:rsidRPr="00D12C32">
        <w:t>Issues &amp; Concerns</w:t>
      </w:r>
    </w:p>
    <w:p w14:paraId="7A8551AF" w14:textId="77777777" w:rsidR="00B276AB" w:rsidRPr="00D12C32" w:rsidRDefault="00B276AB" w:rsidP="00B276AB">
      <w:pPr>
        <w:pStyle w:val="ListParagraph"/>
        <w:numPr>
          <w:ilvl w:val="2"/>
          <w:numId w:val="15"/>
        </w:numPr>
        <w:spacing w:line="360" w:lineRule="auto"/>
      </w:pPr>
      <w:r w:rsidRPr="00D12C32">
        <w:t>Existing Standards and Efforts</w:t>
      </w:r>
    </w:p>
    <w:p w14:paraId="679BB310" w14:textId="77777777" w:rsidR="00B276AB" w:rsidRPr="00D12C32" w:rsidRDefault="00B276AB" w:rsidP="00B276AB">
      <w:pPr>
        <w:pStyle w:val="ListParagraph"/>
        <w:numPr>
          <w:ilvl w:val="2"/>
          <w:numId w:val="15"/>
        </w:numPr>
        <w:spacing w:line="360" w:lineRule="auto"/>
      </w:pPr>
      <w:r w:rsidRPr="00D12C32">
        <w:t>Recommendation – Relevancy and Urgency</w:t>
      </w:r>
    </w:p>
    <w:p w14:paraId="60972FE2" w14:textId="531B17C0" w:rsidR="00B276AB" w:rsidRDefault="00B276AB" w:rsidP="00B276AB">
      <w:pPr>
        <w:pStyle w:val="ListParagraph"/>
        <w:spacing w:line="360" w:lineRule="auto"/>
        <w:ind w:left="2880"/>
      </w:pPr>
    </w:p>
    <w:p w14:paraId="516B1556" w14:textId="063E5737" w:rsidR="00225AA8" w:rsidRDefault="00225AA8" w:rsidP="00225AA8">
      <w:pPr>
        <w:pStyle w:val="ListParagraph"/>
        <w:spacing w:line="360" w:lineRule="auto"/>
        <w:ind w:left="0"/>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20A49BE5" wp14:editId="18A7CC9D">
                <wp:simplePos x="0" y="0"/>
                <wp:positionH relativeFrom="column">
                  <wp:posOffset>1562100</wp:posOffset>
                </wp:positionH>
                <wp:positionV relativeFrom="paragraph">
                  <wp:posOffset>187325</wp:posOffset>
                </wp:positionV>
                <wp:extent cx="0" cy="1590675"/>
                <wp:effectExtent l="76200" t="38100" r="57150" b="9525"/>
                <wp:wrapNone/>
                <wp:docPr id="5" name="Straight Arrow Connector 5"/>
                <wp:cNvGraphicFramePr/>
                <a:graphic xmlns:a="http://schemas.openxmlformats.org/drawingml/2006/main">
                  <a:graphicData uri="http://schemas.microsoft.com/office/word/2010/wordprocessingShape">
                    <wps:wsp>
                      <wps:cNvCnPr/>
                      <wps:spPr>
                        <a:xfrm flipV="1">
                          <a:off x="0" y="0"/>
                          <a:ext cx="0" cy="1590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01EF3A" id="_x0000_t32" coordsize="21600,21600" o:spt="32" o:oned="t" path="m,l21600,21600e" filled="f">
                <v:path arrowok="t" fillok="f" o:connecttype="none"/>
                <o:lock v:ext="edit" shapetype="t"/>
              </v:shapetype>
              <v:shape id="Straight Arrow Connector 5" o:spid="_x0000_s1026" type="#_x0000_t32" style="position:absolute;margin-left:123pt;margin-top:14.75pt;width:0;height:125.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" strokecolor="#4579b8 [3044]">
                <v:stroke endarrow="block"/>
              </v:shape>
            </w:pict>
          </mc:Fallback>
        </mc:AlternateContent>
      </w:r>
      <w:r w:rsidRPr="00225AA8">
        <w:rPr>
          <w:b/>
          <w:bCs/>
          <w:u w:val="single"/>
        </w:rPr>
        <w:t>Matrix</w:t>
      </w:r>
    </w:p>
    <w:p w14:paraId="0D7FD8EB" w14:textId="7CB171AE" w:rsidR="00225AA8" w:rsidRDefault="00225AA8" w:rsidP="00225AA8">
      <w:pPr>
        <w:pStyle w:val="ListParagraph"/>
        <w:spacing w:line="360" w:lineRule="auto"/>
        <w:ind w:left="0"/>
        <w:jc w:val="center"/>
        <w:rPr>
          <w:b/>
          <w:bCs/>
          <w:u w:val="single"/>
        </w:rPr>
      </w:pPr>
    </w:p>
    <w:p w14:paraId="3E6316E6" w14:textId="7A72449A" w:rsidR="00225AA8" w:rsidRDefault="00225AA8" w:rsidP="00225AA8">
      <w:pPr>
        <w:pStyle w:val="ListParagraph"/>
        <w:spacing w:line="360" w:lineRule="auto"/>
        <w:ind w:left="0"/>
        <w:jc w:val="center"/>
        <w:rPr>
          <w:b/>
          <w:bCs/>
          <w:u w:val="single"/>
        </w:rPr>
      </w:pPr>
    </w:p>
    <w:p w14:paraId="0CBEB9FD" w14:textId="0BF1E413" w:rsidR="00225AA8" w:rsidRDefault="00225AA8" w:rsidP="00225AA8">
      <w:pPr>
        <w:pStyle w:val="ListParagraph"/>
        <w:spacing w:line="360" w:lineRule="auto"/>
        <w:ind w:left="0"/>
        <w:jc w:val="center"/>
        <w:rPr>
          <w:b/>
          <w:bCs/>
          <w:u w:val="single"/>
        </w:rPr>
      </w:pPr>
    </w:p>
    <w:p w14:paraId="59C7531D" w14:textId="786150F7" w:rsidR="00225AA8" w:rsidRPr="00225AA8" w:rsidRDefault="00E34526" w:rsidP="00E34526">
      <w:pPr>
        <w:pStyle w:val="ListParagraph"/>
        <w:tabs>
          <w:tab w:val="left" w:pos="1245"/>
        </w:tabs>
        <w:spacing w:line="360" w:lineRule="auto"/>
        <w:ind w:left="630"/>
      </w:pPr>
      <w:r w:rsidRPr="00E34526">
        <w:rPr>
          <w:b/>
          <w:bCs/>
        </w:rPr>
        <w:tab/>
      </w:r>
      <w:r w:rsidR="00225AA8">
        <w:rPr>
          <w:b/>
          <w:bCs/>
          <w:u w:val="single"/>
        </w:rPr>
        <w:t xml:space="preserve">Relevance </w:t>
      </w:r>
    </w:p>
    <w:p w14:paraId="14369F64" w14:textId="0E8D719C" w:rsidR="00225AA8" w:rsidRDefault="00225AA8" w:rsidP="00225AA8">
      <w:pPr>
        <w:pStyle w:val="ListParagraph"/>
        <w:spacing w:line="360" w:lineRule="auto"/>
        <w:ind w:left="0"/>
        <w:jc w:val="center"/>
        <w:rPr>
          <w:b/>
          <w:bCs/>
          <w:u w:val="single"/>
        </w:rPr>
      </w:pPr>
    </w:p>
    <w:p w14:paraId="634C1C93" w14:textId="79F1285D" w:rsidR="00225AA8" w:rsidRDefault="00225AA8" w:rsidP="00225AA8">
      <w:pPr>
        <w:pStyle w:val="ListParagraph"/>
        <w:spacing w:line="360" w:lineRule="auto"/>
        <w:ind w:left="0"/>
        <w:jc w:val="center"/>
        <w:rPr>
          <w:b/>
          <w:bCs/>
          <w:u w:val="single"/>
        </w:rPr>
      </w:pPr>
    </w:p>
    <w:p w14:paraId="33A66661" w14:textId="73999754" w:rsidR="00225AA8" w:rsidRPr="00225AA8" w:rsidRDefault="00225AA8" w:rsidP="00225AA8">
      <w:pPr>
        <w:pStyle w:val="ListParagraph"/>
        <w:spacing w:line="360" w:lineRule="auto"/>
        <w:ind w:left="0"/>
        <w:jc w:val="center"/>
        <w:rPr>
          <w:b/>
          <w:bCs/>
          <w:u w:val="single"/>
        </w:rPr>
      </w:pPr>
    </w:p>
    <w:p w14:paraId="31E2AE6E" w14:textId="664F62F4" w:rsidR="00DD465A" w:rsidRPr="00DD465A" w:rsidRDefault="00E34526" w:rsidP="00E34526">
      <w:pPr>
        <w:spacing w:before="120" w:after="120" w:line="360" w:lineRule="auto"/>
        <w:ind w:left="2880" w:firstLine="720"/>
        <w:rPr>
          <w:b/>
          <w:bCs/>
          <w:u w:val="single"/>
        </w:rPr>
      </w:pPr>
      <w:r>
        <w:rPr>
          <w:b/>
          <w:bCs/>
          <w:noProof/>
          <w:u w:val="single"/>
        </w:rPr>
        <mc:AlternateContent>
          <mc:Choice Requires="wps">
            <w:drawing>
              <wp:anchor distT="0" distB="0" distL="114300" distR="114300" simplePos="0" relativeHeight="251660288" behindDoc="0" locked="0" layoutInCell="1" allowOverlap="1" wp14:anchorId="1B2B5E0E" wp14:editId="6547F19F">
                <wp:simplePos x="0" y="0"/>
                <wp:positionH relativeFrom="column">
                  <wp:posOffset>1561465</wp:posOffset>
                </wp:positionH>
                <wp:positionV relativeFrom="paragraph">
                  <wp:posOffset>25400</wp:posOffset>
                </wp:positionV>
                <wp:extent cx="31527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152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A1927" id="Straight Arrow Connector 6" o:spid="_x0000_s1026" type="#_x0000_t32" style="position:absolute;margin-left:122.95pt;margin-top:2pt;width:24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" strokecolor="#4579b8 [3044]">
                <v:stroke endarrow="block"/>
              </v:shape>
            </w:pict>
          </mc:Fallback>
        </mc:AlternateContent>
      </w:r>
      <w:r>
        <w:rPr>
          <w:b/>
          <w:bCs/>
          <w:u w:val="single"/>
        </w:rPr>
        <w:t>Urgency</w:t>
      </w:r>
    </w:p>
    <w:p w14:paraId="06FEAC57" w14:textId="38E9953C" w:rsidR="00DF2011" w:rsidRPr="00D12C32" w:rsidRDefault="000C2BE5" w:rsidP="0069037E">
      <w:pPr>
        <w:spacing w:before="120" w:after="120" w:line="360" w:lineRule="auto"/>
        <w:ind w:left="720"/>
        <w:rPr>
          <w:i/>
          <w:iCs/>
          <w:highlight w:val="lightGray"/>
        </w:rPr>
      </w:pPr>
      <w:r w:rsidRPr="00D12C32">
        <w:rPr>
          <w:i/>
          <w:iCs/>
          <w:highlight w:val="lightGray"/>
        </w:rPr>
        <w:t>Tools and services such as certification may be a possible direction for review</w:t>
      </w:r>
      <w:r w:rsidR="00DF2011" w:rsidRPr="00D12C32">
        <w:rPr>
          <w:i/>
          <w:iCs/>
          <w:highlight w:val="lightGray"/>
        </w:rPr>
        <w:t>:</w:t>
      </w:r>
    </w:p>
    <w:p w14:paraId="6F6E11CD" w14:textId="2E097F2B" w:rsidR="000C2BE5" w:rsidRPr="00D12C32" w:rsidRDefault="00DF2011" w:rsidP="005D1990">
      <w:pPr>
        <w:pStyle w:val="ListParagraph"/>
        <w:numPr>
          <w:ilvl w:val="0"/>
          <w:numId w:val="8"/>
        </w:numPr>
        <w:spacing w:before="120" w:after="120" w:line="360" w:lineRule="auto"/>
        <w:ind w:left="1080"/>
        <w:rPr>
          <w:i/>
          <w:iCs/>
          <w:highlight w:val="lightGray"/>
        </w:rPr>
      </w:pPr>
      <w:r w:rsidRPr="00D12C32">
        <w:rPr>
          <w:i/>
          <w:iCs/>
          <w:highlight w:val="lightGray"/>
        </w:rPr>
        <w:t>V</w:t>
      </w:r>
      <w:r w:rsidR="000C2BE5" w:rsidRPr="00D12C32">
        <w:rPr>
          <w:i/>
          <w:iCs/>
          <w:highlight w:val="lightGray"/>
        </w:rPr>
        <w:t xml:space="preserve">endor certifications </w:t>
      </w:r>
      <w:r w:rsidR="008D579C" w:rsidRPr="00D12C32">
        <w:rPr>
          <w:i/>
          <w:iCs/>
          <w:highlight w:val="lightGray"/>
        </w:rPr>
        <w:t>(vendor due diligence)</w:t>
      </w:r>
      <w:r w:rsidRPr="00D12C32">
        <w:rPr>
          <w:i/>
          <w:iCs/>
          <w:highlight w:val="lightGray"/>
        </w:rPr>
        <w:t xml:space="preserve"> </w:t>
      </w:r>
      <w:r w:rsidR="000C2BE5" w:rsidRPr="00D12C32">
        <w:rPr>
          <w:i/>
          <w:iCs/>
          <w:highlight w:val="lightGray"/>
        </w:rPr>
        <w:t xml:space="preserve">as much of the energy industry may be relying on outside services and software applications. </w:t>
      </w:r>
    </w:p>
    <w:p w14:paraId="769CF2F2" w14:textId="24D4A764" w:rsidR="00DF2011" w:rsidRPr="00D12C32" w:rsidRDefault="00DF2011" w:rsidP="005D1990">
      <w:pPr>
        <w:pStyle w:val="ListParagraph"/>
        <w:numPr>
          <w:ilvl w:val="0"/>
          <w:numId w:val="8"/>
        </w:numPr>
        <w:spacing w:before="120" w:after="120" w:line="360" w:lineRule="auto"/>
        <w:ind w:left="1080"/>
        <w:rPr>
          <w:i/>
          <w:iCs/>
          <w:highlight w:val="lightGray"/>
        </w:rPr>
      </w:pPr>
      <w:r w:rsidRPr="00D12C32">
        <w:rPr>
          <w:i/>
          <w:iCs/>
          <w:highlight w:val="lightGray"/>
        </w:rPr>
        <w:t>Strong take away – will need some way to secure access to third party software and services</w:t>
      </w:r>
      <w:r w:rsidR="003017EB" w:rsidRPr="00D12C32">
        <w:rPr>
          <w:i/>
          <w:iCs/>
          <w:highlight w:val="lightGray"/>
        </w:rPr>
        <w:t>, to avoid introduction of risks.</w:t>
      </w:r>
    </w:p>
    <w:sectPr w:rsidR="00DF2011" w:rsidRPr="00D12C32" w:rsidSect="009C2FF8">
      <w:headerReference w:type="even" r:id="rId8"/>
      <w:headerReference w:type="default" r:id="rId9"/>
      <w:footerReference w:type="default" r:id="rId10"/>
      <w:headerReference w:type="first" r:id="rId11"/>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3779" w14:textId="77777777" w:rsidR="00477FDA" w:rsidRDefault="00477FDA">
      <w:r>
        <w:separator/>
      </w:r>
    </w:p>
  </w:endnote>
  <w:endnote w:type="continuationSeparator" w:id="0">
    <w:p w14:paraId="6D922554" w14:textId="77777777" w:rsidR="00477FDA" w:rsidRDefault="0047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8E7" w14:textId="2B9CE89C" w:rsidR="00EF070F" w:rsidRPr="00572DC3" w:rsidRDefault="00EF070F" w:rsidP="00DF7984">
    <w:pPr>
      <w:pStyle w:val="Footer"/>
      <w:pBdr>
        <w:top w:val="single" w:sz="12" w:space="1" w:color="auto"/>
      </w:pBdr>
      <w:jc w:val="right"/>
      <w:rPr>
        <w:sz w:val="18"/>
        <w:szCs w:val="18"/>
      </w:rPr>
    </w:pPr>
    <w:r w:rsidRPr="00572DC3">
      <w:rPr>
        <w:sz w:val="18"/>
        <w:szCs w:val="18"/>
      </w:rPr>
      <w:t xml:space="preserve">NAESB </w:t>
    </w:r>
    <w:r w:rsidR="00B644E8">
      <w:rPr>
        <w:sz w:val="18"/>
        <w:szCs w:val="18"/>
      </w:rPr>
      <w:t>Digital Committee Report</w:t>
    </w:r>
    <w:r>
      <w:rPr>
        <w:sz w:val="18"/>
        <w:szCs w:val="18"/>
      </w:rPr>
      <w:t xml:space="preserve"> – </w:t>
    </w:r>
    <w:r w:rsidR="00EC00D4">
      <w:rPr>
        <w:sz w:val="18"/>
        <w:szCs w:val="18"/>
      </w:rPr>
      <w:t>Section V Work Paper</w:t>
    </w:r>
  </w:p>
  <w:p w14:paraId="0B6D88DE" w14:textId="77777777" w:rsidR="00EF070F" w:rsidRPr="00DF7984" w:rsidRDefault="00EF070F" w:rsidP="00DF7984">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E12960">
      <w:rPr>
        <w:noProof/>
        <w:sz w:val="18"/>
        <w:szCs w:val="18"/>
      </w:rPr>
      <w:t>26</w:t>
    </w:r>
    <w:r w:rsidRPr="00572DC3">
      <w:rPr>
        <w:sz w:val="18"/>
        <w:szCs w:val="18"/>
      </w:rPr>
      <w:fldChar w:fldCharType="end"/>
    </w:r>
    <w:r w:rsidRPr="00572DC3">
      <w:rPr>
        <w:sz w:val="18"/>
        <w:szCs w:val="18"/>
      </w:rPr>
      <w:t xml:space="preserve"> of </w:t>
    </w:r>
    <w:r w:rsidR="00515421">
      <w:fldChar w:fldCharType="begin"/>
    </w:r>
    <w:r w:rsidR="00515421">
      <w:instrText xml:space="preserve"> NUMPAGES   \* MERGEFORMAT </w:instrText>
    </w:r>
    <w:r w:rsidR="00515421">
      <w:fldChar w:fldCharType="separate"/>
    </w:r>
    <w:r w:rsidR="00E12960" w:rsidRPr="00E12960">
      <w:rPr>
        <w:noProof/>
        <w:sz w:val="18"/>
        <w:szCs w:val="18"/>
      </w:rPr>
      <w:t>26</w:t>
    </w:r>
    <w:r w:rsidR="0051542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504F" w14:textId="77777777" w:rsidR="00477FDA" w:rsidRDefault="00477FDA">
      <w:r>
        <w:separator/>
      </w:r>
    </w:p>
  </w:footnote>
  <w:footnote w:type="continuationSeparator" w:id="0">
    <w:p w14:paraId="5A14CB97" w14:textId="77777777" w:rsidR="00477FDA" w:rsidRDefault="0047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A781" w14:textId="61D52183" w:rsidR="0078588E" w:rsidRDefault="00515421">
    <w:pPr>
      <w:pStyle w:val="Header"/>
    </w:pPr>
    <w:r>
      <w:rPr>
        <w:noProof/>
      </w:rPr>
      <w:pict w14:anchorId="669E4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51626" o:spid="_x0000_s2050" type="#_x0000_t136" style="position:absolute;margin-left:0;margin-top:0;width:533.75pt;height:126.05pt;rotation:315;z-index:-251653120;mso-position-horizontal:center;mso-position-horizontal-relative:margin;mso-position-vertical:center;mso-position-vertical-relative:margin" o:allowincell="f" fillcolor="#b8cce4 [1300]" stroked="f">
          <v:fill opacity=".5"/>
          <v:textpath style="font-family:&quot;Times New Roman&quot;;font-size:1pt" string="Draft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DA8A" w14:textId="1B74E4FF" w:rsidR="00EF070F" w:rsidRDefault="00515421" w:rsidP="00DF7984">
    <w:pPr>
      <w:pStyle w:val="Header"/>
      <w:tabs>
        <w:tab w:val="left" w:pos="1080"/>
      </w:tabs>
      <w:rPr>
        <w:rFonts w:ascii="Bookman Old Style" w:hAnsi="Bookman Old Style"/>
        <w:b/>
        <w:noProof/>
      </w:rPr>
    </w:pPr>
    <w:r>
      <w:rPr>
        <w:noProof/>
      </w:rPr>
      <w:pict w14:anchorId="17907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51627" o:spid="_x0000_s2051" type="#_x0000_t136" style="position:absolute;margin-left:0;margin-top:0;width:533.75pt;height:126.05pt;rotation:315;z-index:-251651072;mso-position-horizontal:center;mso-position-horizontal-relative:margin;mso-position-vertical:center;mso-position-vertical-relative:margin" o:allowincell="f" fillcolor="#b8cce4 [1300]" stroked="f">
          <v:fill opacity=".5"/>
          <v:textpath style="font-family:&quot;Times New Roman&quot;;font-size:1pt" string="Draft Outline"/>
          <w10:wrap anchorx="margin" anchory="margin"/>
        </v:shape>
      </w:pict>
    </w:r>
    <w:r w:rsidR="00EF070F">
      <w:rPr>
        <w:rFonts w:ascii="Bookman Old Style" w:hAnsi="Bookman Old Style"/>
        <w:b/>
        <w:noProof/>
      </w:rPr>
      <w:drawing>
        <wp:anchor distT="0" distB="0" distL="114300" distR="114300" simplePos="0" relativeHeight="251659264" behindDoc="1" locked="0" layoutInCell="1" allowOverlap="1" wp14:anchorId="0D19C7BD" wp14:editId="31105422">
          <wp:simplePos x="0" y="0"/>
          <wp:positionH relativeFrom="column">
            <wp:posOffset>33020</wp:posOffset>
          </wp:positionH>
          <wp:positionV relativeFrom="paragraph">
            <wp:posOffset>-308293</wp:posOffset>
          </wp:positionV>
          <wp:extent cx="981710" cy="1133475"/>
          <wp:effectExtent l="0" t="0" r="8890" b="9525"/>
          <wp:wrapThrough wrapText="bothSides">
            <wp:wrapPolygon edited="0">
              <wp:start x="0" y="0"/>
              <wp:lineTo x="0" y="21418"/>
              <wp:lineTo x="21376" y="21418"/>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9A66A" w14:textId="77777777" w:rsidR="00EF070F" w:rsidRDefault="00EF070F" w:rsidP="00DF7984">
    <w:pPr>
      <w:pStyle w:val="Header"/>
      <w:tabs>
        <w:tab w:val="left" w:pos="1080"/>
      </w:tabs>
      <w:ind w:left="1800"/>
      <w:jc w:val="right"/>
      <w:rPr>
        <w:b/>
        <w:spacing w:val="20"/>
        <w:sz w:val="32"/>
      </w:rPr>
    </w:pPr>
    <w:r>
      <w:rPr>
        <w:b/>
        <w:spacing w:val="20"/>
        <w:sz w:val="32"/>
      </w:rPr>
      <w:t>North American Energy Standards Board</w:t>
    </w:r>
  </w:p>
  <w:p w14:paraId="6DC218E1" w14:textId="77777777" w:rsidR="00EF070F" w:rsidRDefault="00EF070F" w:rsidP="00DF7984">
    <w:pPr>
      <w:pStyle w:val="Header"/>
      <w:tabs>
        <w:tab w:val="left" w:pos="680"/>
        <w:tab w:val="right" w:pos="9810"/>
      </w:tabs>
      <w:spacing w:before="60"/>
      <w:ind w:left="1800"/>
      <w:jc w:val="right"/>
    </w:pPr>
    <w:r>
      <w:t>801 Travis, Suite 1675, Houston, Texas 77002</w:t>
    </w:r>
  </w:p>
  <w:p w14:paraId="4A4170EA" w14:textId="77777777" w:rsidR="00EF070F" w:rsidRDefault="00EF070F" w:rsidP="00DF7984">
    <w:pPr>
      <w:pStyle w:val="Header"/>
      <w:ind w:left="1800"/>
      <w:jc w:val="right"/>
    </w:pPr>
    <w:r>
      <w:t>Phone:  (713) 356-0060, Fax:  (713) 356-0067, E-mail: naesb@naesb.org</w:t>
    </w:r>
  </w:p>
  <w:p w14:paraId="4B95A08A" w14:textId="77777777" w:rsidR="00EF070F" w:rsidRDefault="00EF070F" w:rsidP="00DF7984">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463CBEAD" w14:textId="77777777" w:rsidR="00EF070F" w:rsidRDefault="00EF070F" w:rsidP="00DF7984">
    <w:pPr>
      <w:pStyle w:val="Header"/>
      <w:pBdr>
        <w:bottom w:val="single" w:sz="18" w:space="1" w:color="auto"/>
      </w:pBdr>
      <w:ind w:left="1800" w:hanging="1800"/>
      <w:rPr>
        <w:rFonts w:ascii="Bookman Old Style" w:hAnsi="Bookman Old Style"/>
        <w:sz w:val="16"/>
      </w:rPr>
    </w:pPr>
  </w:p>
  <w:p w14:paraId="236BC5F2" w14:textId="0246E647" w:rsidR="00EF070F" w:rsidRPr="00E34526" w:rsidRDefault="00E34526" w:rsidP="00E34526">
    <w:pPr>
      <w:pStyle w:val="Header"/>
      <w:tabs>
        <w:tab w:val="center" w:pos="4680"/>
        <w:tab w:val="left" w:pos="6720"/>
      </w:tabs>
      <w:spacing w:before="120" w:after="480"/>
      <w:jc w:val="center"/>
      <w:rPr>
        <w:b/>
        <w:bCs/>
      </w:rPr>
    </w:pPr>
    <w:r w:rsidRPr="00E34526">
      <w:rPr>
        <w:b/>
        <w:bCs/>
      </w:rPr>
      <w:t>WORKPAPER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4DD9" w14:textId="7EFA06AD" w:rsidR="0078588E" w:rsidRDefault="00515421">
    <w:pPr>
      <w:pStyle w:val="Header"/>
    </w:pPr>
    <w:r>
      <w:rPr>
        <w:noProof/>
      </w:rPr>
      <w:pict w14:anchorId="5F634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51625" o:spid="_x0000_s2049" type="#_x0000_t136" style="position:absolute;margin-left:0;margin-top:0;width:533.75pt;height:126.05pt;rotation:315;z-index:-251655168;mso-position-horizontal:center;mso-position-horizontal-relative:margin;mso-position-vertical:center;mso-position-vertical-relative:margin" o:allowincell="f" fillcolor="#b8cce4 [1300]" stroked="f">
          <v:fill opacity=".5"/>
          <v:textpath style="font-family:&quot;Times New Roman&quot;;font-size:1pt" string="Draft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8F431AA"/>
    <w:multiLevelType w:val="hybridMultilevel"/>
    <w:tmpl w:val="F14A3B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B46B3"/>
    <w:multiLevelType w:val="hybridMultilevel"/>
    <w:tmpl w:val="F2E02B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F2C4F"/>
    <w:multiLevelType w:val="hybridMultilevel"/>
    <w:tmpl w:val="0F0A5B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3F6D29"/>
    <w:multiLevelType w:val="hybridMultilevel"/>
    <w:tmpl w:val="22A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6828"/>
    <w:multiLevelType w:val="hybridMultilevel"/>
    <w:tmpl w:val="0BE22E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55E22"/>
    <w:multiLevelType w:val="hybridMultilevel"/>
    <w:tmpl w:val="30B4D3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582B29"/>
    <w:multiLevelType w:val="hybridMultilevel"/>
    <w:tmpl w:val="DCF2A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62F83"/>
    <w:multiLevelType w:val="hybridMultilevel"/>
    <w:tmpl w:val="D8249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2B0D85"/>
    <w:multiLevelType w:val="hybridMultilevel"/>
    <w:tmpl w:val="95B4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E1FCD"/>
    <w:multiLevelType w:val="hybridMultilevel"/>
    <w:tmpl w:val="6FD0F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2" w15:restartNumberingAfterBreak="0">
    <w:nsid w:val="525E20D4"/>
    <w:multiLevelType w:val="hybridMultilevel"/>
    <w:tmpl w:val="43381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93321E"/>
    <w:multiLevelType w:val="hybridMultilevel"/>
    <w:tmpl w:val="B38ED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8D45433"/>
    <w:multiLevelType w:val="hybridMultilevel"/>
    <w:tmpl w:val="DC204F14"/>
    <w:lvl w:ilvl="0" w:tplc="3FC49530">
      <w:start w:val="5"/>
      <w:numFmt w:val="upperRoman"/>
      <w:lvlText w:val="%1."/>
      <w:lvlJc w:val="left"/>
      <w:pPr>
        <w:ind w:left="720" w:hanging="720"/>
      </w:pPr>
      <w:rPr>
        <w:rFonts w:hint="default"/>
      </w:rPr>
    </w:lvl>
    <w:lvl w:ilvl="1" w:tplc="8EEEA4C6">
      <w:numFmt w:val="bullet"/>
      <w:lvlText w:val="•"/>
      <w:lvlJc w:val="left"/>
      <w:pPr>
        <w:ind w:left="1080" w:hanging="360"/>
      </w:pPr>
      <w:rPr>
        <w:rFonts w:ascii="Times New Roman" w:eastAsia="Times New Roman" w:hAnsi="Times New Roman" w:cs="Times New Roman" w:hint="default"/>
      </w:rPr>
    </w:lvl>
    <w:lvl w:ilvl="2" w:tplc="2D52FB6A">
      <w:start w:val="1"/>
      <w:numFmt w:val="decimal"/>
      <w:lvlText w:val="%3."/>
      <w:lvlJc w:val="left"/>
      <w:pPr>
        <w:ind w:left="1800" w:hanging="180"/>
      </w:pPr>
      <w:rPr>
        <w:i w:val="0"/>
        <w:i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260911"/>
    <w:multiLevelType w:val="hybridMultilevel"/>
    <w:tmpl w:val="017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4"/>
  </w:num>
  <w:num w:numId="3">
    <w:abstractNumId w:val="11"/>
  </w:num>
  <w:num w:numId="4">
    <w:abstractNumId w:val="15"/>
  </w:num>
  <w:num w:numId="5">
    <w:abstractNumId w:val="4"/>
  </w:num>
  <w:num w:numId="6">
    <w:abstractNumId w:val="5"/>
  </w:num>
  <w:num w:numId="7">
    <w:abstractNumId w:val="3"/>
  </w:num>
  <w:num w:numId="8">
    <w:abstractNumId w:val="10"/>
  </w:num>
  <w:num w:numId="9">
    <w:abstractNumId w:val="2"/>
  </w:num>
  <w:num w:numId="10">
    <w:abstractNumId w:val="9"/>
  </w:num>
  <w:num w:numId="11">
    <w:abstractNumId w:val="16"/>
  </w:num>
  <w:num w:numId="12">
    <w:abstractNumId w:val="8"/>
  </w:num>
  <w:num w:numId="13">
    <w:abstractNumId w:val="7"/>
  </w:num>
  <w:num w:numId="14">
    <w:abstractNumId w:val="12"/>
  </w:num>
  <w:num w:numId="15">
    <w:abstractNumId w:val="13"/>
  </w:num>
  <w:num w:numId="16">
    <w:abstractNumId w:val="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081A"/>
    <w:rsid w:val="00000C73"/>
    <w:rsid w:val="0002415D"/>
    <w:rsid w:val="000334DF"/>
    <w:rsid w:val="00034D77"/>
    <w:rsid w:val="00044741"/>
    <w:rsid w:val="00044F49"/>
    <w:rsid w:val="00047901"/>
    <w:rsid w:val="00054FB4"/>
    <w:rsid w:val="00067C22"/>
    <w:rsid w:val="00072AD4"/>
    <w:rsid w:val="000743D1"/>
    <w:rsid w:val="000754F0"/>
    <w:rsid w:val="00075BCC"/>
    <w:rsid w:val="00082E19"/>
    <w:rsid w:val="0008466B"/>
    <w:rsid w:val="00085105"/>
    <w:rsid w:val="000870BF"/>
    <w:rsid w:val="00092972"/>
    <w:rsid w:val="000949C7"/>
    <w:rsid w:val="000B087B"/>
    <w:rsid w:val="000B0C56"/>
    <w:rsid w:val="000C2722"/>
    <w:rsid w:val="000C2BE5"/>
    <w:rsid w:val="000C2EA9"/>
    <w:rsid w:val="000D00AC"/>
    <w:rsid w:val="000D19E9"/>
    <w:rsid w:val="000D5B2F"/>
    <w:rsid w:val="000E4E8F"/>
    <w:rsid w:val="000E5514"/>
    <w:rsid w:val="00106A6C"/>
    <w:rsid w:val="00116010"/>
    <w:rsid w:val="00130B23"/>
    <w:rsid w:val="00135CDC"/>
    <w:rsid w:val="0014275C"/>
    <w:rsid w:val="00142E58"/>
    <w:rsid w:val="00143B38"/>
    <w:rsid w:val="0014525D"/>
    <w:rsid w:val="001516A5"/>
    <w:rsid w:val="00151F64"/>
    <w:rsid w:val="0015481D"/>
    <w:rsid w:val="0016080C"/>
    <w:rsid w:val="00160C9B"/>
    <w:rsid w:val="001639E3"/>
    <w:rsid w:val="001660B4"/>
    <w:rsid w:val="001674EA"/>
    <w:rsid w:val="001705DE"/>
    <w:rsid w:val="001711E4"/>
    <w:rsid w:val="0017518B"/>
    <w:rsid w:val="0018717F"/>
    <w:rsid w:val="00187E68"/>
    <w:rsid w:val="00195B7A"/>
    <w:rsid w:val="001A469F"/>
    <w:rsid w:val="001B3881"/>
    <w:rsid w:val="001B46E0"/>
    <w:rsid w:val="001B716D"/>
    <w:rsid w:val="001C5A48"/>
    <w:rsid w:val="001E0CC5"/>
    <w:rsid w:val="001E4665"/>
    <w:rsid w:val="001E6648"/>
    <w:rsid w:val="001E76F5"/>
    <w:rsid w:val="001F0A00"/>
    <w:rsid w:val="001F139C"/>
    <w:rsid w:val="002013B1"/>
    <w:rsid w:val="002148D2"/>
    <w:rsid w:val="002163F2"/>
    <w:rsid w:val="00216F34"/>
    <w:rsid w:val="002208A7"/>
    <w:rsid w:val="0022474D"/>
    <w:rsid w:val="00225AA8"/>
    <w:rsid w:val="002318B0"/>
    <w:rsid w:val="00233A90"/>
    <w:rsid w:val="00242D89"/>
    <w:rsid w:val="00252C67"/>
    <w:rsid w:val="002542A4"/>
    <w:rsid w:val="00267B70"/>
    <w:rsid w:val="00272361"/>
    <w:rsid w:val="00273866"/>
    <w:rsid w:val="00273EF8"/>
    <w:rsid w:val="002756F6"/>
    <w:rsid w:val="00285D00"/>
    <w:rsid w:val="00293424"/>
    <w:rsid w:val="002B7101"/>
    <w:rsid w:val="002C02DF"/>
    <w:rsid w:val="002D02FB"/>
    <w:rsid w:val="002D6A96"/>
    <w:rsid w:val="002D6C99"/>
    <w:rsid w:val="002D7153"/>
    <w:rsid w:val="002E6139"/>
    <w:rsid w:val="003017EB"/>
    <w:rsid w:val="00312676"/>
    <w:rsid w:val="00313DFD"/>
    <w:rsid w:val="00315982"/>
    <w:rsid w:val="00325A7A"/>
    <w:rsid w:val="00327FDD"/>
    <w:rsid w:val="0033074E"/>
    <w:rsid w:val="00333688"/>
    <w:rsid w:val="00335562"/>
    <w:rsid w:val="00336E15"/>
    <w:rsid w:val="00343B1F"/>
    <w:rsid w:val="00344F62"/>
    <w:rsid w:val="003479A3"/>
    <w:rsid w:val="00347B2E"/>
    <w:rsid w:val="0036426A"/>
    <w:rsid w:val="00370BF6"/>
    <w:rsid w:val="00383F22"/>
    <w:rsid w:val="00384A15"/>
    <w:rsid w:val="003877D2"/>
    <w:rsid w:val="0039299F"/>
    <w:rsid w:val="00394030"/>
    <w:rsid w:val="0039552F"/>
    <w:rsid w:val="00396F0B"/>
    <w:rsid w:val="003A2C12"/>
    <w:rsid w:val="003A30E1"/>
    <w:rsid w:val="003A44FE"/>
    <w:rsid w:val="003A6A89"/>
    <w:rsid w:val="003B0AE3"/>
    <w:rsid w:val="003B608F"/>
    <w:rsid w:val="003C5EA7"/>
    <w:rsid w:val="003E3300"/>
    <w:rsid w:val="003E741D"/>
    <w:rsid w:val="004021AC"/>
    <w:rsid w:val="00402D61"/>
    <w:rsid w:val="00404D99"/>
    <w:rsid w:val="00405D1B"/>
    <w:rsid w:val="00407F26"/>
    <w:rsid w:val="00411505"/>
    <w:rsid w:val="004118A0"/>
    <w:rsid w:val="00414234"/>
    <w:rsid w:val="00423A17"/>
    <w:rsid w:val="00427D9B"/>
    <w:rsid w:val="0044593C"/>
    <w:rsid w:val="00450440"/>
    <w:rsid w:val="00452878"/>
    <w:rsid w:val="00463AEB"/>
    <w:rsid w:val="004652D7"/>
    <w:rsid w:val="0046632B"/>
    <w:rsid w:val="00470FD9"/>
    <w:rsid w:val="00473756"/>
    <w:rsid w:val="00475F6D"/>
    <w:rsid w:val="00477FDA"/>
    <w:rsid w:val="00482166"/>
    <w:rsid w:val="00491445"/>
    <w:rsid w:val="00491C37"/>
    <w:rsid w:val="0049393D"/>
    <w:rsid w:val="00495E40"/>
    <w:rsid w:val="0049721E"/>
    <w:rsid w:val="004A41FC"/>
    <w:rsid w:val="004A7C46"/>
    <w:rsid w:val="004B0833"/>
    <w:rsid w:val="004B0B9D"/>
    <w:rsid w:val="004B767D"/>
    <w:rsid w:val="004C030F"/>
    <w:rsid w:val="004C74FA"/>
    <w:rsid w:val="004D2F27"/>
    <w:rsid w:val="004D6F48"/>
    <w:rsid w:val="004E11A0"/>
    <w:rsid w:val="004E71F0"/>
    <w:rsid w:val="004F5D67"/>
    <w:rsid w:val="00502E16"/>
    <w:rsid w:val="00513536"/>
    <w:rsid w:val="00515421"/>
    <w:rsid w:val="0052285E"/>
    <w:rsid w:val="0052759C"/>
    <w:rsid w:val="00532BDD"/>
    <w:rsid w:val="00532E34"/>
    <w:rsid w:val="00533255"/>
    <w:rsid w:val="0054487B"/>
    <w:rsid w:val="00546D28"/>
    <w:rsid w:val="00547934"/>
    <w:rsid w:val="00555211"/>
    <w:rsid w:val="00555ED0"/>
    <w:rsid w:val="00557DA4"/>
    <w:rsid w:val="0056033B"/>
    <w:rsid w:val="0056178F"/>
    <w:rsid w:val="00564A77"/>
    <w:rsid w:val="0057740E"/>
    <w:rsid w:val="00580032"/>
    <w:rsid w:val="005805BC"/>
    <w:rsid w:val="00583DF1"/>
    <w:rsid w:val="00583F65"/>
    <w:rsid w:val="005859A7"/>
    <w:rsid w:val="005919E3"/>
    <w:rsid w:val="0059613D"/>
    <w:rsid w:val="005A0538"/>
    <w:rsid w:val="005A61B5"/>
    <w:rsid w:val="005C134F"/>
    <w:rsid w:val="005D1990"/>
    <w:rsid w:val="005F1640"/>
    <w:rsid w:val="00602DF3"/>
    <w:rsid w:val="00604B6D"/>
    <w:rsid w:val="00607309"/>
    <w:rsid w:val="006079F6"/>
    <w:rsid w:val="006139E6"/>
    <w:rsid w:val="006156A6"/>
    <w:rsid w:val="00622C27"/>
    <w:rsid w:val="00641287"/>
    <w:rsid w:val="0064274D"/>
    <w:rsid w:val="00646D90"/>
    <w:rsid w:val="00651357"/>
    <w:rsid w:val="006615AD"/>
    <w:rsid w:val="00661894"/>
    <w:rsid w:val="00665042"/>
    <w:rsid w:val="00673C56"/>
    <w:rsid w:val="0067610B"/>
    <w:rsid w:val="0068691F"/>
    <w:rsid w:val="006872BC"/>
    <w:rsid w:val="0069037E"/>
    <w:rsid w:val="0069191C"/>
    <w:rsid w:val="006A297B"/>
    <w:rsid w:val="006A50A9"/>
    <w:rsid w:val="006A575B"/>
    <w:rsid w:val="006A7446"/>
    <w:rsid w:val="006B1D7B"/>
    <w:rsid w:val="006B2C7D"/>
    <w:rsid w:val="006C21B0"/>
    <w:rsid w:val="006C6FF4"/>
    <w:rsid w:val="006D22B8"/>
    <w:rsid w:val="006D2F76"/>
    <w:rsid w:val="006D720D"/>
    <w:rsid w:val="006E558D"/>
    <w:rsid w:val="006F0549"/>
    <w:rsid w:val="006F196D"/>
    <w:rsid w:val="006F76AA"/>
    <w:rsid w:val="00702D25"/>
    <w:rsid w:val="007055B1"/>
    <w:rsid w:val="00710FA4"/>
    <w:rsid w:val="007128B2"/>
    <w:rsid w:val="0071349F"/>
    <w:rsid w:val="00713BEF"/>
    <w:rsid w:val="00715B1C"/>
    <w:rsid w:val="00727224"/>
    <w:rsid w:val="007335FE"/>
    <w:rsid w:val="00734F6F"/>
    <w:rsid w:val="0074481C"/>
    <w:rsid w:val="0074567A"/>
    <w:rsid w:val="007517A4"/>
    <w:rsid w:val="00757A20"/>
    <w:rsid w:val="0076028A"/>
    <w:rsid w:val="00762AB0"/>
    <w:rsid w:val="007659DC"/>
    <w:rsid w:val="007706D3"/>
    <w:rsid w:val="00771FF8"/>
    <w:rsid w:val="0078191B"/>
    <w:rsid w:val="0078588E"/>
    <w:rsid w:val="00785BE9"/>
    <w:rsid w:val="00786E72"/>
    <w:rsid w:val="00791E69"/>
    <w:rsid w:val="007A0A50"/>
    <w:rsid w:val="007A2C18"/>
    <w:rsid w:val="007B2234"/>
    <w:rsid w:val="007B71D8"/>
    <w:rsid w:val="007C01BA"/>
    <w:rsid w:val="007C32E0"/>
    <w:rsid w:val="007D75B5"/>
    <w:rsid w:val="007E0E10"/>
    <w:rsid w:val="007E44D8"/>
    <w:rsid w:val="007E6D8E"/>
    <w:rsid w:val="007F29EE"/>
    <w:rsid w:val="00810CEE"/>
    <w:rsid w:val="00820322"/>
    <w:rsid w:val="008210F1"/>
    <w:rsid w:val="0083450B"/>
    <w:rsid w:val="008347A9"/>
    <w:rsid w:val="008462A2"/>
    <w:rsid w:val="00854223"/>
    <w:rsid w:val="008549C8"/>
    <w:rsid w:val="00854D40"/>
    <w:rsid w:val="00857345"/>
    <w:rsid w:val="00857BE3"/>
    <w:rsid w:val="008641D2"/>
    <w:rsid w:val="0086433E"/>
    <w:rsid w:val="0087469C"/>
    <w:rsid w:val="00881C94"/>
    <w:rsid w:val="00883110"/>
    <w:rsid w:val="008858A2"/>
    <w:rsid w:val="00894635"/>
    <w:rsid w:val="008979C6"/>
    <w:rsid w:val="008A3F4B"/>
    <w:rsid w:val="008A68C7"/>
    <w:rsid w:val="008B01C9"/>
    <w:rsid w:val="008B5662"/>
    <w:rsid w:val="008B5E73"/>
    <w:rsid w:val="008B63A7"/>
    <w:rsid w:val="008C4216"/>
    <w:rsid w:val="008C745F"/>
    <w:rsid w:val="008D579C"/>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5435"/>
    <w:rsid w:val="009449CC"/>
    <w:rsid w:val="00944DC1"/>
    <w:rsid w:val="00946151"/>
    <w:rsid w:val="00960267"/>
    <w:rsid w:val="0096068F"/>
    <w:rsid w:val="009606F1"/>
    <w:rsid w:val="00971C1B"/>
    <w:rsid w:val="00976378"/>
    <w:rsid w:val="00986C51"/>
    <w:rsid w:val="009931EA"/>
    <w:rsid w:val="009A29EF"/>
    <w:rsid w:val="009A36FE"/>
    <w:rsid w:val="009A514E"/>
    <w:rsid w:val="009B3D65"/>
    <w:rsid w:val="009B663F"/>
    <w:rsid w:val="009C2FF8"/>
    <w:rsid w:val="009C75D8"/>
    <w:rsid w:val="009F0C18"/>
    <w:rsid w:val="009F5027"/>
    <w:rsid w:val="009F514D"/>
    <w:rsid w:val="00A01720"/>
    <w:rsid w:val="00A0369B"/>
    <w:rsid w:val="00A060AD"/>
    <w:rsid w:val="00A06253"/>
    <w:rsid w:val="00A10C1E"/>
    <w:rsid w:val="00A13B53"/>
    <w:rsid w:val="00A15916"/>
    <w:rsid w:val="00A20622"/>
    <w:rsid w:val="00A21F54"/>
    <w:rsid w:val="00A24E78"/>
    <w:rsid w:val="00A30C51"/>
    <w:rsid w:val="00A364DB"/>
    <w:rsid w:val="00A412F4"/>
    <w:rsid w:val="00A420D6"/>
    <w:rsid w:val="00A54AD6"/>
    <w:rsid w:val="00A54DB9"/>
    <w:rsid w:val="00A57C83"/>
    <w:rsid w:val="00A601E7"/>
    <w:rsid w:val="00A8669C"/>
    <w:rsid w:val="00A919C6"/>
    <w:rsid w:val="00A9428E"/>
    <w:rsid w:val="00AA08DB"/>
    <w:rsid w:val="00AA4509"/>
    <w:rsid w:val="00AA72DB"/>
    <w:rsid w:val="00AB2DCA"/>
    <w:rsid w:val="00AB4A4C"/>
    <w:rsid w:val="00AB53C1"/>
    <w:rsid w:val="00AC0164"/>
    <w:rsid w:val="00AC2D35"/>
    <w:rsid w:val="00AD00DB"/>
    <w:rsid w:val="00AD60E2"/>
    <w:rsid w:val="00AE2AF2"/>
    <w:rsid w:val="00AE4F3F"/>
    <w:rsid w:val="00AF5376"/>
    <w:rsid w:val="00B0118C"/>
    <w:rsid w:val="00B03C7A"/>
    <w:rsid w:val="00B100BB"/>
    <w:rsid w:val="00B1634D"/>
    <w:rsid w:val="00B22273"/>
    <w:rsid w:val="00B276AB"/>
    <w:rsid w:val="00B27708"/>
    <w:rsid w:val="00B31979"/>
    <w:rsid w:val="00B3203A"/>
    <w:rsid w:val="00B35C0C"/>
    <w:rsid w:val="00B3655E"/>
    <w:rsid w:val="00B402C4"/>
    <w:rsid w:val="00B43532"/>
    <w:rsid w:val="00B515D0"/>
    <w:rsid w:val="00B5348D"/>
    <w:rsid w:val="00B54528"/>
    <w:rsid w:val="00B54746"/>
    <w:rsid w:val="00B575B2"/>
    <w:rsid w:val="00B61B1D"/>
    <w:rsid w:val="00B644E8"/>
    <w:rsid w:val="00B7032A"/>
    <w:rsid w:val="00B7639F"/>
    <w:rsid w:val="00B77AFC"/>
    <w:rsid w:val="00B81408"/>
    <w:rsid w:val="00B840C7"/>
    <w:rsid w:val="00BA642D"/>
    <w:rsid w:val="00BC0390"/>
    <w:rsid w:val="00BC09C1"/>
    <w:rsid w:val="00BC3FB1"/>
    <w:rsid w:val="00BC4184"/>
    <w:rsid w:val="00BC4798"/>
    <w:rsid w:val="00BD4FE7"/>
    <w:rsid w:val="00BD6B5C"/>
    <w:rsid w:val="00BE5B3F"/>
    <w:rsid w:val="00BE5E0F"/>
    <w:rsid w:val="00BF1BCA"/>
    <w:rsid w:val="00BF2E6C"/>
    <w:rsid w:val="00C02D8B"/>
    <w:rsid w:val="00C0694B"/>
    <w:rsid w:val="00C1587C"/>
    <w:rsid w:val="00C2095B"/>
    <w:rsid w:val="00C26976"/>
    <w:rsid w:val="00C32A1E"/>
    <w:rsid w:val="00C3622C"/>
    <w:rsid w:val="00C36342"/>
    <w:rsid w:val="00C42746"/>
    <w:rsid w:val="00C45D15"/>
    <w:rsid w:val="00C46245"/>
    <w:rsid w:val="00C62AC5"/>
    <w:rsid w:val="00C6651E"/>
    <w:rsid w:val="00C7318B"/>
    <w:rsid w:val="00C851AA"/>
    <w:rsid w:val="00C87C2B"/>
    <w:rsid w:val="00C93D00"/>
    <w:rsid w:val="00CA2A3F"/>
    <w:rsid w:val="00CA666B"/>
    <w:rsid w:val="00CC1719"/>
    <w:rsid w:val="00CC5C64"/>
    <w:rsid w:val="00CD40D4"/>
    <w:rsid w:val="00CD6FCD"/>
    <w:rsid w:val="00CE2826"/>
    <w:rsid w:val="00CE567B"/>
    <w:rsid w:val="00CE6BD0"/>
    <w:rsid w:val="00CF032E"/>
    <w:rsid w:val="00CF6EF6"/>
    <w:rsid w:val="00D12C32"/>
    <w:rsid w:val="00D13BAD"/>
    <w:rsid w:val="00D13C66"/>
    <w:rsid w:val="00D25820"/>
    <w:rsid w:val="00D327D1"/>
    <w:rsid w:val="00D33FDA"/>
    <w:rsid w:val="00D44810"/>
    <w:rsid w:val="00D47092"/>
    <w:rsid w:val="00D5028A"/>
    <w:rsid w:val="00D60F0E"/>
    <w:rsid w:val="00D6125C"/>
    <w:rsid w:val="00D64D88"/>
    <w:rsid w:val="00D676FD"/>
    <w:rsid w:val="00D76920"/>
    <w:rsid w:val="00D831E5"/>
    <w:rsid w:val="00D920AC"/>
    <w:rsid w:val="00D923F6"/>
    <w:rsid w:val="00D92A71"/>
    <w:rsid w:val="00D92E87"/>
    <w:rsid w:val="00D95D0F"/>
    <w:rsid w:val="00D96ED8"/>
    <w:rsid w:val="00D975C6"/>
    <w:rsid w:val="00DA3CDA"/>
    <w:rsid w:val="00DA7DB4"/>
    <w:rsid w:val="00DB4ED4"/>
    <w:rsid w:val="00DC2D91"/>
    <w:rsid w:val="00DC427E"/>
    <w:rsid w:val="00DC5636"/>
    <w:rsid w:val="00DD465A"/>
    <w:rsid w:val="00DE050B"/>
    <w:rsid w:val="00DE264B"/>
    <w:rsid w:val="00DE2C24"/>
    <w:rsid w:val="00DE2FF8"/>
    <w:rsid w:val="00DE54AD"/>
    <w:rsid w:val="00DE5E17"/>
    <w:rsid w:val="00DE6252"/>
    <w:rsid w:val="00DF2011"/>
    <w:rsid w:val="00DF7698"/>
    <w:rsid w:val="00DF7984"/>
    <w:rsid w:val="00E12585"/>
    <w:rsid w:val="00E1277B"/>
    <w:rsid w:val="00E12960"/>
    <w:rsid w:val="00E23843"/>
    <w:rsid w:val="00E25EF7"/>
    <w:rsid w:val="00E266BB"/>
    <w:rsid w:val="00E33798"/>
    <w:rsid w:val="00E34526"/>
    <w:rsid w:val="00E34ACC"/>
    <w:rsid w:val="00E449D0"/>
    <w:rsid w:val="00E47E2F"/>
    <w:rsid w:val="00E51759"/>
    <w:rsid w:val="00E52003"/>
    <w:rsid w:val="00E53396"/>
    <w:rsid w:val="00E61830"/>
    <w:rsid w:val="00E70532"/>
    <w:rsid w:val="00E73AF7"/>
    <w:rsid w:val="00E77600"/>
    <w:rsid w:val="00E911CA"/>
    <w:rsid w:val="00E9691B"/>
    <w:rsid w:val="00EA5AEA"/>
    <w:rsid w:val="00EA6661"/>
    <w:rsid w:val="00EA7877"/>
    <w:rsid w:val="00EC00D4"/>
    <w:rsid w:val="00EC781B"/>
    <w:rsid w:val="00ED1046"/>
    <w:rsid w:val="00ED1F12"/>
    <w:rsid w:val="00ED5096"/>
    <w:rsid w:val="00ED6178"/>
    <w:rsid w:val="00ED6F17"/>
    <w:rsid w:val="00EE2294"/>
    <w:rsid w:val="00EF070F"/>
    <w:rsid w:val="00F00041"/>
    <w:rsid w:val="00F11D84"/>
    <w:rsid w:val="00F13C28"/>
    <w:rsid w:val="00F17DF6"/>
    <w:rsid w:val="00F25BD1"/>
    <w:rsid w:val="00F309D9"/>
    <w:rsid w:val="00F337C6"/>
    <w:rsid w:val="00F34145"/>
    <w:rsid w:val="00F36703"/>
    <w:rsid w:val="00F40DCD"/>
    <w:rsid w:val="00F5007A"/>
    <w:rsid w:val="00F51E2B"/>
    <w:rsid w:val="00F52BA3"/>
    <w:rsid w:val="00F53EE9"/>
    <w:rsid w:val="00F5784C"/>
    <w:rsid w:val="00F60094"/>
    <w:rsid w:val="00F64BA8"/>
    <w:rsid w:val="00F67C7B"/>
    <w:rsid w:val="00F752EA"/>
    <w:rsid w:val="00F81749"/>
    <w:rsid w:val="00F85AFC"/>
    <w:rsid w:val="00F93514"/>
    <w:rsid w:val="00F940B2"/>
    <w:rsid w:val="00FB3997"/>
    <w:rsid w:val="00FC49AE"/>
    <w:rsid w:val="00FC5F13"/>
    <w:rsid w:val="00FC6C67"/>
    <w:rsid w:val="00FC7B26"/>
    <w:rsid w:val="00FD2221"/>
    <w:rsid w:val="00FD7BC6"/>
    <w:rsid w:val="00FE0B80"/>
    <w:rsid w:val="00FE2940"/>
    <w:rsid w:val="00FE4F78"/>
    <w:rsid w:val="00FE50B4"/>
    <w:rsid w:val="00FE530E"/>
    <w:rsid w:val="00FF4A9C"/>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A8A3FB"/>
  <w15:docId w15:val="{276E2822-E898-4E88-898F-A591E90A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aliases w:val="o,fr,Style 13,Style 12,Style 15,Style 17,Style 9,o1,fr1,o2,fr2,o3,fr3,Style 18,(NECG) Footnote Reference,Style 20,Style 7,Styl"/>
    <w:basedOn w:val="DefaultParagraphFont"/>
    <w:uiPriority w:val="99"/>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3"/>
      </w:numPr>
    </w:p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 w:type="paragraph" w:styleId="Revision">
    <w:name w:val="Revision"/>
    <w:hidden/>
    <w:uiPriority w:val="99"/>
    <w:semiHidden/>
    <w:rsid w:val="00AA72DB"/>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A420D6"/>
    <w:rPr>
      <w:rFonts w:ascii="Bookman Old Style" w:hAnsi="Bookman Old Style"/>
      <w:lang w:val="en-US" w:eastAsia="en-US" w:bidi="ar-SA"/>
    </w:rPr>
  </w:style>
  <w:style w:type="character" w:styleId="HTMLCite">
    <w:name w:val="HTML Cite"/>
    <w:basedOn w:val="DefaultParagraphFont"/>
    <w:uiPriority w:val="99"/>
    <w:unhideWhenUsed/>
    <w:rsid w:val="007517A4"/>
    <w:rPr>
      <w:i/>
      <w:iCs/>
    </w:rPr>
  </w:style>
  <w:style w:type="table" w:customStyle="1" w:styleId="TableGrid2">
    <w:name w:val="Table Grid2"/>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B71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389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79117583">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098481617">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327248429">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
    <w:div w:id="1389841440">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49875766">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73829291">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6CDC-A1A4-462D-9897-F7FED3AB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9751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11563</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2014-08-25T18:00:00Z</cp:lastPrinted>
  <dcterms:created xsi:type="dcterms:W3CDTF">2019-07-22T12:39:00Z</dcterms:created>
  <dcterms:modified xsi:type="dcterms:W3CDTF">2019-07-22T12:39:00Z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