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E2BD" w14:textId="77777777" w:rsidR="005B095A" w:rsidRPr="005D1B94" w:rsidRDefault="005B095A" w:rsidP="005B095A">
      <w:pPr>
        <w:tabs>
          <w:tab w:val="left" w:pos="900"/>
        </w:tabs>
        <w:spacing w:after="120"/>
        <w:ind w:left="907" w:hanging="907"/>
      </w:pPr>
      <w:r w:rsidRPr="005D1B94">
        <w:rPr>
          <w:b/>
        </w:rPr>
        <w:t>TO:</w:t>
      </w:r>
      <w:r w:rsidRPr="005D1B94">
        <w:tab/>
        <w:t>All Interested Parties</w:t>
      </w:r>
    </w:p>
    <w:p w14:paraId="716F6F55" w14:textId="77777777" w:rsidR="005B095A" w:rsidRPr="005D1B94" w:rsidRDefault="005B095A" w:rsidP="005B095A">
      <w:pPr>
        <w:tabs>
          <w:tab w:val="left" w:pos="900"/>
        </w:tabs>
        <w:ind w:left="907" w:hanging="907"/>
        <w:jc w:val="both"/>
        <w:rPr>
          <w:bCs/>
        </w:rPr>
      </w:pPr>
      <w:r w:rsidRPr="005D1B94">
        <w:rPr>
          <w:b/>
          <w:bCs/>
        </w:rPr>
        <w:t>FROM:</w:t>
      </w:r>
      <w:r w:rsidRPr="005D1B94">
        <w:rPr>
          <w:b/>
          <w:bCs/>
        </w:rPr>
        <w:tab/>
      </w:r>
      <w:r w:rsidRPr="005D1B94">
        <w:rPr>
          <w:b/>
          <w:bCs/>
        </w:rPr>
        <w:tab/>
      </w:r>
      <w:r>
        <w:rPr>
          <w:bCs/>
        </w:rPr>
        <w:t>Caroline Trum, NAESB Deputy Director</w:t>
      </w:r>
    </w:p>
    <w:p w14:paraId="5B0F07B0" w14:textId="56BF9B5A" w:rsidR="005B095A" w:rsidRPr="002E7143" w:rsidRDefault="005B095A" w:rsidP="005B095A">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 xml:space="preserve">Proposed Surety Assessment Standard Development Activities and Assignments Work Paper – NAESB </w:t>
      </w:r>
      <w:r w:rsidR="006B3EB0">
        <w:rPr>
          <w:b/>
          <w:bCs/>
        </w:rPr>
        <w:t>Business Operations Practices and Standards</w:t>
      </w:r>
    </w:p>
    <w:p w14:paraId="6BE0177B" w14:textId="77777777" w:rsidR="005B095A" w:rsidRPr="00847D64" w:rsidRDefault="005B095A" w:rsidP="005B095A">
      <w:pPr>
        <w:spacing w:before="120" w:after="120"/>
        <w:jc w:val="center"/>
        <w:rPr>
          <w:sz w:val="24"/>
          <w:szCs w:val="24"/>
          <w:u w:val="single"/>
        </w:rPr>
      </w:pPr>
      <w:r w:rsidRPr="00847D64">
        <w:rPr>
          <w:sz w:val="24"/>
          <w:szCs w:val="24"/>
          <w:u w:val="single"/>
        </w:rPr>
        <w:t>Proposed Surety Assessment Standard Development Activities and Assignments – NAESB Business Operations Practices and Standards</w:t>
      </w:r>
    </w:p>
    <w:p w14:paraId="1D673A7B" w14:textId="77777777" w:rsidR="005B095A" w:rsidRDefault="005B095A" w:rsidP="005B095A">
      <w:pPr>
        <w:spacing w:before="120" w:after="120"/>
      </w:pPr>
      <w:r>
        <w:rPr>
          <w:szCs w:val="20"/>
        </w:rPr>
        <w:t xml:space="preserve">On July 22, 2019, Sandia National Laboratories provided NAESB with the final reports on the surety assessment: </w:t>
      </w:r>
      <w:r>
        <w:t xml:space="preserve">(1)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  In anticipation of these reports being delivered, NAESB included on its 2019 Annual Plans a review of the final reports and the development and/or modifications of NAESB Business Practice Standards as needed to address recommendations from Sandia National Laboratories.  </w:t>
      </w:r>
    </w:p>
    <w:p w14:paraId="28C77535" w14:textId="45C53A3C" w:rsidR="00F02102" w:rsidRDefault="005B095A" w:rsidP="00F02102">
      <w:pPr>
        <w:spacing w:before="120" w:after="120"/>
      </w:pPr>
      <w:r>
        <w:t>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The table</w:t>
      </w:r>
      <w:r w:rsidR="00CA2831">
        <w:t xml:space="preserve"> below</w:t>
      </w:r>
      <w:r>
        <w:t xml:space="preserve"> identifies the explicit findings and other recommendations in the Assessment Report of the NAESB Business Operations Practices and Standards</w:t>
      </w:r>
      <w:r w:rsidR="00CA2831">
        <w:t xml:space="preserve"> and the </w:t>
      </w:r>
      <w:bookmarkStart w:id="0" w:name="_GoBack"/>
      <w:bookmarkEnd w:id="0"/>
      <w:r>
        <w:t>corresponding standard development activities to address the recommendations from Sandia National Laboratories.</w:t>
      </w:r>
    </w:p>
    <w:tbl>
      <w:tblPr>
        <w:tblStyle w:val="TableGrid"/>
        <w:tblW w:w="0" w:type="auto"/>
        <w:tblLook w:val="04A0" w:firstRow="1" w:lastRow="0" w:firstColumn="1" w:lastColumn="0" w:noHBand="0" w:noVBand="1"/>
      </w:tblPr>
      <w:tblGrid>
        <w:gridCol w:w="805"/>
        <w:gridCol w:w="2070"/>
        <w:gridCol w:w="4910"/>
        <w:gridCol w:w="3370"/>
        <w:gridCol w:w="1795"/>
      </w:tblGrid>
      <w:tr w:rsidR="00847D64" w14:paraId="36D149F2" w14:textId="77777777" w:rsidTr="00941ED2">
        <w:trPr>
          <w:tblHeader/>
        </w:trPr>
        <w:tc>
          <w:tcPr>
            <w:tcW w:w="805" w:type="dxa"/>
          </w:tcPr>
          <w:p w14:paraId="771CF68A" w14:textId="032F112B" w:rsidR="00847D64" w:rsidRPr="00873A6C" w:rsidRDefault="00847D64" w:rsidP="001C479B">
            <w:pPr>
              <w:spacing w:before="120" w:after="120"/>
              <w:rPr>
                <w:b/>
              </w:rPr>
            </w:pPr>
            <w:r w:rsidRPr="00873A6C">
              <w:rPr>
                <w:b/>
              </w:rPr>
              <w:t>Issue</w:t>
            </w:r>
          </w:p>
        </w:tc>
        <w:tc>
          <w:tcPr>
            <w:tcW w:w="2070" w:type="dxa"/>
          </w:tcPr>
          <w:p w14:paraId="006DD81D" w14:textId="58662384" w:rsidR="00847D64" w:rsidRPr="00F02102" w:rsidRDefault="00847D64" w:rsidP="00941ED2">
            <w:pPr>
              <w:spacing w:before="120" w:after="120"/>
              <w:rPr>
                <w:b/>
              </w:rPr>
            </w:pPr>
            <w:r>
              <w:rPr>
                <w:b/>
              </w:rPr>
              <w:t>Report Section (Page Number)</w:t>
            </w:r>
          </w:p>
        </w:tc>
        <w:tc>
          <w:tcPr>
            <w:tcW w:w="4910" w:type="dxa"/>
          </w:tcPr>
          <w:p w14:paraId="11C7AC23" w14:textId="075C7129" w:rsidR="00847D64" w:rsidRPr="00F02102" w:rsidRDefault="00847D64" w:rsidP="00CF39B4">
            <w:pPr>
              <w:spacing w:before="120" w:after="120"/>
              <w:jc w:val="both"/>
              <w:rPr>
                <w:b/>
              </w:rPr>
            </w:pPr>
            <w:r w:rsidRPr="00F02102">
              <w:rPr>
                <w:b/>
              </w:rPr>
              <w:t>Sandia Finding/Recommendation</w:t>
            </w:r>
          </w:p>
        </w:tc>
        <w:tc>
          <w:tcPr>
            <w:tcW w:w="3370" w:type="dxa"/>
          </w:tcPr>
          <w:p w14:paraId="3423796E" w14:textId="7342A0AE" w:rsidR="00847D64" w:rsidRPr="00F02102" w:rsidRDefault="00847D64" w:rsidP="00F02102">
            <w:pPr>
              <w:spacing w:before="120" w:after="120"/>
              <w:rPr>
                <w:b/>
              </w:rPr>
            </w:pPr>
            <w:r w:rsidRPr="00F02102">
              <w:rPr>
                <w:b/>
              </w:rPr>
              <w:t>Recommended Standards Development Activity</w:t>
            </w:r>
          </w:p>
        </w:tc>
        <w:tc>
          <w:tcPr>
            <w:tcW w:w="1795" w:type="dxa"/>
          </w:tcPr>
          <w:p w14:paraId="4FF64C13" w14:textId="138049C6" w:rsidR="00847D64" w:rsidRPr="00F02102" w:rsidRDefault="00847D64" w:rsidP="00F02102">
            <w:pPr>
              <w:spacing w:before="120" w:after="120"/>
              <w:rPr>
                <w:b/>
              </w:rPr>
            </w:pPr>
            <w:r w:rsidRPr="00F02102">
              <w:rPr>
                <w:b/>
              </w:rPr>
              <w:t xml:space="preserve">Recommended </w:t>
            </w:r>
            <w:r>
              <w:rPr>
                <w:b/>
              </w:rPr>
              <w:t>A</w:t>
            </w:r>
            <w:r w:rsidRPr="00F02102">
              <w:rPr>
                <w:b/>
              </w:rPr>
              <w:t>ssignment</w:t>
            </w:r>
          </w:p>
        </w:tc>
      </w:tr>
      <w:tr w:rsidR="00992E42" w14:paraId="335BF38A" w14:textId="77777777" w:rsidTr="00941ED2">
        <w:tc>
          <w:tcPr>
            <w:tcW w:w="805" w:type="dxa"/>
          </w:tcPr>
          <w:p w14:paraId="08C37CA5" w14:textId="77777777" w:rsidR="00992E42" w:rsidRDefault="00992E42" w:rsidP="00992E42">
            <w:pPr>
              <w:pStyle w:val="ListParagraph"/>
              <w:numPr>
                <w:ilvl w:val="0"/>
                <w:numId w:val="16"/>
              </w:numPr>
              <w:spacing w:before="120" w:after="120"/>
            </w:pPr>
          </w:p>
        </w:tc>
        <w:tc>
          <w:tcPr>
            <w:tcW w:w="2070" w:type="dxa"/>
          </w:tcPr>
          <w:p w14:paraId="1900C6AA" w14:textId="481105DC" w:rsidR="00992E42" w:rsidRDefault="00992E42" w:rsidP="00941ED2">
            <w:pPr>
              <w:spacing w:before="120" w:after="120"/>
            </w:pPr>
            <w:r>
              <w:t>Business Operations Practices and Standards Report Section 4 – Metrics of Importance (Pages 8 – 9)</w:t>
            </w:r>
          </w:p>
          <w:p w14:paraId="0CA690D2" w14:textId="77777777" w:rsidR="00992E42" w:rsidRDefault="00992E42" w:rsidP="00941ED2">
            <w:pPr>
              <w:spacing w:before="120" w:after="120"/>
            </w:pPr>
          </w:p>
        </w:tc>
        <w:tc>
          <w:tcPr>
            <w:tcW w:w="4910" w:type="dxa"/>
          </w:tcPr>
          <w:p w14:paraId="6EFE3270" w14:textId="77777777" w:rsidR="00992E42" w:rsidRPr="00C34EE4" w:rsidRDefault="00992E42" w:rsidP="00992E42">
            <w:pPr>
              <w:spacing w:before="120" w:after="120"/>
              <w:jc w:val="both"/>
              <w:rPr>
                <w:szCs w:val="20"/>
              </w:rPr>
            </w:pPr>
            <w:r w:rsidRPr="00C34EE4">
              <w:rPr>
                <w:szCs w:val="20"/>
              </w:rPr>
              <w:t>Metrics should be collected and analyzed to measure how the implementation of the Business Operations Practices and Standards increases the reliability and security of electronic data exchanged between trading partners. The following are some examples of metrics that could be collected for NAESB and industry partners to review and analyze:</w:t>
            </w:r>
          </w:p>
          <w:p w14:paraId="28E1EFF8" w14:textId="77777777" w:rsidR="00992E42" w:rsidRPr="00C34EE4" w:rsidRDefault="00992E42" w:rsidP="00992E42">
            <w:pPr>
              <w:pStyle w:val="ListParagraph"/>
              <w:numPr>
                <w:ilvl w:val="0"/>
                <w:numId w:val="11"/>
              </w:numPr>
              <w:spacing w:before="120" w:after="120" w:line="276" w:lineRule="auto"/>
              <w:jc w:val="both"/>
            </w:pPr>
            <w:r w:rsidRPr="00C34EE4">
              <w:t>Measure the number of daily transactions between business partners, and the number of transactions that fail or have errors that need to be corrected</w:t>
            </w:r>
          </w:p>
          <w:p w14:paraId="7EBFCB8A" w14:textId="77777777" w:rsidR="00992E42" w:rsidRPr="00C34EE4" w:rsidRDefault="00992E42" w:rsidP="00992E42">
            <w:pPr>
              <w:pStyle w:val="ListParagraph"/>
              <w:numPr>
                <w:ilvl w:val="0"/>
                <w:numId w:val="11"/>
              </w:numPr>
              <w:spacing w:before="120" w:after="120" w:line="276" w:lineRule="auto"/>
              <w:jc w:val="both"/>
            </w:pPr>
            <w:r w:rsidRPr="00C34EE4">
              <w:t>Measure the best, median, average, and worst time for a transaction to be completed</w:t>
            </w:r>
          </w:p>
          <w:p w14:paraId="1EF07428" w14:textId="77777777" w:rsidR="00992E42" w:rsidRPr="00C34EE4" w:rsidRDefault="00992E42" w:rsidP="00992E42">
            <w:pPr>
              <w:pStyle w:val="ListParagraph"/>
              <w:numPr>
                <w:ilvl w:val="0"/>
                <w:numId w:val="11"/>
              </w:numPr>
              <w:spacing w:before="120" w:after="120" w:line="276" w:lineRule="auto"/>
              <w:jc w:val="both"/>
            </w:pPr>
            <w:r w:rsidRPr="00C34EE4">
              <w:lastRenderedPageBreak/>
              <w:t>Count the number of organizations that have established continuity of operations planning (COOP), and the number of organizations that exercise their COOP each year</w:t>
            </w:r>
          </w:p>
          <w:p w14:paraId="09A4E24D" w14:textId="77777777" w:rsidR="00992E42" w:rsidRPr="00C34EE4" w:rsidRDefault="00992E42" w:rsidP="00992E42">
            <w:pPr>
              <w:pStyle w:val="ListParagraph"/>
              <w:numPr>
                <w:ilvl w:val="0"/>
                <w:numId w:val="11"/>
              </w:numPr>
              <w:spacing w:before="120" w:after="120" w:line="276" w:lineRule="auto"/>
              <w:jc w:val="both"/>
            </w:pPr>
            <w:r w:rsidRPr="00C34EE4">
              <w:t>Count the number of organizations that maintain alternate and 24/7 contact information for trading partners, and the number that have this information stored offline (in case of a ransomware attack)</w:t>
            </w:r>
          </w:p>
          <w:p w14:paraId="158A4731" w14:textId="77777777" w:rsidR="00992E42" w:rsidRPr="00C34EE4" w:rsidRDefault="00992E42" w:rsidP="00992E42">
            <w:pPr>
              <w:pStyle w:val="ListParagraph"/>
              <w:numPr>
                <w:ilvl w:val="0"/>
                <w:numId w:val="11"/>
              </w:numPr>
              <w:spacing w:before="120" w:after="120" w:line="276" w:lineRule="auto"/>
              <w:jc w:val="both"/>
            </w:pPr>
            <w:r w:rsidRPr="00C34EE4">
              <w:t>Count the number of times alternate methods were used for transactions (ex. phone or fax) during normal operations; and during a system outage, failure, or other issue</w:t>
            </w:r>
          </w:p>
          <w:p w14:paraId="74D9E483" w14:textId="77777777" w:rsidR="00992E42" w:rsidRPr="00C34EE4" w:rsidRDefault="00992E42" w:rsidP="00992E42">
            <w:pPr>
              <w:spacing w:before="120" w:after="120"/>
              <w:jc w:val="both"/>
              <w:rPr>
                <w:szCs w:val="20"/>
              </w:rPr>
            </w:pPr>
            <w:r w:rsidRPr="00C34EE4">
              <w:rPr>
                <w:szCs w:val="20"/>
              </w:rPr>
              <w:t>These metrics could be self-reported – either to NAESB or maintained by each organization on a statistics webpage that can be accessed by their trading partners. If desired, NAESB could collect and tabulate the totals on a monthly basis, and then share the information with participating organizations. If necessary, data could be anonymized while still allowing organizations to rate their own performance against the industry norms.</w:t>
            </w:r>
          </w:p>
          <w:p w14:paraId="4E91858E" w14:textId="66205AE4" w:rsidR="00992E42" w:rsidRDefault="00992E42" w:rsidP="00992E42">
            <w:pPr>
              <w:spacing w:before="120" w:after="120"/>
              <w:jc w:val="both"/>
            </w:pPr>
            <w:r w:rsidRPr="00C34EE4">
              <w:rPr>
                <w:szCs w:val="20"/>
              </w:rPr>
              <w:t>This data could then be used in life-cycle decisions, trading partner selection, analysis of COOP and disaster recovery plans, and determining if NAESB standards need to be upgraded or revised.</w:t>
            </w:r>
          </w:p>
        </w:tc>
        <w:tc>
          <w:tcPr>
            <w:tcW w:w="3370" w:type="dxa"/>
          </w:tcPr>
          <w:p w14:paraId="3FBD7A98" w14:textId="77777777" w:rsidR="00992E42" w:rsidRDefault="00992E42" w:rsidP="00992E42">
            <w:pPr>
              <w:spacing w:before="120" w:after="120"/>
            </w:pPr>
          </w:p>
        </w:tc>
        <w:tc>
          <w:tcPr>
            <w:tcW w:w="1795" w:type="dxa"/>
          </w:tcPr>
          <w:p w14:paraId="6314E32C" w14:textId="77777777" w:rsidR="00992E42" w:rsidRDefault="00992E42" w:rsidP="00992E42">
            <w:pPr>
              <w:spacing w:before="120" w:after="120"/>
            </w:pPr>
          </w:p>
        </w:tc>
      </w:tr>
      <w:tr w:rsidR="00992E42" w14:paraId="0869E59C" w14:textId="77777777" w:rsidTr="00941ED2">
        <w:tc>
          <w:tcPr>
            <w:tcW w:w="805" w:type="dxa"/>
          </w:tcPr>
          <w:p w14:paraId="437AD2C3" w14:textId="77777777" w:rsidR="00992E42" w:rsidRDefault="00992E42" w:rsidP="00992E42">
            <w:pPr>
              <w:pStyle w:val="ListParagraph"/>
              <w:numPr>
                <w:ilvl w:val="0"/>
                <w:numId w:val="16"/>
              </w:numPr>
              <w:spacing w:before="120" w:after="120"/>
            </w:pPr>
          </w:p>
        </w:tc>
        <w:tc>
          <w:tcPr>
            <w:tcW w:w="2070" w:type="dxa"/>
          </w:tcPr>
          <w:p w14:paraId="613A1E17" w14:textId="06AAE3E2" w:rsidR="00992E42" w:rsidRDefault="00992E42" w:rsidP="00941ED2">
            <w:pPr>
              <w:spacing w:before="120" w:after="120"/>
            </w:pPr>
            <w:r>
              <w:t xml:space="preserve">Business Operations Practices and Standards Report </w:t>
            </w:r>
            <w:r>
              <w:lastRenderedPageBreak/>
              <w:t>Section 6.1.1 – NAESB Standards Refer to Vulnerable Versions of Communication Protocols (Page 10 – 11)</w:t>
            </w:r>
          </w:p>
        </w:tc>
        <w:tc>
          <w:tcPr>
            <w:tcW w:w="4910" w:type="dxa"/>
          </w:tcPr>
          <w:p w14:paraId="3DE989BE" w14:textId="3286E17E" w:rsidR="00992E42" w:rsidRDefault="00992E42" w:rsidP="00992E42">
            <w:pPr>
              <w:spacing w:before="120" w:after="120"/>
              <w:jc w:val="both"/>
              <w:rPr>
                <w:szCs w:val="20"/>
              </w:rPr>
            </w:pPr>
            <w:r>
              <w:rPr>
                <w:szCs w:val="20"/>
              </w:rPr>
              <w:lastRenderedPageBreak/>
              <w:t>Level: High</w:t>
            </w:r>
          </w:p>
          <w:p w14:paraId="07A57822" w14:textId="3B90D288" w:rsidR="00992E42" w:rsidRDefault="00992E42" w:rsidP="00992E42">
            <w:pPr>
              <w:spacing w:before="120" w:after="120"/>
              <w:jc w:val="both"/>
            </w:pPr>
            <w:r w:rsidRPr="008B371A">
              <w:rPr>
                <w:szCs w:val="20"/>
              </w:rPr>
              <w:t xml:space="preserve">In addition, to ensure timely adoption of new technology the assessment team recommends that new versions of </w:t>
            </w:r>
            <w:r w:rsidRPr="008B371A">
              <w:rPr>
                <w:szCs w:val="20"/>
              </w:rPr>
              <w:lastRenderedPageBreak/>
              <w:t>technologies and standards that include fixes or patches for known vulnerabilities (as opposed to simply adding new functionality) should be adopted within 30 days of their publication.</w:t>
            </w:r>
          </w:p>
        </w:tc>
        <w:tc>
          <w:tcPr>
            <w:tcW w:w="3370" w:type="dxa"/>
          </w:tcPr>
          <w:p w14:paraId="71FE6300" w14:textId="77777777" w:rsidR="00992E42" w:rsidRDefault="00992E42" w:rsidP="00992E42">
            <w:pPr>
              <w:spacing w:before="120" w:after="120"/>
            </w:pPr>
          </w:p>
        </w:tc>
        <w:tc>
          <w:tcPr>
            <w:tcW w:w="1795" w:type="dxa"/>
          </w:tcPr>
          <w:p w14:paraId="4728EF1C" w14:textId="1644C1B2" w:rsidR="00992E42" w:rsidRDefault="00992E42" w:rsidP="00992E42">
            <w:pPr>
              <w:spacing w:before="120" w:after="120"/>
            </w:pPr>
          </w:p>
        </w:tc>
      </w:tr>
      <w:tr w:rsidR="00992E42" w14:paraId="17ED45B4" w14:textId="77777777" w:rsidTr="00941ED2">
        <w:tc>
          <w:tcPr>
            <w:tcW w:w="805" w:type="dxa"/>
          </w:tcPr>
          <w:p w14:paraId="0C442B87" w14:textId="77777777" w:rsidR="00992E42" w:rsidRDefault="00992E42" w:rsidP="00992E42">
            <w:pPr>
              <w:pStyle w:val="ListParagraph"/>
              <w:numPr>
                <w:ilvl w:val="0"/>
                <w:numId w:val="16"/>
              </w:numPr>
              <w:spacing w:before="120" w:after="120"/>
            </w:pPr>
          </w:p>
        </w:tc>
        <w:tc>
          <w:tcPr>
            <w:tcW w:w="2070" w:type="dxa"/>
          </w:tcPr>
          <w:p w14:paraId="00314A40" w14:textId="6A16C5B0" w:rsidR="00992E42" w:rsidRDefault="00992E42" w:rsidP="00941ED2">
            <w:pPr>
              <w:spacing w:before="120" w:after="120"/>
            </w:pPr>
            <w:r>
              <w:t>Business Operations Practices and Standards Report Section 6.1.1 – NAESB Standards Refer to Vulnerable Versions of Communication Protocols (Pages 10 – 11)</w:t>
            </w:r>
          </w:p>
        </w:tc>
        <w:tc>
          <w:tcPr>
            <w:tcW w:w="4910" w:type="dxa"/>
          </w:tcPr>
          <w:p w14:paraId="5EB24019" w14:textId="42759985" w:rsidR="00992E42" w:rsidRDefault="00992E42" w:rsidP="00992E42">
            <w:pPr>
              <w:spacing w:before="120" w:after="120"/>
              <w:jc w:val="both"/>
              <w:rPr>
                <w:szCs w:val="20"/>
              </w:rPr>
            </w:pPr>
            <w:r>
              <w:rPr>
                <w:szCs w:val="20"/>
              </w:rPr>
              <w:t>Level: High</w:t>
            </w:r>
          </w:p>
          <w:p w14:paraId="12A6376C" w14:textId="79236A4F" w:rsidR="00992E42" w:rsidRPr="00FC11D6" w:rsidRDefault="00992E42" w:rsidP="00992E42">
            <w:pPr>
              <w:spacing w:before="120" w:after="120"/>
              <w:jc w:val="both"/>
              <w:rPr>
                <w:szCs w:val="20"/>
              </w:rPr>
            </w:pPr>
            <w:r w:rsidRPr="008B371A">
              <w:rPr>
                <w:szCs w:val="20"/>
              </w:rPr>
              <w:t>Since existing systems may not be compatible 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tc>
        <w:tc>
          <w:tcPr>
            <w:tcW w:w="3370" w:type="dxa"/>
          </w:tcPr>
          <w:p w14:paraId="0DA8ED86" w14:textId="77777777" w:rsidR="00992E42" w:rsidRDefault="00992E42" w:rsidP="00992E42">
            <w:pPr>
              <w:spacing w:before="120" w:after="120"/>
            </w:pPr>
          </w:p>
        </w:tc>
        <w:tc>
          <w:tcPr>
            <w:tcW w:w="1795" w:type="dxa"/>
          </w:tcPr>
          <w:p w14:paraId="24ACE581" w14:textId="77777777" w:rsidR="00992E42" w:rsidRDefault="00992E42" w:rsidP="00992E42">
            <w:pPr>
              <w:spacing w:before="120" w:after="120"/>
            </w:pPr>
          </w:p>
        </w:tc>
      </w:tr>
      <w:tr w:rsidR="00992E42" w14:paraId="383FBEE6" w14:textId="77777777" w:rsidTr="00941ED2">
        <w:tc>
          <w:tcPr>
            <w:tcW w:w="805" w:type="dxa"/>
          </w:tcPr>
          <w:p w14:paraId="645C713A" w14:textId="77777777" w:rsidR="00992E42" w:rsidRDefault="00992E42" w:rsidP="00992E42">
            <w:pPr>
              <w:pStyle w:val="ListParagraph"/>
              <w:numPr>
                <w:ilvl w:val="0"/>
                <w:numId w:val="16"/>
              </w:numPr>
              <w:spacing w:before="120" w:after="120"/>
            </w:pPr>
          </w:p>
        </w:tc>
        <w:tc>
          <w:tcPr>
            <w:tcW w:w="2070" w:type="dxa"/>
          </w:tcPr>
          <w:p w14:paraId="7BA21171" w14:textId="24D14471" w:rsidR="00992E42" w:rsidRDefault="00992E42" w:rsidP="00941ED2">
            <w:pPr>
              <w:spacing w:before="120" w:after="120"/>
            </w:pPr>
            <w:r>
              <w:t>Business Operations Practices and Standards Report Section 6.1.1 – NAESB Standards Refer to Vulnerable Versions of Communication Protocols (Pages 10 – 11)</w:t>
            </w:r>
          </w:p>
          <w:p w14:paraId="7E739131" w14:textId="77777777" w:rsidR="00992E42" w:rsidRDefault="00992E42" w:rsidP="00941ED2">
            <w:pPr>
              <w:spacing w:before="120" w:after="120"/>
            </w:pPr>
          </w:p>
        </w:tc>
        <w:tc>
          <w:tcPr>
            <w:tcW w:w="4910" w:type="dxa"/>
          </w:tcPr>
          <w:p w14:paraId="7FFFF8DD" w14:textId="2DB35C75" w:rsidR="00992E42" w:rsidRDefault="00992E42" w:rsidP="00992E42">
            <w:pPr>
              <w:spacing w:before="120" w:after="120"/>
              <w:jc w:val="both"/>
              <w:rPr>
                <w:szCs w:val="20"/>
              </w:rPr>
            </w:pPr>
            <w:r>
              <w:rPr>
                <w:szCs w:val="20"/>
              </w:rPr>
              <w:lastRenderedPageBreak/>
              <w:t>Level: High</w:t>
            </w:r>
          </w:p>
          <w:p w14:paraId="21B0ECA0" w14:textId="0B3B60DF" w:rsidR="00992E42" w:rsidRDefault="00992E42" w:rsidP="00992E42">
            <w:pPr>
              <w:spacing w:before="120" w:after="120"/>
              <w:jc w:val="both"/>
            </w:pPr>
            <w:r w:rsidRPr="008B371A">
              <w:rPr>
                <w:szCs w:val="20"/>
              </w:rPr>
              <w:t>All the communications standards specified in the Internet Electronic Transport (IET) standards and the Electronic Delivery Manual (EDM) for Retail Gas Quadrant and Retail Electric Quadrants</w:t>
            </w:r>
            <w:r>
              <w:rPr>
                <w:szCs w:val="20"/>
              </w:rPr>
              <w:t xml:space="preserve">.  </w:t>
            </w:r>
            <w:r w:rsidRPr="008B371A">
              <w:rPr>
                <w:szCs w:val="20"/>
              </w:rPr>
              <w:t>The assessment team recommends that the NAESB review and upgrade the minimum requirement for SSL/TLS to version 1.2 configured with FIPS-based cipher suites as a minimum</w:t>
            </w:r>
            <w:r w:rsidRPr="008B371A">
              <w:rPr>
                <w:rStyle w:val="FootnoteReference"/>
              </w:rPr>
              <w:footnoteReference w:id="1"/>
            </w:r>
            <w:r w:rsidRPr="008B371A">
              <w:rPr>
                <w:szCs w:val="20"/>
              </w:rPr>
              <w:t xml:space="preserve">. NIST 800-52 details the TLS version and associated configurations and currently requires version 1.2 and </w:t>
            </w:r>
            <w:r w:rsidRPr="008B371A">
              <w:rPr>
                <w:szCs w:val="20"/>
              </w:rPr>
              <w:lastRenderedPageBreak/>
              <w:t xml:space="preserve">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w:t>
            </w:r>
          </w:p>
        </w:tc>
        <w:tc>
          <w:tcPr>
            <w:tcW w:w="3370" w:type="dxa"/>
          </w:tcPr>
          <w:p w14:paraId="1B726987" w14:textId="77777777" w:rsidR="00992E42" w:rsidRDefault="00992E42" w:rsidP="00992E42">
            <w:pPr>
              <w:spacing w:before="120" w:after="120"/>
            </w:pPr>
          </w:p>
        </w:tc>
        <w:tc>
          <w:tcPr>
            <w:tcW w:w="1795" w:type="dxa"/>
          </w:tcPr>
          <w:p w14:paraId="0F472AC0" w14:textId="77777777" w:rsidR="00992E42" w:rsidRDefault="00992E42" w:rsidP="00992E42">
            <w:pPr>
              <w:spacing w:before="120" w:after="120"/>
            </w:pPr>
          </w:p>
        </w:tc>
      </w:tr>
      <w:tr w:rsidR="00992E42" w14:paraId="369FF87C" w14:textId="77777777" w:rsidTr="00941ED2">
        <w:tc>
          <w:tcPr>
            <w:tcW w:w="805" w:type="dxa"/>
          </w:tcPr>
          <w:p w14:paraId="029FB35E" w14:textId="77777777" w:rsidR="00992E42" w:rsidRDefault="00992E42" w:rsidP="00992E42">
            <w:pPr>
              <w:pStyle w:val="ListParagraph"/>
              <w:numPr>
                <w:ilvl w:val="0"/>
                <w:numId w:val="16"/>
              </w:numPr>
              <w:spacing w:before="120" w:after="120"/>
            </w:pPr>
          </w:p>
        </w:tc>
        <w:tc>
          <w:tcPr>
            <w:tcW w:w="2070" w:type="dxa"/>
          </w:tcPr>
          <w:p w14:paraId="41983A1C" w14:textId="64F4FAA4" w:rsidR="00992E42" w:rsidRDefault="00992E42" w:rsidP="00941ED2">
            <w:pPr>
              <w:spacing w:before="120" w:after="120"/>
            </w:pPr>
            <w:r>
              <w:t>Business Operations Practices and Standards Report Section 6.1.1 – NAESB Standards Refer to Vulnerable Versions of Communication Protocols (Pages 10 – 11)</w:t>
            </w:r>
          </w:p>
        </w:tc>
        <w:tc>
          <w:tcPr>
            <w:tcW w:w="4910" w:type="dxa"/>
          </w:tcPr>
          <w:p w14:paraId="4D1641F3" w14:textId="0F993D1A" w:rsidR="00992E42" w:rsidRDefault="00992E42" w:rsidP="00992E42">
            <w:pPr>
              <w:spacing w:before="120" w:after="120"/>
              <w:jc w:val="both"/>
              <w:rPr>
                <w:szCs w:val="20"/>
              </w:rPr>
            </w:pPr>
            <w:r>
              <w:rPr>
                <w:szCs w:val="20"/>
              </w:rPr>
              <w:t>Level: High</w:t>
            </w:r>
          </w:p>
          <w:p w14:paraId="4AE97FE1" w14:textId="4A8E3864" w:rsidR="00992E42" w:rsidRPr="00FC11D6" w:rsidRDefault="00992E42" w:rsidP="00992E42">
            <w:pPr>
              <w:spacing w:before="120" w:after="120"/>
              <w:jc w:val="both"/>
              <w:rPr>
                <w:szCs w:val="20"/>
              </w:rPr>
            </w:pPr>
            <w:r w:rsidRPr="008B371A">
              <w:rPr>
                <w:szCs w:val="20"/>
              </w:rPr>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tc>
        <w:tc>
          <w:tcPr>
            <w:tcW w:w="3370" w:type="dxa"/>
          </w:tcPr>
          <w:p w14:paraId="7ADBB7B9" w14:textId="77777777" w:rsidR="00992E42" w:rsidRDefault="00992E42" w:rsidP="00992E42">
            <w:pPr>
              <w:spacing w:before="120" w:after="120"/>
            </w:pPr>
          </w:p>
        </w:tc>
        <w:tc>
          <w:tcPr>
            <w:tcW w:w="1795" w:type="dxa"/>
          </w:tcPr>
          <w:p w14:paraId="5A241E01" w14:textId="77777777" w:rsidR="00992E42" w:rsidRDefault="00992E42" w:rsidP="00992E42">
            <w:pPr>
              <w:spacing w:before="120" w:after="120"/>
            </w:pPr>
          </w:p>
        </w:tc>
      </w:tr>
      <w:tr w:rsidR="00992E42" w14:paraId="08A79D9F" w14:textId="77777777" w:rsidTr="00941ED2">
        <w:tc>
          <w:tcPr>
            <w:tcW w:w="805" w:type="dxa"/>
          </w:tcPr>
          <w:p w14:paraId="71F85385" w14:textId="77777777" w:rsidR="00992E42" w:rsidRPr="00E91C95" w:rsidRDefault="00992E42" w:rsidP="00992E42">
            <w:pPr>
              <w:pStyle w:val="ListParagraph"/>
              <w:numPr>
                <w:ilvl w:val="0"/>
                <w:numId w:val="16"/>
              </w:numPr>
              <w:spacing w:before="120" w:after="120"/>
            </w:pPr>
          </w:p>
        </w:tc>
        <w:tc>
          <w:tcPr>
            <w:tcW w:w="2070" w:type="dxa"/>
          </w:tcPr>
          <w:p w14:paraId="1FB1DE09" w14:textId="707F435B" w:rsidR="00992E42" w:rsidRPr="00E91C95" w:rsidRDefault="00992E42" w:rsidP="00941ED2">
            <w:pPr>
              <w:spacing w:before="120" w:after="120"/>
            </w:pPr>
            <w:r w:rsidRPr="00E91C95">
              <w:t>Business Operations Practices and Standards Report Section 6.1.</w:t>
            </w:r>
            <w:r>
              <w:t xml:space="preserve">2 – </w:t>
            </w:r>
            <w:r w:rsidRPr="00E91C95">
              <w:t>NAESB Standards Need Review for Unused or Unnecessary Functionality</w:t>
            </w:r>
            <w:r>
              <w:t xml:space="preserve"> (Page 11)</w:t>
            </w:r>
          </w:p>
        </w:tc>
        <w:tc>
          <w:tcPr>
            <w:tcW w:w="4910" w:type="dxa"/>
          </w:tcPr>
          <w:p w14:paraId="2998A4D2" w14:textId="1DB66439" w:rsidR="00992E42" w:rsidRDefault="00992E42" w:rsidP="00992E42">
            <w:pPr>
              <w:spacing w:before="120" w:after="120"/>
              <w:jc w:val="both"/>
            </w:pPr>
            <w:r>
              <w:t>Level: Low</w:t>
            </w:r>
          </w:p>
          <w:p w14:paraId="619A3C61" w14:textId="5D47E13C" w:rsidR="00992E42" w:rsidRDefault="00992E42" w:rsidP="00992E42">
            <w:pPr>
              <w:spacing w:before="120" w:after="120"/>
              <w:jc w:val="both"/>
            </w:pPr>
            <w:r w:rsidRPr="008C5A1C">
              <w:t>As part of an annual review the analysis team recommends review of NIST 800-52 for guidance. Monitoring of required protocols as defined in WEQ-002.3</w:t>
            </w:r>
            <w:r w:rsidRPr="008C5A1C">
              <w:rPr>
                <w:bCs/>
              </w:rPr>
              <w:t xml:space="preserve"> and the IET data dictionary table</w:t>
            </w:r>
            <w:r w:rsidRPr="008C5A1C">
              <w:rPr>
                <w:b/>
                <w:bCs/>
              </w:rPr>
              <w:t xml:space="preserve"> </w:t>
            </w:r>
            <w:r w:rsidRPr="008C5A1C">
              <w:rPr>
                <w:bCs/>
              </w:rPr>
              <w:t xml:space="preserve">updates for acceptable configurations for supported secure communication protocols defined for IET are all recommended for immediate update as required by independent facility implementation based on NIST NVD, US CERT, ICS CERT or vendor mandate. The assessment team recommends any updates for these communication protocols to be considered for incorporation into standards following review as an </w:t>
            </w:r>
            <w:r w:rsidRPr="008C5A1C">
              <w:rPr>
                <w:bCs/>
              </w:rPr>
              <w:lastRenderedPageBreak/>
              <w:t>updated minimum version</w:t>
            </w:r>
            <w:r w:rsidRPr="008C5A1C">
              <w:t xml:space="preserve"> 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tc>
        <w:tc>
          <w:tcPr>
            <w:tcW w:w="3370" w:type="dxa"/>
          </w:tcPr>
          <w:p w14:paraId="6C500532" w14:textId="77777777" w:rsidR="00992E42" w:rsidRDefault="00992E42" w:rsidP="00992E42">
            <w:pPr>
              <w:spacing w:before="120" w:after="120"/>
            </w:pPr>
          </w:p>
          <w:p w14:paraId="55AE9BEE" w14:textId="77777777" w:rsidR="00992E42" w:rsidRPr="00E91C95" w:rsidRDefault="00992E42" w:rsidP="00992E42"/>
          <w:p w14:paraId="030220B5" w14:textId="77777777" w:rsidR="00992E42" w:rsidRPr="00E91C95" w:rsidRDefault="00992E42" w:rsidP="00992E42"/>
          <w:p w14:paraId="32553726" w14:textId="77777777" w:rsidR="00992E42" w:rsidRPr="00E91C95" w:rsidRDefault="00992E42" w:rsidP="00992E42"/>
          <w:p w14:paraId="28322736" w14:textId="77777777" w:rsidR="00992E42" w:rsidRPr="00E91C95" w:rsidRDefault="00992E42" w:rsidP="00992E42"/>
          <w:p w14:paraId="39A4D908" w14:textId="77777777" w:rsidR="00992E42" w:rsidRPr="00E91C95" w:rsidRDefault="00992E42" w:rsidP="00992E42"/>
          <w:p w14:paraId="5F74C333" w14:textId="77777777" w:rsidR="00992E42" w:rsidRPr="00E91C95" w:rsidRDefault="00992E42" w:rsidP="00992E42"/>
          <w:p w14:paraId="24629518" w14:textId="77777777" w:rsidR="00992E42" w:rsidRPr="00E91C95" w:rsidRDefault="00992E42" w:rsidP="00992E42"/>
          <w:p w14:paraId="5FCCA78B" w14:textId="77777777" w:rsidR="00992E42" w:rsidRPr="00E91C95" w:rsidRDefault="00992E42" w:rsidP="00992E42"/>
          <w:p w14:paraId="5DA58F9A" w14:textId="77777777" w:rsidR="00992E42" w:rsidRDefault="00992E42" w:rsidP="00992E42"/>
          <w:p w14:paraId="4312615C" w14:textId="77777777" w:rsidR="00992E42" w:rsidRDefault="00992E42" w:rsidP="00992E42"/>
          <w:p w14:paraId="750B439B" w14:textId="332DD3AD" w:rsidR="00992E42" w:rsidRPr="00E91C95" w:rsidRDefault="00992E42" w:rsidP="00992E42">
            <w:pPr>
              <w:tabs>
                <w:tab w:val="left" w:pos="1333"/>
              </w:tabs>
            </w:pPr>
            <w:r>
              <w:tab/>
            </w:r>
          </w:p>
        </w:tc>
        <w:tc>
          <w:tcPr>
            <w:tcW w:w="1795" w:type="dxa"/>
          </w:tcPr>
          <w:p w14:paraId="4C2D8080" w14:textId="63DDF51D" w:rsidR="00992E42" w:rsidRDefault="00992E42" w:rsidP="00992E42">
            <w:pPr>
              <w:spacing w:before="120" w:after="120"/>
            </w:pPr>
          </w:p>
        </w:tc>
      </w:tr>
      <w:tr w:rsidR="00992E42" w14:paraId="2F9FBE83" w14:textId="77777777" w:rsidTr="00941ED2">
        <w:tc>
          <w:tcPr>
            <w:tcW w:w="805" w:type="dxa"/>
          </w:tcPr>
          <w:p w14:paraId="7E6021E2" w14:textId="77777777" w:rsidR="00992E42" w:rsidRDefault="00992E42" w:rsidP="00992E42">
            <w:pPr>
              <w:pStyle w:val="ListParagraph"/>
              <w:numPr>
                <w:ilvl w:val="0"/>
                <w:numId w:val="16"/>
              </w:numPr>
              <w:spacing w:before="120" w:after="120"/>
            </w:pPr>
          </w:p>
        </w:tc>
        <w:tc>
          <w:tcPr>
            <w:tcW w:w="2070" w:type="dxa"/>
          </w:tcPr>
          <w:p w14:paraId="3F6F2473" w14:textId="51D07C63" w:rsidR="00992E42" w:rsidRDefault="00992E42" w:rsidP="00941ED2">
            <w:pPr>
              <w:spacing w:before="120" w:after="120"/>
            </w:pPr>
            <w:r>
              <w:t>Business Operations Practices and Standards Report Section 6.1.4 – Use of Human Control and Review in Operations (Page 12)</w:t>
            </w:r>
          </w:p>
          <w:p w14:paraId="7D1ACB0D" w14:textId="77777777" w:rsidR="00992E42" w:rsidRDefault="00992E42" w:rsidP="00941ED2">
            <w:pPr>
              <w:spacing w:before="120" w:after="120"/>
            </w:pPr>
          </w:p>
        </w:tc>
        <w:tc>
          <w:tcPr>
            <w:tcW w:w="4910" w:type="dxa"/>
          </w:tcPr>
          <w:p w14:paraId="097A0BE2" w14:textId="779E9A06" w:rsidR="00992E42" w:rsidRDefault="00992E42" w:rsidP="00992E42">
            <w:pPr>
              <w:spacing w:before="120" w:after="120"/>
              <w:jc w:val="both"/>
              <w:rPr>
                <w:szCs w:val="20"/>
              </w:rPr>
            </w:pPr>
            <w:bookmarkStart w:id="1" w:name="_Hlk10107157"/>
            <w:r>
              <w:rPr>
                <w:szCs w:val="20"/>
              </w:rPr>
              <w:t>Level: N/A</w:t>
            </w:r>
          </w:p>
          <w:p w14:paraId="67F5E4DF" w14:textId="4314A13A" w:rsidR="00992E42" w:rsidRPr="001E4642" w:rsidRDefault="00992E42" w:rsidP="00992E42">
            <w:pPr>
              <w:spacing w:before="120" w:after="120"/>
              <w:jc w:val="both"/>
              <w:rPr>
                <w:szCs w:val="20"/>
              </w:rPr>
            </w:pPr>
            <w:r w:rsidRPr="00220852">
              <w:rPr>
                <w:szCs w:val="20"/>
              </w:rPr>
              <w:t xml:space="preserve">With the current trend towards more automation and computer control, this strength should be considered when replacing human operators with autonomous </w:t>
            </w:r>
            <w:bookmarkEnd w:id="1"/>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2"/>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3370" w:type="dxa"/>
          </w:tcPr>
          <w:p w14:paraId="5F5A237D" w14:textId="77777777" w:rsidR="00992E42" w:rsidRDefault="00992E42" w:rsidP="00992E42">
            <w:pPr>
              <w:spacing w:before="120" w:after="120"/>
            </w:pPr>
          </w:p>
        </w:tc>
        <w:tc>
          <w:tcPr>
            <w:tcW w:w="1795" w:type="dxa"/>
          </w:tcPr>
          <w:p w14:paraId="20106281" w14:textId="77777777" w:rsidR="00992E42" w:rsidRDefault="00992E42" w:rsidP="00992E42">
            <w:pPr>
              <w:spacing w:before="120" w:after="120"/>
            </w:pPr>
          </w:p>
        </w:tc>
      </w:tr>
      <w:tr w:rsidR="00992E42" w14:paraId="7C1377B1" w14:textId="77777777" w:rsidTr="00941ED2">
        <w:tc>
          <w:tcPr>
            <w:tcW w:w="805" w:type="dxa"/>
          </w:tcPr>
          <w:p w14:paraId="40F2B0C5" w14:textId="77777777" w:rsidR="00992E42" w:rsidRDefault="00992E42" w:rsidP="00992E42">
            <w:pPr>
              <w:pStyle w:val="ListParagraph"/>
              <w:numPr>
                <w:ilvl w:val="0"/>
                <w:numId w:val="16"/>
              </w:numPr>
              <w:spacing w:before="120" w:after="120"/>
            </w:pPr>
          </w:p>
        </w:tc>
        <w:tc>
          <w:tcPr>
            <w:tcW w:w="2070" w:type="dxa"/>
          </w:tcPr>
          <w:p w14:paraId="3F7C9C76" w14:textId="1E1FBFFA" w:rsidR="00992E42" w:rsidRDefault="00992E42" w:rsidP="00941ED2">
            <w:pPr>
              <w:spacing w:before="120" w:after="120"/>
            </w:pPr>
            <w:r>
              <w:t>Business Operations Practices and Standards Report Section 6.1.5 – Separation of Business and Control Computer Networks (Page 12 – 13)</w:t>
            </w:r>
          </w:p>
          <w:p w14:paraId="1F167B66" w14:textId="77777777" w:rsidR="00992E42" w:rsidRDefault="00992E42" w:rsidP="00941ED2">
            <w:pPr>
              <w:spacing w:before="120" w:after="120"/>
            </w:pPr>
          </w:p>
        </w:tc>
        <w:tc>
          <w:tcPr>
            <w:tcW w:w="4910" w:type="dxa"/>
          </w:tcPr>
          <w:p w14:paraId="65A7FA40" w14:textId="58AEAF1D" w:rsidR="00992E42" w:rsidRDefault="00992E42" w:rsidP="00992E42">
            <w:pPr>
              <w:spacing w:before="120" w:after="120"/>
              <w:jc w:val="both"/>
              <w:rPr>
                <w:szCs w:val="20"/>
              </w:rPr>
            </w:pPr>
            <w:r>
              <w:rPr>
                <w:szCs w:val="20"/>
              </w:rPr>
              <w:t>Level: N/A</w:t>
            </w:r>
          </w:p>
          <w:p w14:paraId="6A55AF49" w14:textId="1A87C547" w:rsidR="00992E42" w:rsidRPr="00C26C0B" w:rsidRDefault="00992E42" w:rsidP="00992E42">
            <w:pPr>
              <w:spacing w:before="120" w:after="120"/>
              <w:jc w:val="both"/>
              <w:rPr>
                <w:szCs w:val="20"/>
              </w:rPr>
            </w:pPr>
            <w:r w:rsidRPr="00C26C0B">
              <w:rPr>
                <w:szCs w:val="20"/>
              </w:rPr>
              <w:t xml:space="preserve">Some commonly  suggested security solutions are to isolate the SCADA and PCN systems from the Internet and corporate enterprise network (EN) through the use of firewalls, which can be complex devices to design and deploy correctly,  data diode separation which allows network data to flow in one direction  allowing for monitoring of control systems but not allowing control signals to traverse from the business side network to the control network, virtual private network implementation which restricts access to designated portions of the network, internet protocol security (IP sec) which is a protocol implementation designed to require encryption between two devices and requires a shared public key. </w:t>
            </w:r>
          </w:p>
          <w:p w14:paraId="743266CC" w14:textId="77777777" w:rsidR="00992E42" w:rsidRPr="00C26C0B" w:rsidRDefault="00992E42" w:rsidP="00992E42">
            <w:pPr>
              <w:spacing w:before="120" w:after="120"/>
              <w:jc w:val="both"/>
              <w:rPr>
                <w:szCs w:val="20"/>
              </w:rPr>
            </w:pPr>
            <w:r w:rsidRPr="00C26C0B">
              <w:rPr>
                <w:szCs w:val="20"/>
              </w:rPr>
              <w:t xml:space="preserve">This Centre for the Protection of National Infrastructure (CPNI) Good Practice document addresses the need for guidance in creating such firewalls. There are a significant number of different solutions used by the industry and the security effectiveness of these can vary widely. In general, architectures that allow the establishment of a Demilitarized Zone (DMZ) between the enterprise network and SCADA/PCN network will provide the most effective security solution. Realize this part of defense-in-depth strategy. Here is more complete treatment </w:t>
            </w:r>
            <w:r w:rsidRPr="00C26C0B">
              <w:rPr>
                <w:rStyle w:val="FootnoteReference"/>
              </w:rPr>
              <w:footnoteReference w:id="3"/>
            </w:r>
          </w:p>
          <w:p w14:paraId="597CDDAF" w14:textId="2AFE3659" w:rsidR="00992E42" w:rsidRPr="00FC11D6" w:rsidRDefault="00992E42" w:rsidP="00992E42">
            <w:pPr>
              <w:spacing w:before="120" w:after="120"/>
              <w:jc w:val="both"/>
              <w:rPr>
                <w:szCs w:val="20"/>
              </w:rPr>
            </w:pPr>
            <w:r w:rsidRPr="00C26C0B">
              <w:rPr>
                <w:szCs w:val="20"/>
              </w:rPr>
              <w:t xml:space="preserve">Recommended Practice: Improving Industrial Control System Cybersecurity with Defense-in-Depth Strategies, Industrial Control Systems Cyber Emergency Response Team, September 2016. </w:t>
            </w:r>
          </w:p>
        </w:tc>
        <w:tc>
          <w:tcPr>
            <w:tcW w:w="3370" w:type="dxa"/>
          </w:tcPr>
          <w:p w14:paraId="26515E10" w14:textId="77777777" w:rsidR="00992E42" w:rsidRDefault="00992E42" w:rsidP="00992E42">
            <w:pPr>
              <w:spacing w:before="120" w:after="120"/>
            </w:pPr>
          </w:p>
        </w:tc>
        <w:tc>
          <w:tcPr>
            <w:tcW w:w="1795" w:type="dxa"/>
          </w:tcPr>
          <w:p w14:paraId="1A925D56" w14:textId="77777777" w:rsidR="00992E42" w:rsidRDefault="00992E42" w:rsidP="00992E42">
            <w:pPr>
              <w:spacing w:before="120" w:after="120"/>
            </w:pPr>
          </w:p>
        </w:tc>
      </w:tr>
      <w:tr w:rsidR="00992E42" w14:paraId="4FCBD6C9" w14:textId="77777777" w:rsidTr="00941ED2">
        <w:tc>
          <w:tcPr>
            <w:tcW w:w="805" w:type="dxa"/>
          </w:tcPr>
          <w:p w14:paraId="3E423883" w14:textId="77777777" w:rsidR="00992E42" w:rsidRDefault="00992E42" w:rsidP="00992E42">
            <w:pPr>
              <w:pStyle w:val="ListParagraph"/>
              <w:numPr>
                <w:ilvl w:val="0"/>
                <w:numId w:val="16"/>
              </w:numPr>
              <w:spacing w:before="120" w:after="120"/>
            </w:pPr>
          </w:p>
        </w:tc>
        <w:tc>
          <w:tcPr>
            <w:tcW w:w="2070" w:type="dxa"/>
          </w:tcPr>
          <w:p w14:paraId="475C2455" w14:textId="61A9B043" w:rsidR="00992E42" w:rsidRDefault="00992E42" w:rsidP="00941ED2">
            <w:pPr>
              <w:spacing w:before="120" w:after="120"/>
            </w:pPr>
            <w:r>
              <w:t>Business Operations Practices and Standards Report – Section 6.1.6 Continued Use of Different Security Paradigms (Pages 13 – 15)</w:t>
            </w:r>
          </w:p>
          <w:p w14:paraId="6722B8C9" w14:textId="77777777" w:rsidR="00992E42" w:rsidRDefault="00992E42" w:rsidP="00941ED2">
            <w:pPr>
              <w:spacing w:before="120" w:after="120"/>
            </w:pPr>
          </w:p>
        </w:tc>
        <w:tc>
          <w:tcPr>
            <w:tcW w:w="4910" w:type="dxa"/>
          </w:tcPr>
          <w:p w14:paraId="20223AF5" w14:textId="2E09F819" w:rsidR="00992E42" w:rsidRDefault="00992E42" w:rsidP="00992E42">
            <w:pPr>
              <w:spacing w:before="120" w:after="120"/>
              <w:jc w:val="both"/>
              <w:rPr>
                <w:szCs w:val="20"/>
              </w:rPr>
            </w:pPr>
            <w:r>
              <w:rPr>
                <w:szCs w:val="20"/>
              </w:rPr>
              <w:t>Level: N/A</w:t>
            </w:r>
          </w:p>
          <w:p w14:paraId="0100B855" w14:textId="45DBE663" w:rsidR="00992E42" w:rsidRPr="00FC11D6" w:rsidRDefault="00992E42" w:rsidP="00992E42">
            <w:pPr>
              <w:spacing w:before="120" w:after="120"/>
              <w:jc w:val="both"/>
              <w:rPr>
                <w:szCs w:val="20"/>
              </w:rPr>
            </w:pPr>
            <w:r w:rsidRPr="00E13BE2">
              <w:rPr>
                <w:szCs w:val="20"/>
              </w:rPr>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3370" w:type="dxa"/>
          </w:tcPr>
          <w:p w14:paraId="13AC54B9" w14:textId="77777777" w:rsidR="00992E42" w:rsidRDefault="00992E42" w:rsidP="00992E42">
            <w:pPr>
              <w:spacing w:before="120" w:after="120"/>
            </w:pPr>
          </w:p>
        </w:tc>
        <w:tc>
          <w:tcPr>
            <w:tcW w:w="1795" w:type="dxa"/>
          </w:tcPr>
          <w:p w14:paraId="553AE764" w14:textId="77777777" w:rsidR="00992E42" w:rsidRDefault="00992E42" w:rsidP="00992E42">
            <w:pPr>
              <w:spacing w:before="120" w:after="120"/>
            </w:pPr>
          </w:p>
        </w:tc>
      </w:tr>
      <w:tr w:rsidR="00992E42" w14:paraId="66FDB20C" w14:textId="77777777" w:rsidTr="00941ED2">
        <w:tc>
          <w:tcPr>
            <w:tcW w:w="805" w:type="dxa"/>
          </w:tcPr>
          <w:p w14:paraId="57ACBBAC" w14:textId="77777777" w:rsidR="00992E42" w:rsidRDefault="00992E42" w:rsidP="00992E42">
            <w:pPr>
              <w:pStyle w:val="ListParagraph"/>
              <w:numPr>
                <w:ilvl w:val="0"/>
                <w:numId w:val="16"/>
              </w:numPr>
              <w:spacing w:before="120" w:after="120"/>
            </w:pPr>
          </w:p>
        </w:tc>
        <w:tc>
          <w:tcPr>
            <w:tcW w:w="2070" w:type="dxa"/>
          </w:tcPr>
          <w:p w14:paraId="6D4666D9" w14:textId="65465049" w:rsidR="00992E42" w:rsidRDefault="00992E42" w:rsidP="00941ED2">
            <w:pPr>
              <w:spacing w:before="120" w:after="120"/>
            </w:pPr>
            <w:r>
              <w:t>Business Operations Practices and Standards Report – Section 6.1.6 Continued Use of Different Security Paradigms (Pages 13 – 15)</w:t>
            </w:r>
          </w:p>
          <w:p w14:paraId="41019F15" w14:textId="77777777" w:rsidR="00992E42" w:rsidRDefault="00992E42" w:rsidP="00941ED2">
            <w:pPr>
              <w:spacing w:before="120" w:after="120"/>
            </w:pPr>
          </w:p>
        </w:tc>
        <w:tc>
          <w:tcPr>
            <w:tcW w:w="4910" w:type="dxa"/>
          </w:tcPr>
          <w:p w14:paraId="1C8638FA" w14:textId="10B73983" w:rsidR="00992E42" w:rsidRDefault="00992E42" w:rsidP="00992E42">
            <w:pPr>
              <w:spacing w:before="120" w:after="120"/>
              <w:jc w:val="both"/>
              <w:rPr>
                <w:szCs w:val="20"/>
              </w:rPr>
            </w:pPr>
            <w:r>
              <w:rPr>
                <w:szCs w:val="20"/>
              </w:rPr>
              <w:t>Level: N/A</w:t>
            </w:r>
          </w:p>
          <w:p w14:paraId="54E05AAE" w14:textId="5582F88E" w:rsidR="00992E42" w:rsidRDefault="00992E42" w:rsidP="00992E42">
            <w:pPr>
              <w:spacing w:before="120" w:after="120"/>
              <w:jc w:val="both"/>
            </w:pPr>
            <w:r w:rsidRPr="006A5AD7">
              <w:rPr>
                <w:szCs w:val="20"/>
              </w:rPr>
              <w:t>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800-52 disallows SSL implementation for both government and business – facing applications and as such, the assessment team recommends disallowing support for SSL version protocols and implement TLS version 1.2 as described.</w:t>
            </w:r>
          </w:p>
        </w:tc>
        <w:tc>
          <w:tcPr>
            <w:tcW w:w="3370" w:type="dxa"/>
          </w:tcPr>
          <w:p w14:paraId="3E03B9CD" w14:textId="77777777" w:rsidR="00992E42" w:rsidRDefault="00992E42" w:rsidP="00992E42">
            <w:pPr>
              <w:spacing w:before="120" w:after="120"/>
            </w:pPr>
          </w:p>
        </w:tc>
        <w:tc>
          <w:tcPr>
            <w:tcW w:w="1795" w:type="dxa"/>
          </w:tcPr>
          <w:p w14:paraId="2FFBB93A" w14:textId="77777777" w:rsidR="00992E42" w:rsidRDefault="00992E42" w:rsidP="00992E42">
            <w:pPr>
              <w:spacing w:before="120" w:after="120"/>
            </w:pPr>
          </w:p>
        </w:tc>
      </w:tr>
      <w:tr w:rsidR="00992E42" w14:paraId="64D1D4C6" w14:textId="77777777" w:rsidTr="00941ED2">
        <w:tc>
          <w:tcPr>
            <w:tcW w:w="805" w:type="dxa"/>
          </w:tcPr>
          <w:p w14:paraId="1707C3E3" w14:textId="77777777" w:rsidR="00992E42" w:rsidRDefault="00992E42" w:rsidP="00992E42">
            <w:pPr>
              <w:pStyle w:val="ListParagraph"/>
              <w:numPr>
                <w:ilvl w:val="0"/>
                <w:numId w:val="16"/>
              </w:numPr>
              <w:spacing w:before="120" w:after="120"/>
            </w:pPr>
          </w:p>
        </w:tc>
        <w:tc>
          <w:tcPr>
            <w:tcW w:w="2070" w:type="dxa"/>
          </w:tcPr>
          <w:p w14:paraId="2CBC329A" w14:textId="78213966" w:rsidR="00992E42" w:rsidRDefault="00992E42" w:rsidP="00941ED2">
            <w:pPr>
              <w:spacing w:before="120" w:after="120"/>
            </w:pPr>
            <w:r>
              <w:t xml:space="preserve">Business Operations Practices and Standards Report – Section 6.1.6 Continued Use of </w:t>
            </w:r>
            <w:r>
              <w:lastRenderedPageBreak/>
              <w:t>Different Security Paradigms (Pages 13 – 15)</w:t>
            </w:r>
          </w:p>
          <w:p w14:paraId="2D406977" w14:textId="77777777" w:rsidR="00992E42" w:rsidRDefault="00992E42" w:rsidP="00941ED2">
            <w:pPr>
              <w:spacing w:before="120" w:after="120"/>
            </w:pPr>
          </w:p>
        </w:tc>
        <w:tc>
          <w:tcPr>
            <w:tcW w:w="4910" w:type="dxa"/>
          </w:tcPr>
          <w:p w14:paraId="0524D555" w14:textId="6421B4EB" w:rsidR="00992E42" w:rsidRDefault="00992E42" w:rsidP="00992E42">
            <w:pPr>
              <w:spacing w:before="120" w:after="120"/>
              <w:jc w:val="both"/>
              <w:rPr>
                <w:szCs w:val="20"/>
              </w:rPr>
            </w:pPr>
            <w:r>
              <w:rPr>
                <w:szCs w:val="20"/>
              </w:rPr>
              <w:lastRenderedPageBreak/>
              <w:t>Level: N/A</w:t>
            </w:r>
          </w:p>
          <w:p w14:paraId="7D0B4993" w14:textId="2DA3EF6C" w:rsidR="00992E42" w:rsidRPr="0004736A" w:rsidRDefault="00992E42" w:rsidP="00992E42">
            <w:pPr>
              <w:spacing w:before="120" w:after="120"/>
              <w:jc w:val="both"/>
              <w:rPr>
                <w:szCs w:val="20"/>
              </w:rPr>
            </w:pPr>
            <w:r w:rsidRPr="006A5AD7">
              <w:rPr>
                <w:szCs w:val="20"/>
              </w:rPr>
              <w:lastRenderedPageBreak/>
              <w:t>An HTTPS</w:t>
            </w:r>
            <w:r w:rsidRPr="006A5AD7">
              <w:rPr>
                <w:rStyle w:val="FootnoteReference"/>
              </w:rPr>
              <w:footnoteReference w:id="4"/>
            </w:r>
            <w:r w:rsidRPr="006A5AD7">
              <w:rPr>
                <w:szCs w:val="20"/>
              </w:rPr>
              <w:t xml:space="preserve"> solution will protect information in transit, supporting overall privacy needs. Using basic authentication over HTTP is inherently insecure as username/password combinations are not encrypted in HTTP basic authentication</w:t>
            </w:r>
            <w:r w:rsidRPr="006A5AD7">
              <w:rPr>
                <w:rStyle w:val="FootnoteReference"/>
              </w:rPr>
              <w:footnoteReference w:id="5"/>
            </w:r>
            <w:r w:rsidRPr="006A5AD7">
              <w:rPr>
                <w:szCs w:val="20"/>
              </w:rPr>
              <w:t>.</w:t>
            </w:r>
            <w:r>
              <w:rPr>
                <w:szCs w:val="20"/>
              </w:rPr>
              <w:t xml:space="preserve"> </w:t>
            </w:r>
            <w:r w:rsidRPr="006A5AD7">
              <w:rPr>
                <w:szCs w:val="20"/>
              </w:rPr>
              <w:t>If the communication channel is secured via HTTPS, then those credentials are secured as well.</w:t>
            </w:r>
            <w:r>
              <w:rPr>
                <w:szCs w:val="20"/>
              </w:rPr>
              <w:t xml:space="preserve"> </w:t>
            </w:r>
            <w:r w:rsidRPr="006A5AD7">
              <w:rPr>
                <w:szCs w:val="20"/>
              </w:rPr>
              <w:t>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IdenTrust, Comodo, GoDaddy, GlobalSign, and DigiCert; other valid certificate authorities exist as well.</w:t>
            </w:r>
          </w:p>
        </w:tc>
        <w:tc>
          <w:tcPr>
            <w:tcW w:w="3370" w:type="dxa"/>
          </w:tcPr>
          <w:p w14:paraId="35128BC8" w14:textId="77777777" w:rsidR="00992E42" w:rsidRDefault="00992E42" w:rsidP="00992E42">
            <w:pPr>
              <w:spacing w:before="120" w:after="120"/>
            </w:pPr>
          </w:p>
        </w:tc>
        <w:tc>
          <w:tcPr>
            <w:tcW w:w="1795" w:type="dxa"/>
          </w:tcPr>
          <w:p w14:paraId="23894968" w14:textId="77777777" w:rsidR="00992E42" w:rsidRDefault="00992E42" w:rsidP="00992E42">
            <w:pPr>
              <w:spacing w:before="120" w:after="120"/>
            </w:pPr>
          </w:p>
        </w:tc>
      </w:tr>
      <w:tr w:rsidR="00992E42" w14:paraId="2F6C426F" w14:textId="77777777" w:rsidTr="00941ED2">
        <w:tc>
          <w:tcPr>
            <w:tcW w:w="805" w:type="dxa"/>
          </w:tcPr>
          <w:p w14:paraId="36E6EAC9" w14:textId="77777777" w:rsidR="00992E42" w:rsidRDefault="00992E42" w:rsidP="00992E42">
            <w:pPr>
              <w:pStyle w:val="ListParagraph"/>
              <w:numPr>
                <w:ilvl w:val="0"/>
                <w:numId w:val="16"/>
              </w:numPr>
              <w:spacing w:before="120" w:after="120"/>
            </w:pPr>
          </w:p>
        </w:tc>
        <w:tc>
          <w:tcPr>
            <w:tcW w:w="2070" w:type="dxa"/>
          </w:tcPr>
          <w:p w14:paraId="6B9C3395" w14:textId="17434436" w:rsidR="00992E42" w:rsidRDefault="00992E42" w:rsidP="00941ED2">
            <w:pPr>
              <w:spacing w:before="120" w:after="120"/>
            </w:pPr>
            <w:r>
              <w:t>Business Operations Practices and Standards Report – Section 6.1.6 Continued Use of Different Security Paradigms (Pages 13 – 15)</w:t>
            </w:r>
          </w:p>
          <w:p w14:paraId="6E38545D" w14:textId="77777777" w:rsidR="00992E42" w:rsidRDefault="00992E42" w:rsidP="00941ED2">
            <w:pPr>
              <w:spacing w:before="120" w:after="120"/>
            </w:pPr>
          </w:p>
        </w:tc>
        <w:tc>
          <w:tcPr>
            <w:tcW w:w="4910" w:type="dxa"/>
          </w:tcPr>
          <w:p w14:paraId="30FE0ACE" w14:textId="5110D73A" w:rsidR="00992E42" w:rsidRDefault="00992E42" w:rsidP="00992E42">
            <w:pPr>
              <w:spacing w:before="120" w:after="120"/>
              <w:jc w:val="both"/>
              <w:rPr>
                <w:szCs w:val="20"/>
              </w:rPr>
            </w:pPr>
            <w:r>
              <w:rPr>
                <w:szCs w:val="20"/>
              </w:rPr>
              <w:t>Level: N/A</w:t>
            </w:r>
          </w:p>
          <w:p w14:paraId="1F2C8CF7" w14:textId="0A9C8098" w:rsidR="00992E42" w:rsidRDefault="00992E42" w:rsidP="00992E42">
            <w:pPr>
              <w:spacing w:before="120" w:after="120"/>
              <w:jc w:val="both"/>
            </w:pPr>
            <w:r w:rsidRPr="00A63874">
              <w:rPr>
                <w:szCs w:val="20"/>
              </w:rPr>
              <w:t>Key lengths must be updated to reflect current acceptable encryption strength</w:t>
            </w:r>
            <w:r w:rsidRPr="00A63874">
              <w:rPr>
                <w:rStyle w:val="FootnoteReference"/>
              </w:rPr>
              <w:footnoteReference w:id="6"/>
            </w:r>
            <w:r w:rsidRPr="00A63874">
              <w:rPr>
                <w:szCs w:val="20"/>
              </w:rPr>
              <w:t xml:space="preserve">.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w:t>
            </w:r>
            <w:r w:rsidRPr="00A63874">
              <w:rPr>
                <w:szCs w:val="20"/>
              </w:rPr>
              <w:lastRenderedPageBreak/>
              <w:t>earlier versions did not support SHA-2 or SHA-3 family hashing algorithms or fully support AES</w:t>
            </w:r>
            <w:r w:rsidRPr="00A63874">
              <w:rPr>
                <w:rStyle w:val="FootnoteReference"/>
              </w:rPr>
              <w:footnoteReference w:id="7"/>
            </w:r>
            <w:r w:rsidRPr="00A63874">
              <w:rPr>
                <w:szCs w:val="20"/>
              </w:rPr>
              <w:t>.</w:t>
            </w:r>
          </w:p>
        </w:tc>
        <w:tc>
          <w:tcPr>
            <w:tcW w:w="3370" w:type="dxa"/>
          </w:tcPr>
          <w:p w14:paraId="0B28A3B2" w14:textId="77777777" w:rsidR="00992E42" w:rsidRDefault="00992E42" w:rsidP="00992E42">
            <w:pPr>
              <w:spacing w:before="120" w:after="120"/>
            </w:pPr>
          </w:p>
        </w:tc>
        <w:tc>
          <w:tcPr>
            <w:tcW w:w="1795" w:type="dxa"/>
          </w:tcPr>
          <w:p w14:paraId="311C8D7A" w14:textId="77777777" w:rsidR="00992E42" w:rsidRDefault="00992E42" w:rsidP="00992E42">
            <w:pPr>
              <w:spacing w:before="120" w:after="120"/>
            </w:pPr>
          </w:p>
        </w:tc>
      </w:tr>
      <w:tr w:rsidR="00992E42" w14:paraId="368E50A1" w14:textId="77777777" w:rsidTr="00941ED2">
        <w:tc>
          <w:tcPr>
            <w:tcW w:w="805" w:type="dxa"/>
          </w:tcPr>
          <w:p w14:paraId="0467D598" w14:textId="77777777" w:rsidR="00992E42" w:rsidRDefault="00992E42" w:rsidP="00992E42">
            <w:pPr>
              <w:pStyle w:val="ListParagraph"/>
              <w:numPr>
                <w:ilvl w:val="0"/>
                <w:numId w:val="16"/>
              </w:numPr>
              <w:spacing w:before="120" w:after="120"/>
            </w:pPr>
          </w:p>
        </w:tc>
        <w:tc>
          <w:tcPr>
            <w:tcW w:w="2070" w:type="dxa"/>
          </w:tcPr>
          <w:p w14:paraId="212AFC10" w14:textId="5F76DC30" w:rsidR="00992E42" w:rsidRDefault="00992E42" w:rsidP="00941ED2">
            <w:pPr>
              <w:spacing w:before="120" w:after="120"/>
            </w:pPr>
            <w:r>
              <w:t>Business Operations Practices and Standards Report – Section 6.1.6 Continued Use of Different Security Paradigms (Pages 13 – 15)</w:t>
            </w:r>
          </w:p>
          <w:p w14:paraId="4031FCF8" w14:textId="77777777" w:rsidR="00992E42" w:rsidRDefault="00992E42" w:rsidP="00941ED2">
            <w:pPr>
              <w:spacing w:before="120" w:after="120"/>
            </w:pPr>
          </w:p>
        </w:tc>
        <w:tc>
          <w:tcPr>
            <w:tcW w:w="4910" w:type="dxa"/>
          </w:tcPr>
          <w:p w14:paraId="08CE81ED" w14:textId="20B17ACB" w:rsidR="00992E42" w:rsidRDefault="00992E42" w:rsidP="00992E42">
            <w:pPr>
              <w:spacing w:before="120" w:after="120"/>
              <w:jc w:val="both"/>
              <w:rPr>
                <w:szCs w:val="20"/>
              </w:rPr>
            </w:pPr>
            <w:r>
              <w:rPr>
                <w:szCs w:val="20"/>
              </w:rPr>
              <w:t>Level: N/A</w:t>
            </w:r>
          </w:p>
          <w:p w14:paraId="004ED443" w14:textId="4E2F54A1" w:rsidR="00992E42" w:rsidRDefault="00992E42" w:rsidP="00992E42">
            <w:pPr>
              <w:spacing w:before="120" w:after="120"/>
              <w:jc w:val="both"/>
              <w:rPr>
                <w:szCs w:val="20"/>
              </w:rPr>
            </w:pPr>
            <w:r w:rsidRPr="00A63874">
              <w:rPr>
                <w:szCs w:val="20"/>
              </w:rPr>
              <w:t>Finally, IET business process as currently implemented may be vulnerable to both replay</w:t>
            </w:r>
            <w:r w:rsidRPr="00A63874">
              <w:rPr>
                <w:rStyle w:val="FootnoteReference"/>
              </w:rPr>
              <w:footnoteReference w:id="8"/>
            </w:r>
            <w:r w:rsidRPr="00A63874">
              <w:rPr>
                <w:szCs w:val="20"/>
              </w:rPr>
              <w:t xml:space="preserve"> and amplification</w:t>
            </w:r>
            <w:r w:rsidRPr="00A63874">
              <w:rPr>
                <w:rStyle w:val="FootnoteReference"/>
              </w:rPr>
              <w:footnoteReference w:id="9"/>
            </w:r>
            <w:r w:rsidRPr="00A63874">
              <w:rPr>
                <w:szCs w:val="20"/>
              </w:rPr>
              <w:t xml:space="preserve"> attacks. Based on the assessment teams review of the transactional process these two attacks were immediately identified as attacks of concern</w:t>
            </w:r>
            <w:r>
              <w:rPr>
                <w:szCs w:val="20"/>
              </w:rPr>
              <w:t>…</w:t>
            </w:r>
          </w:p>
          <w:p w14:paraId="5BF62044" w14:textId="45548ADB" w:rsidR="00992E42" w:rsidRPr="00B80A02" w:rsidRDefault="00992E42" w:rsidP="00992E42">
            <w:pPr>
              <w:spacing w:before="120" w:after="120"/>
              <w:jc w:val="both"/>
              <w:rPr>
                <w:szCs w:val="20"/>
              </w:rPr>
            </w:pPr>
            <w:r w:rsidRPr="00A63874">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3370" w:type="dxa"/>
          </w:tcPr>
          <w:p w14:paraId="0C40BB41" w14:textId="77777777" w:rsidR="00992E42" w:rsidRDefault="00992E42" w:rsidP="00992E42">
            <w:pPr>
              <w:spacing w:before="120" w:after="120"/>
            </w:pPr>
          </w:p>
        </w:tc>
        <w:tc>
          <w:tcPr>
            <w:tcW w:w="1795" w:type="dxa"/>
          </w:tcPr>
          <w:p w14:paraId="2A5C6B54" w14:textId="77777777" w:rsidR="00992E42" w:rsidRDefault="00992E42" w:rsidP="00992E42">
            <w:pPr>
              <w:spacing w:before="120" w:after="120"/>
            </w:pPr>
          </w:p>
        </w:tc>
      </w:tr>
    </w:tbl>
    <w:p w14:paraId="5B074578" w14:textId="77777777" w:rsidR="00F02102" w:rsidRDefault="00F02102" w:rsidP="00F02102">
      <w:pPr>
        <w:spacing w:before="120" w:after="120"/>
      </w:pPr>
    </w:p>
    <w:sectPr w:rsidR="00F02102" w:rsidSect="00F0210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562F7" w14:textId="77777777" w:rsidR="00CF72ED" w:rsidRDefault="00CF72ED" w:rsidP="00733F0F">
      <w:r>
        <w:separator/>
      </w:r>
    </w:p>
  </w:endnote>
  <w:endnote w:type="continuationSeparator" w:id="0">
    <w:p w14:paraId="614D60F7" w14:textId="77777777" w:rsidR="00CF72ED" w:rsidRDefault="00CF72ED"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F10C" w14:textId="77777777" w:rsidR="00CF72ED" w:rsidRDefault="00CF72ED" w:rsidP="00733F0F">
      <w:r>
        <w:separator/>
      </w:r>
    </w:p>
  </w:footnote>
  <w:footnote w:type="continuationSeparator" w:id="0">
    <w:p w14:paraId="0D0D47CF" w14:textId="77777777" w:rsidR="00CF72ED" w:rsidRDefault="00CF72ED" w:rsidP="00733F0F">
      <w:r>
        <w:continuationSeparator/>
      </w:r>
    </w:p>
  </w:footnote>
  <w:footnote w:id="1">
    <w:p w14:paraId="7870FF48" w14:textId="77777777" w:rsidR="00992E42" w:rsidRDefault="00992E42" w:rsidP="009C2782">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4B008BB0" w14:textId="77777777" w:rsidR="00992E42" w:rsidRDefault="00992E42" w:rsidP="001E4642">
      <w:pPr>
        <w:pStyle w:val="FootnoteText"/>
      </w:pPr>
      <w:r>
        <w:rPr>
          <w:rStyle w:val="FootnoteReference"/>
        </w:rPr>
        <w:footnoteRef/>
      </w:r>
      <w:r>
        <w:t xml:space="preserve"> NIST SP 800-94 Guide to Intrusion Detection and Prevention Systems (IDPS) </w:t>
      </w:r>
      <w:hyperlink r:id="rId2" w:history="1">
        <w:r w:rsidRPr="00E26520">
          <w:rPr>
            <w:rStyle w:val="Hyperlink"/>
          </w:rPr>
          <w:t>https://nvlpubs.nist.gov/nistpubs/Legacy/SP/nistspecialpublication800-94.pdf</w:t>
        </w:r>
      </w:hyperlink>
      <w:r>
        <w:t xml:space="preserve"> </w:t>
      </w:r>
    </w:p>
  </w:footnote>
  <w:footnote w:id="3">
    <w:p w14:paraId="7A98E454" w14:textId="72180930" w:rsidR="00992E42" w:rsidRPr="002934F5" w:rsidRDefault="00992E42" w:rsidP="00FA7359">
      <w:pPr>
        <w:pStyle w:val="FootnoteText"/>
        <w:rPr>
          <w:highlight w:val="yellow"/>
        </w:rPr>
      </w:pPr>
      <w:r w:rsidRPr="008404CA">
        <w:rPr>
          <w:rStyle w:val="FootnoteReference"/>
        </w:rPr>
        <w:footnoteRef/>
      </w:r>
      <w:r w:rsidRPr="008404CA">
        <w:t xml:space="preserve"> (</w:t>
      </w:r>
      <w:hyperlink r:id="rId3" w:history="1">
        <w:r w:rsidRPr="00547753">
          <w:rPr>
            <w:rStyle w:val="Hyperlink"/>
          </w:rPr>
          <w:t>https://ics-cert.us-cert.gov/sites/default/files/recommended_practices/NCCIC_ICS-CERT_Defense_in_Depth_2016_S508C.pdf</w:t>
        </w:r>
      </w:hyperlink>
      <w:r>
        <w:t>)</w:t>
      </w:r>
    </w:p>
  </w:footnote>
  <w:footnote w:id="4">
    <w:p w14:paraId="0BB17A94" w14:textId="77777777" w:rsidR="00992E42" w:rsidRPr="00630A71" w:rsidRDefault="00992E42" w:rsidP="00630A71">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Securing the Web</w:t>
      </w:r>
      <w:r w:rsidRPr="00630A71">
        <w:rPr>
          <w:rFonts w:ascii="Times New Roman" w:eastAsia="Arial Unicode MS" w:hAnsi="Times New Roman" w:cs="Times New Roman"/>
          <w:sz w:val="20"/>
          <w:szCs w:val="20"/>
        </w:rPr>
        <w:t xml:space="preserve">, retrieved on June 10, 2019, from </w:t>
      </w:r>
      <w:hyperlink r:id="rId4" w:history="1">
        <w:r w:rsidRPr="00630A71">
          <w:rPr>
            <w:rStyle w:val="Hyperlink"/>
            <w:rFonts w:ascii="Times New Roman" w:eastAsia="Arial Unicode MS" w:hAnsi="Times New Roman" w:cs="Times New Roman"/>
            <w:sz w:val="20"/>
            <w:szCs w:val="20"/>
          </w:rPr>
          <w:t>https://www.w3.org/2001/tag/doc/web-https</w:t>
        </w:r>
      </w:hyperlink>
      <w:r w:rsidRPr="00630A71">
        <w:rPr>
          <w:rFonts w:ascii="Times New Roman" w:eastAsia="Arial Unicode MS" w:hAnsi="Times New Roman" w:cs="Times New Roman"/>
          <w:sz w:val="20"/>
          <w:szCs w:val="20"/>
        </w:rPr>
        <w:t xml:space="preserve"> </w:t>
      </w:r>
    </w:p>
  </w:footnote>
  <w:footnote w:id="5">
    <w:p w14:paraId="32B83DE2" w14:textId="77777777" w:rsidR="00992E42" w:rsidRPr="00630A71" w:rsidRDefault="00992E42" w:rsidP="00630A71">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RFC 2617: </w:t>
      </w:r>
      <w:r w:rsidRPr="00630A71">
        <w:rPr>
          <w:rFonts w:ascii="Times New Roman" w:eastAsia="Arial Unicode MS" w:hAnsi="Times New Roman" w:cs="Times New Roman"/>
          <w:i/>
          <w:iCs/>
          <w:sz w:val="20"/>
          <w:szCs w:val="20"/>
        </w:rPr>
        <w:t>HTTP Authentication: Basic and Digest Access Authentication</w:t>
      </w:r>
      <w:r w:rsidRPr="00630A71">
        <w:rPr>
          <w:rFonts w:ascii="Times New Roman" w:eastAsia="Arial Unicode MS" w:hAnsi="Times New Roman" w:cs="Times New Roman"/>
          <w:sz w:val="20"/>
          <w:szCs w:val="20"/>
        </w:rPr>
        <w:t xml:space="preserve">, retrieved on June 10, 2019, from </w:t>
      </w:r>
      <w:hyperlink r:id="rId5" w:history="1">
        <w:r w:rsidRPr="00630A71">
          <w:rPr>
            <w:rStyle w:val="Hyperlink"/>
            <w:rFonts w:ascii="Times New Roman" w:eastAsia="Arial Unicode MS" w:hAnsi="Times New Roman" w:cs="Times New Roman"/>
            <w:sz w:val="20"/>
            <w:szCs w:val="20"/>
          </w:rPr>
          <w:t>https://tools.ietf.org/html/rfc2617</w:t>
        </w:r>
      </w:hyperlink>
      <w:r w:rsidRPr="00630A71">
        <w:rPr>
          <w:rFonts w:ascii="Times New Roman" w:eastAsia="Arial Unicode MS" w:hAnsi="Times New Roman" w:cs="Times New Roman"/>
          <w:sz w:val="20"/>
          <w:szCs w:val="20"/>
        </w:rPr>
        <w:t xml:space="preserve"> </w:t>
      </w:r>
    </w:p>
  </w:footnote>
  <w:footnote w:id="6">
    <w:p w14:paraId="505F64BC" w14:textId="77777777" w:rsidR="00992E42" w:rsidRPr="00A63874" w:rsidRDefault="00992E42" w:rsidP="00630A71">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7">
    <w:p w14:paraId="76A86F6A" w14:textId="77777777" w:rsidR="00992E42" w:rsidRPr="00630A71" w:rsidRDefault="00992E42" w:rsidP="00630A71">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8">
    <w:p w14:paraId="3E21E486" w14:textId="77777777" w:rsidR="00992E42" w:rsidRPr="00630A71" w:rsidRDefault="00992E42" w:rsidP="00630A71">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https://docs.microsoft.com/en-us/dotnet/framework/wcf/feature-details/replay-attacks</w:t>
        </w:r>
      </w:hyperlink>
      <w:r w:rsidRPr="00630A71">
        <w:rPr>
          <w:rFonts w:ascii="Times New Roman" w:eastAsia="Arial Unicode MS" w:hAnsi="Times New Roman" w:cs="Times New Roman"/>
          <w:sz w:val="20"/>
          <w:szCs w:val="20"/>
        </w:rPr>
        <w:t xml:space="preserve"> </w:t>
      </w:r>
    </w:p>
  </w:footnote>
  <w:footnote w:id="9">
    <w:p w14:paraId="3548C8AA" w14:textId="77777777" w:rsidR="00992E42" w:rsidRDefault="00992E42" w:rsidP="00630A71">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7"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CA4B" w14:textId="77777777" w:rsidR="00847D64" w:rsidRPr="00D65256" w:rsidRDefault="00847D64" w:rsidP="00847D64">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CA0B963" wp14:editId="6CF4F15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9FAE" w14:textId="77777777" w:rsidR="00847D64" w:rsidRDefault="00847D64" w:rsidP="00847D64"/>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0B963"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BA49FAE" w14:textId="77777777" w:rsidR="00847D64" w:rsidRDefault="00847D64" w:rsidP="00847D6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9246381" w14:textId="77777777" w:rsidR="00847D64" w:rsidRPr="00D65256" w:rsidRDefault="00847D64" w:rsidP="00847D64">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340A37E9" w14:textId="77777777" w:rsidR="00847D64" w:rsidRPr="00D65256" w:rsidRDefault="00847D64" w:rsidP="00847D64">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70FBCA4" w14:textId="77777777" w:rsidR="00847D64" w:rsidRPr="003019B2" w:rsidRDefault="00847D64" w:rsidP="00847D64">
    <w:pPr>
      <w:pStyle w:val="Header"/>
      <w:ind w:left="1800"/>
      <w:jc w:val="right"/>
      <w:rPr>
        <w:lang w:val="fr-FR"/>
      </w:rPr>
    </w:pPr>
    <w:r w:rsidRPr="003019B2">
      <w:rPr>
        <w:lang w:val="fr-FR"/>
      </w:rPr>
      <w:t>Phone:  (713) 356-0060, Fax:  (713) 356-0067, E-mail: naesb@naesb.org</w:t>
    </w:r>
  </w:p>
  <w:p w14:paraId="01C48EA3" w14:textId="77777777" w:rsidR="00847D64" w:rsidRDefault="00847D64" w:rsidP="00847D64">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11212D0" w14:textId="77777777" w:rsidR="00847D64" w:rsidRDefault="00847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4"/>
  </w:num>
  <w:num w:numId="13">
    <w:abstractNumId w:val="2"/>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4736A"/>
    <w:rsid w:val="000D0A1D"/>
    <w:rsid w:val="00102919"/>
    <w:rsid w:val="001728EA"/>
    <w:rsid w:val="001C479B"/>
    <w:rsid w:val="001E4642"/>
    <w:rsid w:val="00240CF8"/>
    <w:rsid w:val="003E0F72"/>
    <w:rsid w:val="004433FF"/>
    <w:rsid w:val="004C06EB"/>
    <w:rsid w:val="005B095A"/>
    <w:rsid w:val="005C2957"/>
    <w:rsid w:val="00630A71"/>
    <w:rsid w:val="006B3EB0"/>
    <w:rsid w:val="006E0A3A"/>
    <w:rsid w:val="00733414"/>
    <w:rsid w:val="00733F0F"/>
    <w:rsid w:val="0074414D"/>
    <w:rsid w:val="00821594"/>
    <w:rsid w:val="00833699"/>
    <w:rsid w:val="00847D64"/>
    <w:rsid w:val="00873A6C"/>
    <w:rsid w:val="008B1493"/>
    <w:rsid w:val="00941ED2"/>
    <w:rsid w:val="00992E42"/>
    <w:rsid w:val="009B7337"/>
    <w:rsid w:val="009C2782"/>
    <w:rsid w:val="009F5B97"/>
    <w:rsid w:val="00A956BA"/>
    <w:rsid w:val="00B80A02"/>
    <w:rsid w:val="00BE39DA"/>
    <w:rsid w:val="00CA2831"/>
    <w:rsid w:val="00CC1689"/>
    <w:rsid w:val="00CF39B4"/>
    <w:rsid w:val="00CF72ED"/>
    <w:rsid w:val="00D25F77"/>
    <w:rsid w:val="00D475D0"/>
    <w:rsid w:val="00D5263B"/>
    <w:rsid w:val="00DC3277"/>
    <w:rsid w:val="00DF393E"/>
    <w:rsid w:val="00E05EA6"/>
    <w:rsid w:val="00E6146E"/>
    <w:rsid w:val="00E91C95"/>
    <w:rsid w:val="00ED23F5"/>
    <w:rsid w:val="00EE7915"/>
    <w:rsid w:val="00F02102"/>
    <w:rsid w:val="00F60060"/>
    <w:rsid w:val="00F85576"/>
    <w:rsid w:val="00FA1848"/>
    <w:rsid w:val="00FA7359"/>
    <w:rsid w:val="00FC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chartTrackingRefBased/>
  <w15:docId w15:val="{E2E15437-62EE-43A5-AAA5-A49077D4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cs-cert.us-cert.gov/sites/default/files/recommended_practices/NCCIC_ICS-CERT_Defense_in_Depth_2016_S508C.pdf" TargetMode="External"/><Relationship Id="rId7" Type="http://schemas.openxmlformats.org/officeDocument/2006/relationships/hyperlink" Target="https://www.us-cert.gov/ncas/alerts/TA13-088A" TargetMode="External"/><Relationship Id="rId2" Type="http://schemas.openxmlformats.org/officeDocument/2006/relationships/hyperlink" Target="https://nvlpubs.nist.gov/nistpubs/Legacy/SP/nistspecialpublication800-94.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docs.microsoft.com/en-us/dotnet/framework/wcf/feature-details/replay-attacks" TargetMode="External"/><Relationship Id="rId5" Type="http://schemas.openxmlformats.org/officeDocument/2006/relationships/hyperlink" Target="https://tools.ietf.org/html/rfc2617" TargetMode="External"/><Relationship Id="rId4" Type="http://schemas.openxmlformats.org/officeDocument/2006/relationships/hyperlink" Target="https://www.w3.org/2001/tag/doc/web-http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B74FA-F3C7-43F1-8398-F2B1267A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5</cp:revision>
  <dcterms:created xsi:type="dcterms:W3CDTF">2019-08-01T16:34:00Z</dcterms:created>
  <dcterms:modified xsi:type="dcterms:W3CDTF">2019-08-01T19:10:00Z</dcterms:modified>
</cp:coreProperties>
</file>