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B823D" w14:textId="77777777" w:rsidR="001D4022" w:rsidRPr="001D4022" w:rsidRDefault="001D4022" w:rsidP="001D4022">
      <w:pPr>
        <w:tabs>
          <w:tab w:val="left" w:pos="900"/>
        </w:tabs>
        <w:spacing w:after="120"/>
        <w:ind w:left="907" w:hanging="907"/>
        <w:rPr>
          <w:rFonts w:ascii="Times New Roman" w:hAnsi="Times New Roman" w:cs="Times New Roman"/>
          <w:sz w:val="20"/>
          <w:szCs w:val="20"/>
        </w:rPr>
      </w:pPr>
      <w:r w:rsidRPr="001D4022">
        <w:rPr>
          <w:rFonts w:ascii="Times New Roman" w:hAnsi="Times New Roman" w:cs="Times New Roman"/>
          <w:b/>
          <w:sz w:val="20"/>
          <w:szCs w:val="20"/>
        </w:rPr>
        <w:t>TO:</w:t>
      </w:r>
      <w:r w:rsidRPr="001D4022">
        <w:rPr>
          <w:rFonts w:ascii="Times New Roman" w:hAnsi="Times New Roman" w:cs="Times New Roman"/>
          <w:sz w:val="20"/>
          <w:szCs w:val="20"/>
        </w:rPr>
        <w:tab/>
        <w:t>All Interested Parties</w:t>
      </w:r>
    </w:p>
    <w:p w14:paraId="36005645" w14:textId="77777777" w:rsidR="001D4022" w:rsidRPr="001D4022" w:rsidRDefault="001D4022" w:rsidP="001D4022">
      <w:pPr>
        <w:tabs>
          <w:tab w:val="left" w:pos="900"/>
        </w:tabs>
        <w:ind w:left="907" w:hanging="907"/>
        <w:jc w:val="both"/>
        <w:rPr>
          <w:rFonts w:ascii="Times New Roman" w:hAnsi="Times New Roman" w:cs="Times New Roman"/>
          <w:bCs/>
          <w:sz w:val="20"/>
          <w:szCs w:val="20"/>
        </w:rPr>
      </w:pPr>
      <w:r w:rsidRPr="001D4022">
        <w:rPr>
          <w:rFonts w:ascii="Times New Roman" w:hAnsi="Times New Roman" w:cs="Times New Roman"/>
          <w:b/>
          <w:bCs/>
          <w:sz w:val="20"/>
          <w:szCs w:val="20"/>
        </w:rPr>
        <w:t>FROM:</w:t>
      </w:r>
      <w:r w:rsidRPr="001D4022">
        <w:rPr>
          <w:rFonts w:ascii="Times New Roman" w:hAnsi="Times New Roman" w:cs="Times New Roman"/>
          <w:b/>
          <w:bCs/>
          <w:sz w:val="20"/>
          <w:szCs w:val="20"/>
        </w:rPr>
        <w:tab/>
      </w:r>
      <w:r w:rsidRPr="001D4022">
        <w:rPr>
          <w:rFonts w:ascii="Times New Roman" w:hAnsi="Times New Roman" w:cs="Times New Roman"/>
          <w:b/>
          <w:bCs/>
          <w:sz w:val="20"/>
          <w:szCs w:val="20"/>
        </w:rPr>
        <w:tab/>
      </w:r>
      <w:r w:rsidRPr="001D4022">
        <w:rPr>
          <w:rFonts w:ascii="Times New Roman" w:hAnsi="Times New Roman" w:cs="Times New Roman"/>
          <w:bCs/>
          <w:sz w:val="20"/>
          <w:szCs w:val="20"/>
        </w:rPr>
        <w:t>Caroline Trum, NAESB Deputy Director</w:t>
      </w:r>
    </w:p>
    <w:p w14:paraId="45FA7580" w14:textId="2BFA641D" w:rsidR="001D4022" w:rsidRPr="001D4022" w:rsidRDefault="001D4022" w:rsidP="001D4022">
      <w:pPr>
        <w:pBdr>
          <w:bottom w:val="single" w:sz="12" w:space="6" w:color="auto"/>
        </w:pBdr>
        <w:tabs>
          <w:tab w:val="left" w:pos="900"/>
        </w:tabs>
        <w:spacing w:before="120"/>
        <w:ind w:left="900" w:hanging="900"/>
        <w:jc w:val="both"/>
        <w:rPr>
          <w:rFonts w:ascii="Times New Roman" w:hAnsi="Times New Roman" w:cs="Times New Roman"/>
          <w:bCs/>
          <w:sz w:val="20"/>
          <w:szCs w:val="20"/>
        </w:rPr>
      </w:pPr>
      <w:r w:rsidRPr="001D4022">
        <w:rPr>
          <w:rFonts w:ascii="Times New Roman" w:hAnsi="Times New Roman" w:cs="Times New Roman"/>
          <w:b/>
          <w:bCs/>
          <w:sz w:val="20"/>
          <w:szCs w:val="20"/>
        </w:rPr>
        <w:t>RE:</w:t>
      </w:r>
      <w:r w:rsidRPr="001D4022">
        <w:rPr>
          <w:rFonts w:ascii="Times New Roman" w:hAnsi="Times New Roman" w:cs="Times New Roman"/>
          <w:b/>
          <w:bCs/>
          <w:sz w:val="20"/>
          <w:szCs w:val="20"/>
        </w:rPr>
        <w:tab/>
        <w:t xml:space="preserve">Proposed Surety Assessment Standard Development Activities and Assignments Work Paper – </w:t>
      </w:r>
      <w:r>
        <w:rPr>
          <w:rFonts w:ascii="Times New Roman" w:hAnsi="Times New Roman" w:cs="Times New Roman"/>
          <w:b/>
          <w:bCs/>
          <w:sz w:val="20"/>
          <w:szCs w:val="20"/>
        </w:rPr>
        <w:t>Addendum Report</w:t>
      </w:r>
    </w:p>
    <w:p w14:paraId="4360CEAA" w14:textId="61966FC6" w:rsidR="001D4022" w:rsidRPr="001D4022" w:rsidRDefault="001D4022" w:rsidP="001D4022">
      <w:pPr>
        <w:spacing w:before="120" w:after="120"/>
        <w:jc w:val="center"/>
        <w:rPr>
          <w:rFonts w:ascii="Times New Roman" w:hAnsi="Times New Roman" w:cs="Times New Roman"/>
          <w:sz w:val="24"/>
          <w:szCs w:val="24"/>
          <w:u w:val="single"/>
        </w:rPr>
      </w:pPr>
      <w:r w:rsidRPr="00515387">
        <w:rPr>
          <w:rFonts w:ascii="Times New Roman" w:hAnsi="Times New Roman" w:cs="Times New Roman"/>
          <w:sz w:val="24"/>
          <w:szCs w:val="24"/>
          <w:u w:val="single"/>
        </w:rPr>
        <w:t>Proposed Surety Assessment Standard Development Activities and Assignments – Addendum Report</w:t>
      </w:r>
    </w:p>
    <w:p w14:paraId="5AA34F68" w14:textId="24FE1B0F" w:rsidR="001D4022" w:rsidRPr="001D4022" w:rsidRDefault="001D4022" w:rsidP="001D4022">
      <w:pPr>
        <w:spacing w:before="120" w:after="120"/>
        <w:rPr>
          <w:rFonts w:ascii="Times New Roman" w:hAnsi="Times New Roman" w:cs="Times New Roman"/>
          <w:sz w:val="20"/>
          <w:szCs w:val="20"/>
        </w:rPr>
      </w:pPr>
      <w:r w:rsidRPr="001D4022">
        <w:rPr>
          <w:rFonts w:ascii="Times New Roman" w:hAnsi="Times New Roman" w:cs="Times New Roman"/>
          <w:sz w:val="20"/>
          <w:szCs w:val="20"/>
        </w:rPr>
        <w:t xml:space="preserve">On July 22, 2019, Sandia National Laboratories provided NAESB with the final reports on the surety assessment: (1)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  In anticipation of these reports being delivered, NAESB included on its 2019 Annual Plans a review of the final reports and the development and/or modifications of NAESB Business Practice Standards as needed to address recommendations from Sandia National Laboratories.  </w:t>
      </w:r>
    </w:p>
    <w:p w14:paraId="584EC911" w14:textId="235EEBE7" w:rsidR="00E91CA6" w:rsidRPr="00E91CA6" w:rsidRDefault="001D4022" w:rsidP="00E91CA6">
      <w:pPr>
        <w:spacing w:before="120" w:after="120"/>
        <w:rPr>
          <w:rFonts w:ascii="Times New Roman" w:hAnsi="Times New Roman" w:cs="Times New Roman"/>
          <w:sz w:val="20"/>
          <w:szCs w:val="20"/>
        </w:rPr>
      </w:pPr>
      <w:r w:rsidRPr="001D4022">
        <w:rPr>
          <w:rFonts w:ascii="Times New Roman" w:hAnsi="Times New Roman" w:cs="Times New Roman"/>
          <w:sz w:val="20"/>
          <w:szCs w:val="20"/>
        </w:rP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The table </w:t>
      </w:r>
      <w:r w:rsidR="001C09F9">
        <w:rPr>
          <w:rFonts w:ascii="Times New Roman" w:hAnsi="Times New Roman" w:cs="Times New Roman"/>
          <w:sz w:val="20"/>
          <w:szCs w:val="20"/>
        </w:rPr>
        <w:t xml:space="preserve">below </w:t>
      </w:r>
      <w:r w:rsidRPr="001D4022">
        <w:rPr>
          <w:rFonts w:ascii="Times New Roman" w:hAnsi="Times New Roman" w:cs="Times New Roman"/>
          <w:sz w:val="20"/>
          <w:szCs w:val="20"/>
        </w:rPr>
        <w:t xml:space="preserve">identifies the explicit findings and other recommendations in the </w:t>
      </w:r>
      <w:r w:rsidRPr="00E91CA6">
        <w:rPr>
          <w:rFonts w:ascii="Times New Roman" w:hAnsi="Times New Roman" w:cs="Times New Roman"/>
          <w:sz w:val="20"/>
          <w:szCs w:val="20"/>
        </w:rPr>
        <w:t>Addendum Report: Threat-based Examination of NAESB Standards and Business Operations</w:t>
      </w:r>
      <w:r w:rsidR="001C09F9">
        <w:rPr>
          <w:rFonts w:ascii="Times New Roman" w:hAnsi="Times New Roman" w:cs="Times New Roman"/>
          <w:sz w:val="20"/>
          <w:szCs w:val="20"/>
        </w:rPr>
        <w:t xml:space="preserve"> and the </w:t>
      </w:r>
      <w:bookmarkStart w:id="0" w:name="_GoBack"/>
      <w:bookmarkEnd w:id="0"/>
      <w:r w:rsidRPr="001D4022">
        <w:rPr>
          <w:rFonts w:ascii="Times New Roman" w:hAnsi="Times New Roman" w:cs="Times New Roman"/>
          <w:sz w:val="20"/>
          <w:szCs w:val="20"/>
        </w:rPr>
        <w:t>corresponding standard development activities to address the recommendations from Sandia National Laboratories.</w:t>
      </w:r>
    </w:p>
    <w:tbl>
      <w:tblPr>
        <w:tblStyle w:val="TableGrid"/>
        <w:tblW w:w="0" w:type="auto"/>
        <w:tblLook w:val="04A0" w:firstRow="1" w:lastRow="0" w:firstColumn="1" w:lastColumn="0" w:noHBand="0" w:noVBand="1"/>
      </w:tblPr>
      <w:tblGrid>
        <w:gridCol w:w="715"/>
        <w:gridCol w:w="2160"/>
        <w:gridCol w:w="4410"/>
        <w:gridCol w:w="3240"/>
        <w:gridCol w:w="2425"/>
      </w:tblGrid>
      <w:tr w:rsidR="00DB4735" w:rsidRPr="00DB4735" w14:paraId="67C03E33" w14:textId="77777777" w:rsidTr="0096551C">
        <w:trPr>
          <w:tblHeader/>
        </w:trPr>
        <w:tc>
          <w:tcPr>
            <w:tcW w:w="715" w:type="dxa"/>
          </w:tcPr>
          <w:p w14:paraId="5B65DEC1" w14:textId="4786C407"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Issue</w:t>
            </w:r>
          </w:p>
        </w:tc>
        <w:tc>
          <w:tcPr>
            <w:tcW w:w="2160" w:type="dxa"/>
          </w:tcPr>
          <w:p w14:paraId="6E1F8175" w14:textId="181B1F2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Report Section (Page Number)</w:t>
            </w:r>
          </w:p>
        </w:tc>
        <w:tc>
          <w:tcPr>
            <w:tcW w:w="4410" w:type="dxa"/>
          </w:tcPr>
          <w:p w14:paraId="49B65333" w14:textId="6387EAFF"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Sandia Finding/Recommendation</w:t>
            </w:r>
          </w:p>
        </w:tc>
        <w:tc>
          <w:tcPr>
            <w:tcW w:w="3240" w:type="dxa"/>
          </w:tcPr>
          <w:p w14:paraId="72A2A25E" w14:textId="704F16D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Recommended Standards Development Activity</w:t>
            </w:r>
          </w:p>
        </w:tc>
        <w:tc>
          <w:tcPr>
            <w:tcW w:w="2425" w:type="dxa"/>
          </w:tcPr>
          <w:p w14:paraId="643BDDFE" w14:textId="252B5C7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b/>
                <w:sz w:val="20"/>
                <w:szCs w:val="20"/>
              </w:rPr>
              <w:t>Recommended Assignment</w:t>
            </w:r>
          </w:p>
        </w:tc>
      </w:tr>
      <w:tr w:rsidR="00DB4735" w:rsidRPr="00DB4735" w14:paraId="492FACF0" w14:textId="77777777" w:rsidTr="0096551C">
        <w:tc>
          <w:tcPr>
            <w:tcW w:w="715" w:type="dxa"/>
          </w:tcPr>
          <w:p w14:paraId="551F1E11" w14:textId="66CEE817"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w:t>
            </w:r>
          </w:p>
        </w:tc>
        <w:tc>
          <w:tcPr>
            <w:tcW w:w="2160" w:type="dxa"/>
          </w:tcPr>
          <w:p w14:paraId="25D14F77" w14:textId="2AAAB3D1"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71C11D42"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better understand the impact this kind of outage has on business operations and operating costs, the team has identified several metrics that could be used to help quantify the impact of these kinds of events:</w:t>
            </w:r>
          </w:p>
          <w:p w14:paraId="188C5FFF" w14:textId="77777777" w:rsidR="00DB4735" w:rsidRPr="00DB4735" w:rsidRDefault="00DB4735" w:rsidP="001E556C">
            <w:pPr>
              <w:pStyle w:val="ListParagraph"/>
              <w:numPr>
                <w:ilvl w:val="0"/>
                <w:numId w:val="1"/>
              </w:numPr>
              <w:spacing w:before="120" w:after="120"/>
              <w:jc w:val="both"/>
              <w:rPr>
                <w:szCs w:val="20"/>
              </w:rPr>
            </w:pPr>
            <w:r w:rsidRPr="00DB4735">
              <w:rPr>
                <w:szCs w:val="20"/>
              </w:rPr>
              <w:t>Measure the number of daily transactions during normal operations and the number of daily transactions when using COOP procedures.</w:t>
            </w:r>
          </w:p>
          <w:p w14:paraId="5C4B6638" w14:textId="77777777" w:rsidR="00DB4735" w:rsidRPr="00DB4735" w:rsidRDefault="00DB4735" w:rsidP="001E556C">
            <w:pPr>
              <w:pStyle w:val="ListParagraph"/>
              <w:numPr>
                <w:ilvl w:val="0"/>
                <w:numId w:val="1"/>
              </w:numPr>
              <w:spacing w:before="120" w:after="120"/>
              <w:jc w:val="both"/>
              <w:rPr>
                <w:szCs w:val="20"/>
              </w:rPr>
            </w:pPr>
            <w:r w:rsidRPr="00DB4735">
              <w:rPr>
                <w:szCs w:val="20"/>
              </w:rPr>
              <w:t xml:space="preserve">Measure the number of hours worked by staff during normal operations and during COOP procedures. This should also include any time spent on recovering local systems </w:t>
            </w:r>
            <w:r w:rsidRPr="00DB4735">
              <w:rPr>
                <w:szCs w:val="20"/>
              </w:rPr>
              <w:lastRenderedPageBreak/>
              <w:t>or testing to ensure functionality of remote systems has been restored.</w:t>
            </w:r>
          </w:p>
          <w:p w14:paraId="539D4F1B" w14:textId="77777777" w:rsidR="00DB4735" w:rsidRPr="00DB4735" w:rsidRDefault="00DB4735" w:rsidP="001E556C">
            <w:pPr>
              <w:pStyle w:val="ListParagraph"/>
              <w:numPr>
                <w:ilvl w:val="0"/>
                <w:numId w:val="1"/>
              </w:numPr>
              <w:spacing w:before="120" w:after="120"/>
              <w:jc w:val="both"/>
              <w:rPr>
                <w:szCs w:val="20"/>
              </w:rPr>
            </w:pPr>
            <w:r w:rsidRPr="00DB4735">
              <w:rPr>
                <w:szCs w:val="20"/>
              </w:rPr>
              <w:t>Measure any additional expenses incurred due to utilizing COOP procedures. For example, if food must be provided due to staff working additional hours; or expenses due to overtime wages.</w:t>
            </w:r>
          </w:p>
          <w:p w14:paraId="54F093B4" w14:textId="77777777" w:rsidR="00DB4735" w:rsidRPr="00DB4735" w:rsidRDefault="00DB4735" w:rsidP="001E556C">
            <w:pPr>
              <w:pStyle w:val="ListParagraph"/>
              <w:numPr>
                <w:ilvl w:val="0"/>
                <w:numId w:val="1"/>
              </w:numPr>
              <w:spacing w:before="120" w:after="120"/>
              <w:jc w:val="both"/>
              <w:rPr>
                <w:szCs w:val="20"/>
              </w:rPr>
            </w:pPr>
            <w:r w:rsidRPr="00DB4735">
              <w:rPr>
                <w:szCs w:val="20"/>
              </w:rPr>
              <w:t>Measure the number of errors made in transactions during normal operations, and the number of errors made when using COOP procedures.</w:t>
            </w:r>
          </w:p>
          <w:p w14:paraId="2C5F3283" w14:textId="77777777" w:rsidR="00DB4735" w:rsidRPr="00DB4735" w:rsidRDefault="00DB4735" w:rsidP="001E556C">
            <w:pPr>
              <w:pStyle w:val="ListParagraph"/>
              <w:numPr>
                <w:ilvl w:val="0"/>
                <w:numId w:val="1"/>
              </w:numPr>
              <w:spacing w:before="120" w:after="120"/>
              <w:jc w:val="both"/>
              <w:rPr>
                <w:szCs w:val="20"/>
              </w:rPr>
            </w:pPr>
            <w:r w:rsidRPr="00DB4735">
              <w:rPr>
                <w:szCs w:val="20"/>
              </w:rPr>
              <w:t>Measure the time the outage began, to the time full service is restored.</w:t>
            </w:r>
          </w:p>
          <w:p w14:paraId="5B21A86D" w14:textId="77777777" w:rsidR="00DB4735" w:rsidRPr="00DB4735" w:rsidRDefault="00DB4735" w:rsidP="001E556C">
            <w:pPr>
              <w:pStyle w:val="ListParagraph"/>
              <w:numPr>
                <w:ilvl w:val="0"/>
                <w:numId w:val="2"/>
              </w:numPr>
              <w:spacing w:before="120" w:after="120"/>
              <w:jc w:val="both"/>
              <w:rPr>
                <w:szCs w:val="20"/>
              </w:rPr>
            </w:pPr>
            <w:r w:rsidRPr="00DB4735">
              <w:rPr>
                <w:szCs w:val="20"/>
              </w:rPr>
              <w:t>Measure the time and expense to perform a forensic analysis of affected systems to determine the root cause of the attack or failure.</w:t>
            </w:r>
          </w:p>
          <w:p w14:paraId="35473976" w14:textId="77777777" w:rsidR="00DB4735" w:rsidRPr="00DB4735" w:rsidRDefault="00DB4735" w:rsidP="001E556C">
            <w:pPr>
              <w:pStyle w:val="ListParagraph"/>
              <w:numPr>
                <w:ilvl w:val="0"/>
                <w:numId w:val="2"/>
              </w:numPr>
              <w:spacing w:before="120" w:after="120"/>
              <w:jc w:val="both"/>
              <w:rPr>
                <w:szCs w:val="20"/>
              </w:rPr>
            </w:pPr>
            <w:r w:rsidRPr="00DB4735">
              <w:rPr>
                <w:szCs w:val="20"/>
              </w:rPr>
              <w:t>Count the number of organizations affected by the outage.</w:t>
            </w:r>
          </w:p>
          <w:p w14:paraId="69E2412C" w14:textId="087431DF"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Following a major outage, these metrics could be reported to NAESB to tabulate the total cost and impact of the event. This data could then be used in life-cycle decisions, vendor selection, analysis of continuity of operations/disaster recovery planning, and to determine if NAESB standards need to be upgraded or revised.</w:t>
            </w:r>
          </w:p>
        </w:tc>
        <w:tc>
          <w:tcPr>
            <w:tcW w:w="3240" w:type="dxa"/>
          </w:tcPr>
          <w:p w14:paraId="27EB36FD"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05A94102"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143D42C3" w14:textId="77777777" w:rsidTr="0096551C">
        <w:tc>
          <w:tcPr>
            <w:tcW w:w="715" w:type="dxa"/>
          </w:tcPr>
          <w:p w14:paraId="450A4A67" w14:textId="74F82B08"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2.</w:t>
            </w:r>
          </w:p>
        </w:tc>
        <w:tc>
          <w:tcPr>
            <w:tcW w:w="2160" w:type="dxa"/>
          </w:tcPr>
          <w:p w14:paraId="36D53BBE" w14:textId="6553887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50A6772C"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1D36B332"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The assessment team recommends that NAESB work through their existing relationships with TSA and NERC to develop more-detailed guidance on </w:t>
            </w:r>
            <w:r w:rsidRPr="00DB4735">
              <w:rPr>
                <w:rFonts w:ascii="Times New Roman" w:hAnsi="Times New Roman" w:cs="Times New Roman"/>
                <w:sz w:val="20"/>
                <w:szCs w:val="20"/>
              </w:rPr>
              <w:lastRenderedPageBreak/>
              <w:t xml:space="preserve">cyber security plans (including incident response procedures). An important recommendation is to ensure that NAESB members receive relevant cyber attack incident reporting.  In addition to NAESB partner organizations above there exists a large resource of </w:t>
            </w:r>
            <w:r w:rsidRPr="00DB4735">
              <w:rPr>
                <w:rFonts w:ascii="Times New Roman" w:hAnsi="Times New Roman" w:cs="Times New Roman"/>
                <w:color w:val="000000" w:themeColor="text1"/>
                <w:sz w:val="20"/>
                <w:szCs w:val="20"/>
              </w:rPr>
              <w:t xml:space="preserve">existing federal organizations with capability and responsibility to help in cyber security attacks against critical infrastructure. </w:t>
            </w:r>
            <w:r w:rsidRPr="00DB4735">
              <w:rPr>
                <w:rFonts w:ascii="Times New Roman" w:hAnsi="Times New Roman" w:cs="Times New Roman"/>
                <w:i/>
                <w:color w:val="000000" w:themeColor="text1"/>
                <w:sz w:val="20"/>
                <w:szCs w:val="20"/>
              </w:rPr>
              <w:t>Appendix C describes those organizations, their roles and responsibilities, capabilities and contact mechanisms</w:t>
            </w:r>
            <w:r w:rsidRPr="00DB4735">
              <w:rPr>
                <w:rFonts w:ascii="Times New Roman" w:hAnsi="Times New Roman" w:cs="Times New Roman"/>
                <w:color w:val="000000" w:themeColor="text1"/>
                <w:sz w:val="20"/>
                <w:szCs w:val="20"/>
              </w:rPr>
              <w:t>.</w:t>
            </w:r>
          </w:p>
          <w:p w14:paraId="2D61B833" w14:textId="56854155"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18E43DA5"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071D9080"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3F722C42" w14:textId="77777777" w:rsidTr="0096551C">
        <w:tc>
          <w:tcPr>
            <w:tcW w:w="715" w:type="dxa"/>
          </w:tcPr>
          <w:p w14:paraId="0D36F887" w14:textId="2D1C9CAA"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3.</w:t>
            </w:r>
          </w:p>
        </w:tc>
        <w:tc>
          <w:tcPr>
            <w:tcW w:w="2160" w:type="dxa"/>
          </w:tcPr>
          <w:p w14:paraId="10E903AD" w14:textId="62F8F85E"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2.3.1 – EDI Cyber Attack (Pages 21 – 23)</w:t>
            </w:r>
          </w:p>
        </w:tc>
        <w:tc>
          <w:tcPr>
            <w:tcW w:w="4410" w:type="dxa"/>
          </w:tcPr>
          <w:p w14:paraId="72882079"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6B52BDF6"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Another part of the TSA/NERC engagement, would be to consider initiating development of incident report templates relevant to their stakeholders. Such a template, although likely voluntary, would ensure reporting is more complete and the standardization could include examples to help socialize the needs and improve relationships…</w:t>
            </w:r>
          </w:p>
          <w:p w14:paraId="604E77E2"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These reports can take the shape of a wizard driven reporting mechanism that populates a database such </w:t>
            </w:r>
            <w:r w:rsidRPr="00DB4735">
              <w:rPr>
                <w:rFonts w:ascii="Times New Roman" w:hAnsi="Times New Roman" w:cs="Times New Roman"/>
                <w:sz w:val="20"/>
                <w:szCs w:val="20"/>
              </w:rPr>
              <w:lastRenderedPageBreak/>
              <w:t>as the US CERT</w:t>
            </w:r>
            <w:r w:rsidRPr="00DB4735">
              <w:rPr>
                <w:rStyle w:val="FootnoteReference"/>
                <w:rFonts w:ascii="Times New Roman" w:hAnsi="Times New Roman" w:cs="Times New Roman"/>
                <w:sz w:val="20"/>
                <w:szCs w:val="20"/>
              </w:rPr>
              <w:footnoteReference w:id="1"/>
            </w:r>
            <w:r w:rsidRPr="00DB4735">
              <w:rPr>
                <w:rFonts w:ascii="Times New Roman" w:hAnsi="Times New Roman" w:cs="Times New Roman"/>
                <w:sz w:val="20"/>
                <w:szCs w:val="20"/>
              </w:rPr>
              <w:t>, DHS</w:t>
            </w:r>
            <w:r w:rsidRPr="00DB4735">
              <w:rPr>
                <w:rStyle w:val="FootnoteReference"/>
                <w:rFonts w:ascii="Times New Roman" w:hAnsi="Times New Roman" w:cs="Times New Roman"/>
                <w:sz w:val="20"/>
                <w:szCs w:val="20"/>
              </w:rPr>
              <w:footnoteReference w:id="2"/>
            </w:r>
            <w:r w:rsidRPr="00DB4735">
              <w:rPr>
                <w:rFonts w:ascii="Times New Roman" w:hAnsi="Times New Roman" w:cs="Times New Roman"/>
                <w:sz w:val="20"/>
                <w:szCs w:val="20"/>
              </w:rPr>
              <w:t xml:space="preserve"> and DOE</w:t>
            </w:r>
            <w:r w:rsidRPr="00DB4735">
              <w:rPr>
                <w:rStyle w:val="FootnoteReference"/>
                <w:rFonts w:ascii="Times New Roman" w:hAnsi="Times New Roman" w:cs="Times New Roman"/>
                <w:sz w:val="20"/>
                <w:szCs w:val="20"/>
              </w:rPr>
              <w:footnoteReference w:id="3"/>
            </w:r>
            <w:r w:rsidRPr="00DB4735">
              <w:rPr>
                <w:rFonts w:ascii="Times New Roman" w:hAnsi="Times New Roman" w:cs="Times New Roman"/>
                <w:sz w:val="20"/>
                <w:szCs w:val="20"/>
              </w:rPr>
              <w:t xml:space="preserve"> incident report portals or develop your own document using guidance from NIST Computer Security Incident Handling Guide.</w:t>
            </w:r>
          </w:p>
          <w:p w14:paraId="563EB2E7" w14:textId="3D59FA22"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These recommendations are not intended to be used as a guide for compliance, or to replace current reporting that is required by the FERC or other federal or state regulatory agencies as this is outside the scope of the assessment.</w:t>
            </w:r>
          </w:p>
        </w:tc>
        <w:tc>
          <w:tcPr>
            <w:tcW w:w="3240" w:type="dxa"/>
          </w:tcPr>
          <w:p w14:paraId="3E622474"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561D5C7E"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1DC00028" w14:textId="77777777" w:rsidTr="0096551C">
        <w:tc>
          <w:tcPr>
            <w:tcW w:w="715" w:type="dxa"/>
          </w:tcPr>
          <w:p w14:paraId="1A18BBB1" w14:textId="13ABC8CC"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4.</w:t>
            </w:r>
          </w:p>
        </w:tc>
        <w:tc>
          <w:tcPr>
            <w:tcW w:w="2160" w:type="dxa"/>
          </w:tcPr>
          <w:p w14:paraId="41E5355D" w14:textId="5C10F360"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115597A6"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113D163E" w14:textId="1BA772C1"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rFonts w:ascii="Times New Roman" w:hAnsi="Times New Roman" w:cs="Times New Roman"/>
                <w:i/>
                <w:sz w:val="20"/>
                <w:szCs w:val="20"/>
              </w:rPr>
              <w:t>an individual basis</w:t>
            </w:r>
            <w:r w:rsidRPr="00DB4735">
              <w:rPr>
                <w:rFonts w:ascii="Times New Roman" w:hAnsi="Times New Roman" w:cs="Times New Roman"/>
                <w:sz w:val="20"/>
                <w:szCs w:val="20"/>
              </w:rPr>
              <w:t>. Simply authenticating the nodes involved is not acceptable.</w:t>
            </w:r>
          </w:p>
        </w:tc>
        <w:tc>
          <w:tcPr>
            <w:tcW w:w="3240" w:type="dxa"/>
          </w:tcPr>
          <w:p w14:paraId="6F8AF9C0"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419C218D"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1A333270" w14:textId="77777777" w:rsidTr="0096551C">
        <w:tc>
          <w:tcPr>
            <w:tcW w:w="715" w:type="dxa"/>
          </w:tcPr>
          <w:p w14:paraId="69D2C184" w14:textId="62A1652A"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5.</w:t>
            </w:r>
          </w:p>
        </w:tc>
        <w:tc>
          <w:tcPr>
            <w:tcW w:w="2160" w:type="dxa"/>
          </w:tcPr>
          <w:p w14:paraId="5556CDA1" w14:textId="2ACB41F6"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2.3.2 – Ukrainian Power Grid Attack (Pages 23 – 25)</w:t>
            </w:r>
          </w:p>
        </w:tc>
        <w:tc>
          <w:tcPr>
            <w:tcW w:w="4410" w:type="dxa"/>
          </w:tcPr>
          <w:p w14:paraId="52AE3E7A" w14:textId="77777777" w:rsidR="00DB4735" w:rsidRPr="00DB4735" w:rsidRDefault="00DB4735" w:rsidP="001E556C">
            <w:pPr>
              <w:spacing w:before="120" w:after="120" w:line="245" w:lineRule="auto"/>
              <w:jc w:val="both"/>
              <w:rPr>
                <w:rFonts w:ascii="Times New Roman" w:hAnsi="Times New Roman" w:cs="Times New Roman"/>
                <w:color w:val="000000"/>
                <w:sz w:val="20"/>
                <w:szCs w:val="20"/>
              </w:rPr>
            </w:pPr>
            <w:r w:rsidRPr="00DB4735">
              <w:rPr>
                <w:rFonts w:ascii="Times New Roman" w:hAnsi="Times New Roman" w:cs="Times New Roman"/>
                <w:color w:val="000000"/>
                <w:sz w:val="20"/>
                <w:szCs w:val="20"/>
              </w:rPr>
              <w:t>Level: N/A</w:t>
            </w:r>
          </w:p>
          <w:p w14:paraId="019FAC6F" w14:textId="77777777" w:rsidR="00DB4735" w:rsidRPr="00DB4735" w:rsidRDefault="00DB4735" w:rsidP="001E556C">
            <w:pPr>
              <w:spacing w:before="120" w:after="120" w:line="244" w:lineRule="auto"/>
              <w:jc w:val="both"/>
              <w:rPr>
                <w:rFonts w:ascii="Times New Roman" w:hAnsi="Times New Roman" w:cs="Times New Roman"/>
                <w:color w:val="000000"/>
                <w:sz w:val="20"/>
                <w:szCs w:val="20"/>
              </w:rPr>
            </w:pPr>
            <w:r w:rsidRPr="00DB4735">
              <w:rPr>
                <w:rFonts w:ascii="Times New Roman" w:hAnsi="Times New Roman" w:cs="Times New Roman"/>
                <w:color w:val="000000"/>
                <w:sz w:val="20"/>
                <w:szCs w:val="20"/>
              </w:rPr>
              <w:t>A relatively static communications environment, such as the NAESB-responsible systems, should definitely be considered for whitelisting. However, how whitelisting is implemented will be a hardware-</w:t>
            </w:r>
            <w:r w:rsidRPr="00DB4735">
              <w:rPr>
                <w:rFonts w:ascii="Times New Roman" w:hAnsi="Times New Roman" w:cs="Times New Roman"/>
                <w:color w:val="000000"/>
                <w:sz w:val="20"/>
                <w:szCs w:val="20"/>
              </w:rPr>
              <w:lastRenderedPageBreak/>
              <w:t>specific implementation and thus outside NAESB standards scope. In consideration of the whitelisting ROI are several factors:</w:t>
            </w:r>
          </w:p>
          <w:p w14:paraId="65A6D731" w14:textId="77777777" w:rsidR="00DB4735" w:rsidRPr="00DB4735" w:rsidRDefault="00DB4735" w:rsidP="001E556C">
            <w:pPr>
              <w:pStyle w:val="ListParagraph"/>
              <w:numPr>
                <w:ilvl w:val="0"/>
                <w:numId w:val="3"/>
              </w:numPr>
              <w:spacing w:before="120" w:after="120" w:line="245" w:lineRule="auto"/>
              <w:ind w:left="720"/>
              <w:jc w:val="both"/>
              <w:rPr>
                <w:szCs w:val="20"/>
              </w:rPr>
            </w:pPr>
            <w:r w:rsidRPr="00DB4735">
              <w:rPr>
                <w:szCs w:val="20"/>
              </w:rPr>
              <w:t xml:space="preserve">Some related information must be made publicly available and this must not be blocked by the whitelisting implementation. </w:t>
            </w:r>
          </w:p>
          <w:p w14:paraId="4C9A6DD5" w14:textId="77777777" w:rsidR="00DB4735" w:rsidRPr="00DB4735" w:rsidRDefault="00DB4735" w:rsidP="001E556C">
            <w:pPr>
              <w:pStyle w:val="ListParagraph"/>
              <w:numPr>
                <w:ilvl w:val="0"/>
                <w:numId w:val="3"/>
              </w:numPr>
              <w:spacing w:before="120" w:after="120" w:line="245" w:lineRule="auto"/>
              <w:ind w:left="720"/>
              <w:jc w:val="both"/>
              <w:rPr>
                <w:szCs w:val="20"/>
              </w:rPr>
            </w:pPr>
            <w:r w:rsidRPr="00DB4735">
              <w:rPr>
                <w:szCs w:val="20"/>
              </w:rPr>
              <w:t>Since NAESB standards do not specify the environment there could be negative impacts to non-EDI applications which are hosted on the same servers.</w:t>
            </w:r>
          </w:p>
          <w:p w14:paraId="7E1B69CF" w14:textId="5B74736C"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The whitelisting decision must consider the support environment. The point being that if a legitimate transaction is blocked by the whitelisting, how quickly could the error be corrected given coverage and capability of the support team?</w:t>
            </w:r>
          </w:p>
        </w:tc>
        <w:tc>
          <w:tcPr>
            <w:tcW w:w="3240" w:type="dxa"/>
          </w:tcPr>
          <w:p w14:paraId="7CB71F9C"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184495CA"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31B58165" w14:textId="77777777" w:rsidTr="0096551C">
        <w:tc>
          <w:tcPr>
            <w:tcW w:w="715" w:type="dxa"/>
          </w:tcPr>
          <w:p w14:paraId="3922B42D" w14:textId="3BBB0F88"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6.</w:t>
            </w:r>
          </w:p>
        </w:tc>
        <w:tc>
          <w:tcPr>
            <w:tcW w:w="2160" w:type="dxa"/>
          </w:tcPr>
          <w:p w14:paraId="0366F2C0" w14:textId="021802D8"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3.1 – Trends in Operation (Pages 26 – 27)</w:t>
            </w:r>
          </w:p>
        </w:tc>
        <w:tc>
          <w:tcPr>
            <w:tcW w:w="4410" w:type="dxa"/>
          </w:tcPr>
          <w:p w14:paraId="6E31DAB4"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1F7B5F68" w14:textId="09A01B1D"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As technology is integrated into the control systems, it is important to ensure that abnormal events can be detected and that abnormal conditions do not prevent operations from being conducted or, after an outage, from being restored.  To ensure that problems can be detected, the assessment team recommends that existing metering be used to verify information being provided by the control systems and, in the event that the computer system and the metering system disagree, that response personnel can be deployed to investigate in a timely manner. However, to ensure that response personnel are able to manually restore </w:t>
            </w:r>
            <w:r w:rsidRPr="00DB4735">
              <w:rPr>
                <w:rFonts w:ascii="Times New Roman" w:hAnsi="Times New Roman" w:cs="Times New Roman"/>
                <w:sz w:val="20"/>
                <w:szCs w:val="20"/>
              </w:rPr>
              <w:lastRenderedPageBreak/>
              <w:t xml:space="preserve">proper functioning, the assessment team notes it is imperative that the responders </w:t>
            </w:r>
            <w:bookmarkStart w:id="1" w:name="_Hlk12958123"/>
            <w:r w:rsidRPr="00DB4735">
              <w:rPr>
                <w:rFonts w:ascii="Times New Roman" w:hAnsi="Times New Roman" w:cs="Times New Roman"/>
                <w:sz w:val="20"/>
                <w:szCs w:val="20"/>
              </w:rPr>
              <w:t>have a method to disconnect the equipment from the control network and conduct manual operations until normal operations can be restored</w:t>
            </w:r>
            <w:bookmarkEnd w:id="1"/>
            <w:r w:rsidRPr="00DB4735">
              <w:rPr>
                <w:rFonts w:ascii="Times New Roman" w:hAnsi="Times New Roman" w:cs="Times New Roman"/>
                <w:sz w:val="20"/>
                <w:szCs w:val="20"/>
              </w:rPr>
              <w:t>.</w:t>
            </w:r>
          </w:p>
        </w:tc>
        <w:tc>
          <w:tcPr>
            <w:tcW w:w="3240" w:type="dxa"/>
          </w:tcPr>
          <w:p w14:paraId="5B07E056"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58362EFD"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447C7BC0" w14:textId="77777777" w:rsidTr="0096551C">
        <w:tc>
          <w:tcPr>
            <w:tcW w:w="715" w:type="dxa"/>
          </w:tcPr>
          <w:p w14:paraId="1B31BF3C" w14:textId="13C010E0"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7.</w:t>
            </w:r>
          </w:p>
        </w:tc>
        <w:tc>
          <w:tcPr>
            <w:tcW w:w="2160" w:type="dxa"/>
          </w:tcPr>
          <w:p w14:paraId="5E821578" w14:textId="7AD2CEBB"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3.2 – Government and Industry Standards (Page 27)</w:t>
            </w:r>
          </w:p>
        </w:tc>
        <w:tc>
          <w:tcPr>
            <w:tcW w:w="4410" w:type="dxa"/>
          </w:tcPr>
          <w:p w14:paraId="34B48143"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0BCFBAD0"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To address the security of the various emerging technologies such as those listed above, the assessment team recommends that organizations utilize the government and industry standards that are relevant to the technologies deployed. For example, NIST provides a number of whitepapers and standards related to cloud computing. These standards can be found at the NIST Cloud Computing Related Publications page and include special publications from the 500 and 800 series, and a variety of NIST cloud computing research papers.</w:t>
            </w:r>
            <w:r w:rsidRPr="00DB4735">
              <w:rPr>
                <w:rStyle w:val="FootnoteReference"/>
                <w:rFonts w:ascii="Times New Roman" w:hAnsi="Times New Roman" w:cs="Times New Roman"/>
                <w:sz w:val="20"/>
                <w:szCs w:val="20"/>
              </w:rPr>
              <w:footnoteReference w:id="4"/>
            </w:r>
            <w:r w:rsidRPr="00DB4735">
              <w:rPr>
                <w:rFonts w:ascii="Times New Roman" w:hAnsi="Times New Roman" w:cs="Times New Roman"/>
                <w:sz w:val="20"/>
                <w:szCs w:val="20"/>
              </w:rPr>
              <w:t xml:space="preserve"> Some of the documents referenced on this page are:</w:t>
            </w:r>
          </w:p>
          <w:p w14:paraId="3B3E7E60" w14:textId="77777777" w:rsidR="00DB4735" w:rsidRPr="00DB4735" w:rsidRDefault="00DB4735" w:rsidP="001E556C">
            <w:pPr>
              <w:pStyle w:val="ListParagraph"/>
              <w:numPr>
                <w:ilvl w:val="0"/>
                <w:numId w:val="4"/>
              </w:numPr>
              <w:spacing w:before="120" w:after="120" w:line="276" w:lineRule="auto"/>
              <w:ind w:left="965"/>
              <w:jc w:val="both"/>
              <w:rPr>
                <w:szCs w:val="20"/>
              </w:rPr>
            </w:pPr>
            <w:r w:rsidRPr="00DB4735">
              <w:rPr>
                <w:szCs w:val="20"/>
              </w:rPr>
              <w:t>NIST SP 500-299: NIST Cloud Computing Security Reference Architecture (Draft)</w:t>
            </w:r>
          </w:p>
          <w:p w14:paraId="67830748" w14:textId="77777777" w:rsidR="00DB4735" w:rsidRPr="00DB4735" w:rsidRDefault="00DB4735" w:rsidP="001E556C">
            <w:pPr>
              <w:pStyle w:val="ListParagraph"/>
              <w:numPr>
                <w:ilvl w:val="0"/>
                <w:numId w:val="4"/>
              </w:numPr>
              <w:spacing w:before="120" w:after="120" w:line="276" w:lineRule="auto"/>
              <w:ind w:left="965"/>
              <w:jc w:val="both"/>
              <w:rPr>
                <w:szCs w:val="20"/>
              </w:rPr>
            </w:pPr>
            <w:r w:rsidRPr="00DB4735">
              <w:rPr>
                <w:szCs w:val="20"/>
              </w:rPr>
              <w:t>NIST SP 800-144: Guidelines on Security and Privacy in Public Cloud Computing, December 2011</w:t>
            </w:r>
          </w:p>
          <w:p w14:paraId="28BB5044" w14:textId="77777777" w:rsidR="00DB4735" w:rsidRPr="00DB4735" w:rsidRDefault="00DB4735" w:rsidP="001E556C">
            <w:pPr>
              <w:pStyle w:val="ListParagraph"/>
              <w:numPr>
                <w:ilvl w:val="0"/>
                <w:numId w:val="4"/>
              </w:numPr>
              <w:spacing w:before="120" w:after="120" w:line="276" w:lineRule="auto"/>
              <w:ind w:left="965"/>
              <w:jc w:val="both"/>
              <w:rPr>
                <w:szCs w:val="20"/>
              </w:rPr>
            </w:pPr>
            <w:r w:rsidRPr="00DB4735">
              <w:rPr>
                <w:szCs w:val="20"/>
              </w:rPr>
              <w:t>NIST SP 800-145: NIST Definition of Cloud Computing, September 2011</w:t>
            </w:r>
          </w:p>
          <w:p w14:paraId="350304E4" w14:textId="77777777" w:rsidR="00DB4735" w:rsidRPr="00DB4735" w:rsidRDefault="00DB4735" w:rsidP="001E556C">
            <w:pPr>
              <w:pStyle w:val="ListParagraph"/>
              <w:numPr>
                <w:ilvl w:val="0"/>
                <w:numId w:val="4"/>
              </w:numPr>
              <w:spacing w:before="120" w:after="120" w:line="276" w:lineRule="auto"/>
              <w:ind w:left="965"/>
              <w:jc w:val="both"/>
              <w:rPr>
                <w:szCs w:val="20"/>
              </w:rPr>
            </w:pPr>
            <w:r w:rsidRPr="00DB4735">
              <w:rPr>
                <w:szCs w:val="20"/>
              </w:rPr>
              <w:lastRenderedPageBreak/>
              <w:t>NIST SP 800-146: Cloud Computing Synopsis and Recommendations, May 2012</w:t>
            </w:r>
          </w:p>
          <w:p w14:paraId="4FDF5D8B"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NIST also maintains a page related to the Internet of Things (IoT) that includes reports related to trust, fog computing (cloud computing for IoT), and other areas related to the IoT.</w:t>
            </w:r>
            <w:r w:rsidRPr="00DB4735">
              <w:rPr>
                <w:rStyle w:val="FootnoteReference"/>
                <w:rFonts w:ascii="Times New Roman" w:hAnsi="Times New Roman" w:cs="Times New Roman"/>
                <w:sz w:val="20"/>
                <w:szCs w:val="20"/>
              </w:rPr>
              <w:footnoteReference w:id="5"/>
            </w:r>
          </w:p>
          <w:p w14:paraId="4714789C"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Other resources provided by NIST that address the above technologies include:</w:t>
            </w:r>
          </w:p>
          <w:p w14:paraId="7763CDB6" w14:textId="77777777" w:rsidR="00DB4735" w:rsidRPr="00DB4735" w:rsidRDefault="00DB4735" w:rsidP="001E556C">
            <w:pPr>
              <w:pStyle w:val="ListParagraph"/>
              <w:numPr>
                <w:ilvl w:val="0"/>
                <w:numId w:val="5"/>
              </w:numPr>
              <w:spacing w:before="120" w:after="120"/>
              <w:ind w:left="965"/>
              <w:jc w:val="both"/>
              <w:rPr>
                <w:szCs w:val="20"/>
              </w:rPr>
            </w:pPr>
            <w:r w:rsidRPr="00DB4735">
              <w:rPr>
                <w:szCs w:val="20"/>
              </w:rPr>
              <w:t>NIST 800-124rev1: Guidelines for Managing the Security of Mobile Devices in the Enterprise</w:t>
            </w:r>
            <w:r w:rsidRPr="00DB4735">
              <w:rPr>
                <w:rStyle w:val="FootnoteReference"/>
                <w:szCs w:val="20"/>
              </w:rPr>
              <w:footnoteReference w:id="6"/>
            </w:r>
          </w:p>
          <w:p w14:paraId="6E35BC95" w14:textId="77777777" w:rsidR="001E556C" w:rsidRDefault="00DB4735" w:rsidP="001E556C">
            <w:pPr>
              <w:pStyle w:val="ListParagraph"/>
              <w:numPr>
                <w:ilvl w:val="0"/>
                <w:numId w:val="5"/>
              </w:numPr>
              <w:spacing w:before="120" w:after="120"/>
              <w:ind w:left="965"/>
              <w:jc w:val="both"/>
              <w:rPr>
                <w:szCs w:val="20"/>
              </w:rPr>
            </w:pPr>
            <w:r w:rsidRPr="00DB4735">
              <w:rPr>
                <w:szCs w:val="20"/>
              </w:rPr>
              <w:t>NISTIR 8144 (DRAFT): Assessing Threats to Mobile Devices and Infrastructure - The Mobile Threat Catalog</w:t>
            </w:r>
            <w:r w:rsidRPr="00DB4735">
              <w:rPr>
                <w:rStyle w:val="FootnoteReference"/>
                <w:szCs w:val="20"/>
              </w:rPr>
              <w:footnoteReference w:id="7"/>
            </w:r>
          </w:p>
          <w:p w14:paraId="3F7E9108" w14:textId="050A10DE" w:rsidR="00DB4735" w:rsidRPr="001E556C" w:rsidRDefault="00DB4735" w:rsidP="001E556C">
            <w:pPr>
              <w:pStyle w:val="ListParagraph"/>
              <w:numPr>
                <w:ilvl w:val="0"/>
                <w:numId w:val="5"/>
              </w:numPr>
              <w:spacing w:before="120" w:after="120"/>
              <w:ind w:left="965"/>
              <w:jc w:val="both"/>
              <w:rPr>
                <w:szCs w:val="20"/>
              </w:rPr>
            </w:pPr>
            <w:r w:rsidRPr="001E556C">
              <w:rPr>
                <w:szCs w:val="20"/>
              </w:rPr>
              <w:t>NCCoE Project: Mobile Device Security: Cloud and Hybrid Builds</w:t>
            </w:r>
            <w:r w:rsidRPr="00DB4735">
              <w:rPr>
                <w:rStyle w:val="FootnoteReference"/>
                <w:szCs w:val="20"/>
              </w:rPr>
              <w:footnoteReference w:id="8"/>
            </w:r>
          </w:p>
        </w:tc>
        <w:tc>
          <w:tcPr>
            <w:tcW w:w="3240" w:type="dxa"/>
          </w:tcPr>
          <w:p w14:paraId="758EC415"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01055437"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21C2489D" w14:textId="77777777" w:rsidTr="0096551C">
        <w:tc>
          <w:tcPr>
            <w:tcW w:w="715" w:type="dxa"/>
          </w:tcPr>
          <w:p w14:paraId="083BEC09" w14:textId="13CDCC6E"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8.</w:t>
            </w:r>
          </w:p>
        </w:tc>
        <w:tc>
          <w:tcPr>
            <w:tcW w:w="2160" w:type="dxa"/>
          </w:tcPr>
          <w:p w14:paraId="7DDAC00D" w14:textId="23ECB158"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1CB44950" w14:textId="77777777" w:rsidR="00DB4735" w:rsidRPr="00DB4735" w:rsidRDefault="00DB4735" w:rsidP="001E556C">
            <w:pPr>
              <w:keepNext/>
              <w:keepLines/>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4C06A80F" w14:textId="4B6D45CC"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The assessment team recommends that, prior to the adoption and deployment of new technologies, organizations investigate what it takes to operate the systems in secure manner by reviewing resources </w:t>
            </w:r>
            <w:r w:rsidRPr="00DB4735">
              <w:rPr>
                <w:rFonts w:ascii="Times New Roman" w:hAnsi="Times New Roman" w:cs="Times New Roman"/>
                <w:sz w:val="20"/>
                <w:szCs w:val="20"/>
              </w:rPr>
              <w:lastRenderedPageBreak/>
              <w:t>provided by NIST, ICS-CERT, and other government organizations. (For example, DHS maintains a portal for their cybersecurity resources.</w:t>
            </w:r>
            <w:r w:rsidRPr="00DB4735">
              <w:rPr>
                <w:rStyle w:val="FootnoteReference"/>
                <w:rFonts w:ascii="Times New Roman" w:hAnsi="Times New Roman" w:cs="Times New Roman"/>
                <w:sz w:val="20"/>
                <w:szCs w:val="20"/>
              </w:rPr>
              <w:footnoteReference w:id="9"/>
            </w:r>
            <w:r w:rsidRPr="00DB4735">
              <w:rPr>
                <w:rFonts w:ascii="Times New Roman" w:hAnsi="Times New Roman" w:cs="Times New Roman"/>
                <w:sz w:val="20"/>
                <w:szCs w:val="20"/>
              </w:rPr>
              <w:t>) This will ensure that operations can be properly secured prior to deployment of the new systems and technologies, ensuring new attack vectors are not introduced.</w:t>
            </w:r>
          </w:p>
        </w:tc>
        <w:tc>
          <w:tcPr>
            <w:tcW w:w="3240" w:type="dxa"/>
          </w:tcPr>
          <w:p w14:paraId="366A32AC"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2326C78E"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637E8E1B" w14:textId="77777777" w:rsidTr="0096551C">
        <w:tc>
          <w:tcPr>
            <w:tcW w:w="715" w:type="dxa"/>
          </w:tcPr>
          <w:p w14:paraId="51F24C3A" w14:textId="3CC43D32"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9.</w:t>
            </w:r>
          </w:p>
        </w:tc>
        <w:tc>
          <w:tcPr>
            <w:tcW w:w="2160" w:type="dxa"/>
          </w:tcPr>
          <w:p w14:paraId="57633F1C" w14:textId="3A982980"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59EB973D"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Level: N/A</w:t>
            </w:r>
          </w:p>
          <w:p w14:paraId="1579008C" w14:textId="3E15E1D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color w:val="000000" w:themeColor="text1"/>
                <w:sz w:val="20"/>
                <w:szCs w:val="20"/>
              </w:rPr>
              <w:t>Distributed ledger technology (DLT) is an area of active work for both NAESB and SNL. In fact, the Sandia team has already delivered a whitepaper which discusses DLT (overview and benefits) and important recommendations for the potential NAESB effort to convert the NAESB Base Contract into a smart contract. The white paper also described Sandia internally-funded research which is investigating using design/prototype multi-party computation (MPC) in a smart contract setting. The whitepaper also included potential Sandia support roles.</w:t>
            </w:r>
          </w:p>
        </w:tc>
        <w:tc>
          <w:tcPr>
            <w:tcW w:w="3240" w:type="dxa"/>
          </w:tcPr>
          <w:p w14:paraId="5E16B97F"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28D737A5"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5AC75F53" w14:textId="77777777" w:rsidTr="0096551C">
        <w:tc>
          <w:tcPr>
            <w:tcW w:w="715" w:type="dxa"/>
          </w:tcPr>
          <w:p w14:paraId="5FA52247" w14:textId="5781A5E6"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10.</w:t>
            </w:r>
          </w:p>
        </w:tc>
        <w:tc>
          <w:tcPr>
            <w:tcW w:w="2160" w:type="dxa"/>
          </w:tcPr>
          <w:p w14:paraId="5D20D7B5" w14:textId="4B175564"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67A4D80C"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Level: N/A</w:t>
            </w:r>
          </w:p>
          <w:p w14:paraId="50001365" w14:textId="3A013E58"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color w:val="000000" w:themeColor="text1"/>
                <w:sz w:val="20"/>
                <w:szCs w:val="20"/>
              </w:rPr>
              <w:t>Distributed Energy Resources – focused on communication protocols. Sandia facilities include the Distributed Energy Test Lab</w:t>
            </w:r>
            <w:r w:rsidRPr="00DB4735">
              <w:rPr>
                <w:rStyle w:val="FootnoteReference"/>
                <w:rFonts w:ascii="Times New Roman" w:hAnsi="Times New Roman" w:cs="Times New Roman"/>
                <w:color w:val="000000" w:themeColor="text1"/>
                <w:sz w:val="20"/>
                <w:szCs w:val="20"/>
              </w:rPr>
              <w:footnoteReference w:id="10"/>
            </w:r>
            <w:r w:rsidRPr="00DB4735">
              <w:rPr>
                <w:rFonts w:ascii="Times New Roman" w:hAnsi="Times New Roman" w:cs="Times New Roman"/>
                <w:color w:val="000000" w:themeColor="text1"/>
                <w:sz w:val="20"/>
                <w:szCs w:val="20"/>
              </w:rPr>
              <w:t xml:space="preserve"> (DETL) which conducts research with industry and academic partners to integrate emerging energy technologies </w:t>
            </w:r>
            <w:r w:rsidRPr="00DB4735">
              <w:rPr>
                <w:rFonts w:ascii="Times New Roman" w:hAnsi="Times New Roman" w:cs="Times New Roman"/>
                <w:color w:val="000000" w:themeColor="text1"/>
                <w:sz w:val="20"/>
                <w:szCs w:val="20"/>
              </w:rPr>
              <w:lastRenderedPageBreak/>
              <w:t>into new and existing electricity infrastructures. DETL research specifically includes cyber security of emerging distributed energy resources and related on communication protocols.</w:t>
            </w:r>
          </w:p>
        </w:tc>
        <w:tc>
          <w:tcPr>
            <w:tcW w:w="3240" w:type="dxa"/>
          </w:tcPr>
          <w:p w14:paraId="2DF4DEF6"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261A51F8"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756A8D55" w14:textId="77777777" w:rsidTr="0096551C">
        <w:tc>
          <w:tcPr>
            <w:tcW w:w="715" w:type="dxa"/>
          </w:tcPr>
          <w:p w14:paraId="392DDB4A" w14:textId="78CDDE8A"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11.</w:t>
            </w:r>
          </w:p>
        </w:tc>
        <w:tc>
          <w:tcPr>
            <w:tcW w:w="2160" w:type="dxa"/>
          </w:tcPr>
          <w:p w14:paraId="2F427515" w14:textId="6903C07B"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6962FE5A"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15C4BE08"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sz w:val="20"/>
                <w:szCs w:val="20"/>
              </w:rPr>
              <w:t xml:space="preserve">Data Analytics – this is </w:t>
            </w:r>
            <w:r w:rsidRPr="00DB4735">
              <w:rPr>
                <w:rFonts w:ascii="Times New Roman" w:hAnsi="Times New Roman" w:cs="Times New Roman"/>
                <w:color w:val="000000" w:themeColor="text1"/>
                <w:sz w:val="20"/>
                <w:szCs w:val="20"/>
              </w:rPr>
              <w:t>an area of massive lab capability and investment. With respect to traditional internet communications analysis and detection the lab helps develop and implement novel defenses for both government and military networks. This effort includes advanced analysis for emerging threats and attack techniques. Sandia leads the national laboratory modeling and simulation in the development of a suite of network emulation and analysis capabilities collectively referred to as Emulytics™ (a holistic approach to system emulation and analytics)</w:t>
            </w:r>
            <w:r w:rsidRPr="00DB4735">
              <w:rPr>
                <w:rStyle w:val="FootnoteReference"/>
                <w:rFonts w:ascii="Times New Roman" w:hAnsi="Times New Roman" w:cs="Times New Roman"/>
                <w:color w:val="000000" w:themeColor="text1"/>
                <w:sz w:val="20"/>
                <w:szCs w:val="20"/>
              </w:rPr>
              <w:footnoteReference w:id="11"/>
            </w:r>
            <w:r w:rsidRPr="00DB4735">
              <w:rPr>
                <w:rFonts w:ascii="Times New Roman" w:hAnsi="Times New Roman" w:cs="Times New Roman"/>
                <w:color w:val="000000" w:themeColor="text1"/>
                <w:sz w:val="20"/>
                <w:szCs w:val="20"/>
              </w:rPr>
              <w:t xml:space="preserve">. Over the last decade, we have developed and deployed a suite of cyber emulation, modeling, and analysis tools that support uses including predictive simulation, training, test &amp; evaluation, and resilient system design.  </w:t>
            </w:r>
          </w:p>
          <w:p w14:paraId="2392803F" w14:textId="37BAEBA2"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color w:val="000000" w:themeColor="text1"/>
                <w:sz w:val="20"/>
                <w:szCs w:val="20"/>
              </w:rPr>
              <w:t xml:space="preserve">Emulytics™ experiments provide safe and isolated environments to study and test computing and communications systems and to exercise and train cyber staff. Enterprise computing and control systems environments are well supported today and we are developing support for emerging mobile computing and Internet of Things environments. </w:t>
            </w:r>
            <w:r w:rsidRPr="00DB4735">
              <w:rPr>
                <w:rFonts w:ascii="Times New Roman" w:hAnsi="Times New Roman" w:cs="Times New Roman"/>
                <w:color w:val="000000" w:themeColor="text1"/>
                <w:sz w:val="20"/>
                <w:szCs w:val="20"/>
              </w:rPr>
              <w:lastRenderedPageBreak/>
              <w:t>Emulytics environments scale well and can be deployed on systems as small as a laptop and on clusters with hundreds of high performance servers. Our methodologies support the application of the scientific method to the study of cyber systems, and our tools make it easier to design, deploy, and collect data from virtualized experiments rapidly, reliably, and repeatedly.</w:t>
            </w:r>
          </w:p>
        </w:tc>
        <w:tc>
          <w:tcPr>
            <w:tcW w:w="3240" w:type="dxa"/>
          </w:tcPr>
          <w:p w14:paraId="464EADA7"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5368C56B"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3FC4D129" w14:textId="77777777" w:rsidTr="0096551C">
        <w:tc>
          <w:tcPr>
            <w:tcW w:w="715" w:type="dxa"/>
          </w:tcPr>
          <w:p w14:paraId="3482E9D8" w14:textId="65029203"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12.</w:t>
            </w:r>
          </w:p>
        </w:tc>
        <w:tc>
          <w:tcPr>
            <w:tcW w:w="2160" w:type="dxa"/>
          </w:tcPr>
          <w:p w14:paraId="1D51D90A" w14:textId="58C2610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7A3E134D"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680018BE" w14:textId="3A7773B9"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Machine Learning – a </w:t>
            </w:r>
            <w:r w:rsidRPr="00DB4735">
              <w:rPr>
                <w:rFonts w:ascii="Times New Roman" w:hAnsi="Times New Roman" w:cs="Times New Roman"/>
                <w:color w:val="000000" w:themeColor="text1"/>
                <w:sz w:val="20"/>
                <w:szCs w:val="20"/>
              </w:rPr>
              <w:t>method of data analysis that automates analytical model building. It is a branch of artificial intelligence based on the idea that systems can learn from data, identify patterns and make decisions with minimal human intervention. Machine learning was the focus of a recently completed grand challenge laboratory directed research and development effort</w:t>
            </w:r>
            <w:r w:rsidRPr="00DB4735">
              <w:rPr>
                <w:rStyle w:val="FootnoteReference"/>
                <w:rFonts w:ascii="Times New Roman" w:hAnsi="Times New Roman" w:cs="Times New Roman"/>
                <w:color w:val="000000" w:themeColor="text1"/>
                <w:sz w:val="20"/>
                <w:szCs w:val="20"/>
              </w:rPr>
              <w:footnoteReference w:id="12"/>
            </w:r>
            <w:r w:rsidRPr="00DB4735">
              <w:rPr>
                <w:rFonts w:ascii="Times New Roman" w:hAnsi="Times New Roman" w:cs="Times New Roman"/>
                <w:color w:val="000000" w:themeColor="text1"/>
                <w:sz w:val="20"/>
                <w:szCs w:val="20"/>
              </w:rPr>
              <w:t>.</w:t>
            </w:r>
          </w:p>
        </w:tc>
        <w:tc>
          <w:tcPr>
            <w:tcW w:w="3240" w:type="dxa"/>
          </w:tcPr>
          <w:p w14:paraId="66C20F22"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3DCB6A96"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62D2A1BE" w14:textId="77777777" w:rsidTr="0096551C">
        <w:tc>
          <w:tcPr>
            <w:tcW w:w="715" w:type="dxa"/>
          </w:tcPr>
          <w:p w14:paraId="3DC23BE4" w14:textId="1C28393F"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13.</w:t>
            </w:r>
          </w:p>
        </w:tc>
        <w:tc>
          <w:tcPr>
            <w:tcW w:w="2160" w:type="dxa"/>
          </w:tcPr>
          <w:p w14:paraId="5F8061AF" w14:textId="68B73D95"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6B37C36B"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5B3057D4" w14:textId="5550C433"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Behavior Analytics – a tool </w:t>
            </w:r>
            <w:r w:rsidRPr="00DB4735">
              <w:rPr>
                <w:rFonts w:ascii="Times New Roman" w:hAnsi="Times New Roman" w:cs="Times New Roman"/>
                <w:color w:val="000000" w:themeColor="text1"/>
                <w:sz w:val="20"/>
                <w:szCs w:val="20"/>
              </w:rPr>
              <w:t xml:space="preserve">that reveals the actions users take within a digital product. It organizes raw event data such as clicks into a timeline of each user's behavior, also known </w:t>
            </w:r>
            <w:r w:rsidRPr="00DB4735">
              <w:rPr>
                <w:rFonts w:ascii="Times New Roman" w:hAnsi="Times New Roman" w:cs="Times New Roman"/>
                <w:sz w:val="20"/>
                <w:szCs w:val="20"/>
              </w:rPr>
              <w:t xml:space="preserve">as a user journey. At Sandia, researchers model both malware and attacker behaviors to identify malicious activity. For example, Sandia scientists used virtual machine (VM) technology and a supercomputing cluster to </w:t>
            </w:r>
            <w:r w:rsidRPr="00DB4735">
              <w:rPr>
                <w:rFonts w:ascii="Times New Roman" w:hAnsi="Times New Roman" w:cs="Times New Roman"/>
                <w:sz w:val="20"/>
                <w:szCs w:val="20"/>
              </w:rPr>
              <w:lastRenderedPageBreak/>
              <w:t>watch how botnets work and explore ways to stop them.</w:t>
            </w:r>
            <w:r w:rsidRPr="00DB4735">
              <w:rPr>
                <w:rStyle w:val="FootnoteReference"/>
                <w:rFonts w:ascii="Times New Roman" w:hAnsi="Times New Roman" w:cs="Times New Roman"/>
                <w:sz w:val="20"/>
                <w:szCs w:val="20"/>
              </w:rPr>
              <w:footnoteReference w:id="13"/>
            </w:r>
          </w:p>
        </w:tc>
        <w:tc>
          <w:tcPr>
            <w:tcW w:w="3240" w:type="dxa"/>
          </w:tcPr>
          <w:p w14:paraId="68A65760"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5072E546"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648CDA02" w14:textId="77777777" w:rsidTr="0096551C">
        <w:tc>
          <w:tcPr>
            <w:tcW w:w="715" w:type="dxa"/>
          </w:tcPr>
          <w:p w14:paraId="20829BA7" w14:textId="06B85863"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14.</w:t>
            </w:r>
          </w:p>
        </w:tc>
        <w:tc>
          <w:tcPr>
            <w:tcW w:w="2160" w:type="dxa"/>
          </w:tcPr>
          <w:p w14:paraId="4D9A0FA9" w14:textId="10FA2DAF"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589AD0C3" w14:textId="77777777"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Level: N/A</w:t>
            </w:r>
          </w:p>
          <w:p w14:paraId="2A57B6DD" w14:textId="46479CAF"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Software Defined Networking (SDN) – approach </w:t>
            </w:r>
            <w:r w:rsidRPr="00DB4735">
              <w:rPr>
                <w:rFonts w:ascii="Times New Roman" w:hAnsi="Times New Roman" w:cs="Times New Roman"/>
                <w:color w:val="000000" w:themeColor="text1"/>
                <w:sz w:val="20"/>
                <w:szCs w:val="20"/>
              </w:rPr>
              <w:t>to network management that enables dynamic, programmatically efficient network configuration in order to improve network performance and monitoring making it more like cloud computing than traditional network management. SDN was recently adapted into a Sandia patented alternative reality which can be deployed as a network defense. The capability is knows as HADES (High-fidelity Adaptive Deception &amp; Emulation System) and it feeds a hacker not what he needs to know but what he wants to believe. HADES won a 2017 R&amp;D 100 Award presented annually by R&amp;D Magazine.</w:t>
            </w:r>
          </w:p>
        </w:tc>
        <w:tc>
          <w:tcPr>
            <w:tcW w:w="3240" w:type="dxa"/>
          </w:tcPr>
          <w:p w14:paraId="020F086B"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15C292F7"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75C94FCB" w14:textId="77777777" w:rsidTr="0096551C">
        <w:tc>
          <w:tcPr>
            <w:tcW w:w="715" w:type="dxa"/>
          </w:tcPr>
          <w:p w14:paraId="4A19851B" w14:textId="0AFAAE39"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15.</w:t>
            </w:r>
          </w:p>
        </w:tc>
        <w:tc>
          <w:tcPr>
            <w:tcW w:w="2160" w:type="dxa"/>
          </w:tcPr>
          <w:p w14:paraId="50144346" w14:textId="6E9BB45F"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00D72A82"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Level: N/A</w:t>
            </w:r>
          </w:p>
          <w:p w14:paraId="3465AA26" w14:textId="59867798"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color w:val="000000" w:themeColor="text1"/>
                <w:sz w:val="20"/>
                <w:szCs w:val="20"/>
              </w:rPr>
              <w:t>Zero Trust Networks</w:t>
            </w:r>
            <w:r w:rsidRPr="00DB4735">
              <w:rPr>
                <w:rStyle w:val="FootnoteReference"/>
                <w:rFonts w:ascii="Times New Roman" w:hAnsi="Times New Roman" w:cs="Times New Roman"/>
                <w:color w:val="000000" w:themeColor="text1"/>
                <w:sz w:val="20"/>
                <w:szCs w:val="20"/>
              </w:rPr>
              <w:footnoteReference w:id="14"/>
            </w:r>
            <w:r w:rsidRPr="00DB4735">
              <w:rPr>
                <w:rFonts w:ascii="Times New Roman" w:hAnsi="Times New Roman" w:cs="Times New Roman"/>
                <w:color w:val="000000" w:themeColor="text1"/>
                <w:sz w:val="20"/>
                <w:szCs w:val="20"/>
              </w:rPr>
              <w:t xml:space="preserve"> – Zero trust security is an IT security model that requires strict identity verification for every person and device trying to access resources on a private network, regardless of whether they are sitting within or outside of the network perimeter. No single specific technology is associated with zero trust; it is a holistic approach to </w:t>
            </w:r>
            <w:r w:rsidRPr="00DB4735">
              <w:rPr>
                <w:rFonts w:ascii="Times New Roman" w:hAnsi="Times New Roman" w:cs="Times New Roman"/>
                <w:color w:val="000000" w:themeColor="text1"/>
                <w:sz w:val="20"/>
                <w:szCs w:val="20"/>
              </w:rPr>
              <w:lastRenderedPageBreak/>
              <w:t>network security that incorporates several different principles and technologies.</w:t>
            </w:r>
          </w:p>
        </w:tc>
        <w:tc>
          <w:tcPr>
            <w:tcW w:w="3240" w:type="dxa"/>
          </w:tcPr>
          <w:p w14:paraId="3B3D45DA"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38AD9210"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71BA1380" w14:textId="77777777" w:rsidTr="0096551C">
        <w:tc>
          <w:tcPr>
            <w:tcW w:w="715" w:type="dxa"/>
          </w:tcPr>
          <w:p w14:paraId="594B29DF" w14:textId="288180DD"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16.</w:t>
            </w:r>
          </w:p>
        </w:tc>
        <w:tc>
          <w:tcPr>
            <w:tcW w:w="2160" w:type="dxa"/>
          </w:tcPr>
          <w:p w14:paraId="33922F19" w14:textId="34E99A74"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3.3 – Emerging Technologies (Pages 27 – 29)</w:t>
            </w:r>
          </w:p>
        </w:tc>
        <w:tc>
          <w:tcPr>
            <w:tcW w:w="4410" w:type="dxa"/>
          </w:tcPr>
          <w:p w14:paraId="1958BA92" w14:textId="77777777" w:rsidR="00DB4735" w:rsidRPr="00DB4735" w:rsidRDefault="00DB4735" w:rsidP="001E556C">
            <w:pPr>
              <w:spacing w:before="120" w:after="120"/>
              <w:jc w:val="both"/>
              <w:rPr>
                <w:rFonts w:ascii="Times New Roman" w:hAnsi="Times New Roman" w:cs="Times New Roman"/>
                <w:color w:val="000000" w:themeColor="text1"/>
                <w:sz w:val="20"/>
                <w:szCs w:val="20"/>
              </w:rPr>
            </w:pPr>
            <w:r w:rsidRPr="00DB4735">
              <w:rPr>
                <w:rFonts w:ascii="Times New Roman" w:hAnsi="Times New Roman" w:cs="Times New Roman"/>
                <w:color w:val="000000" w:themeColor="text1"/>
                <w:sz w:val="20"/>
                <w:szCs w:val="20"/>
              </w:rPr>
              <w:t>Level: N/A</w:t>
            </w:r>
          </w:p>
          <w:p w14:paraId="0A2598D1" w14:textId="7BFA25FD"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color w:val="000000" w:themeColor="text1"/>
                <w:sz w:val="20"/>
                <w:szCs w:val="20"/>
              </w:rPr>
              <w:t>Fileless Malware</w:t>
            </w:r>
            <w:r w:rsidRPr="00DB4735">
              <w:rPr>
                <w:rStyle w:val="FootnoteReference"/>
                <w:rFonts w:ascii="Times New Roman" w:hAnsi="Times New Roman" w:cs="Times New Roman"/>
                <w:color w:val="000000" w:themeColor="text1"/>
                <w:sz w:val="20"/>
                <w:szCs w:val="20"/>
              </w:rPr>
              <w:footnoteReference w:id="15"/>
            </w:r>
            <w:r w:rsidRPr="00DB4735">
              <w:rPr>
                <w:rFonts w:ascii="Times New Roman" w:hAnsi="Times New Roman" w:cs="Times New Roman"/>
                <w:color w:val="000000" w:themeColor="text1"/>
                <w:sz w:val="20"/>
                <w:szCs w:val="20"/>
              </w:rPr>
              <w:t xml:space="preserve"> - Fileless malware refers to a cyberattack technique that uses existing software, allowed applications, and authorized protocols to carry out malicious activities. Fileless malware sneaks in without using traditional executable files as a first level of attack like traditional malware. Rather than using malicious software or downloads of executable files as its primary entry point onto corporate networks, fileless malware often hides in memory or other difficult-to-detect locations. From there, it is written directly to RAM rather than to disk to execute a series of events or is coupled with other attack vectors such as ransomware to accomplish its malicious intent. And because fileless malware doesn’t write anything to disk like traditional malware does, it is much harder to detect and may defeat traditional security systems.</w:t>
            </w:r>
          </w:p>
        </w:tc>
        <w:tc>
          <w:tcPr>
            <w:tcW w:w="3240" w:type="dxa"/>
          </w:tcPr>
          <w:p w14:paraId="5F644F62"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26464B0E"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7B5F5ACA" w14:textId="77777777" w:rsidTr="0096551C">
        <w:tc>
          <w:tcPr>
            <w:tcW w:w="715" w:type="dxa"/>
          </w:tcPr>
          <w:p w14:paraId="28CAB9AF" w14:textId="6929F957"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17.</w:t>
            </w:r>
          </w:p>
        </w:tc>
        <w:tc>
          <w:tcPr>
            <w:tcW w:w="2160" w:type="dxa"/>
          </w:tcPr>
          <w:p w14:paraId="04422A12" w14:textId="225BC036"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7954B08E" w14:textId="706C2CC8"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w:t>
            </w:r>
            <w:r w:rsidRPr="00DB4735">
              <w:rPr>
                <w:rFonts w:ascii="Times New Roman" w:hAnsi="Times New Roman" w:cs="Times New Roman"/>
                <w:sz w:val="20"/>
                <w:szCs w:val="20"/>
              </w:rPr>
              <w:lastRenderedPageBreak/>
              <w:t>versions being used) or have vulnerable implementations of their web applications. Since 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rFonts w:ascii="Times New Roman" w:hAnsi="Times New Roman" w:cs="Times New Roman"/>
                <w:sz w:val="20"/>
                <w:szCs w:val="20"/>
              </w:rPr>
              <w:footnoteReference w:id="16"/>
            </w:r>
            <w:r w:rsidRPr="00DB4735">
              <w:rPr>
                <w:rFonts w:ascii="Times New Roman" w:hAnsi="Times New Roman" w:cs="Times New Roman"/>
                <w:sz w:val="20"/>
                <w:szCs w:val="20"/>
              </w:rPr>
              <w:t>: “Scans should be performed regularly on all software, services, or platforms (SPPs) that are available external to the organization. At a minimum, scans should be performed monthly.”</w:t>
            </w:r>
          </w:p>
        </w:tc>
        <w:tc>
          <w:tcPr>
            <w:tcW w:w="3240" w:type="dxa"/>
          </w:tcPr>
          <w:p w14:paraId="41062462"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23AE938D" w14:textId="77777777" w:rsidR="00DB4735" w:rsidRPr="00DB4735" w:rsidRDefault="00DB4735" w:rsidP="00E91CA6">
            <w:pPr>
              <w:spacing w:before="120" w:after="120"/>
              <w:rPr>
                <w:rFonts w:ascii="Times New Roman" w:hAnsi="Times New Roman" w:cs="Times New Roman"/>
                <w:sz w:val="20"/>
                <w:szCs w:val="20"/>
              </w:rPr>
            </w:pPr>
          </w:p>
        </w:tc>
      </w:tr>
      <w:tr w:rsidR="00DB4735" w:rsidRPr="00DB4735" w14:paraId="799337FE" w14:textId="77777777" w:rsidTr="0096551C">
        <w:tc>
          <w:tcPr>
            <w:tcW w:w="715" w:type="dxa"/>
          </w:tcPr>
          <w:p w14:paraId="68CC228A" w14:textId="3FB3476E" w:rsidR="00DB4735" w:rsidRPr="00DB4735" w:rsidRDefault="00DB4735" w:rsidP="00E91CA6">
            <w:pPr>
              <w:spacing w:before="120" w:after="120"/>
              <w:jc w:val="right"/>
              <w:rPr>
                <w:rFonts w:ascii="Times New Roman" w:hAnsi="Times New Roman" w:cs="Times New Roman"/>
                <w:sz w:val="20"/>
                <w:szCs w:val="20"/>
              </w:rPr>
            </w:pPr>
            <w:r w:rsidRPr="00DB4735">
              <w:rPr>
                <w:rFonts w:ascii="Times New Roman" w:hAnsi="Times New Roman" w:cs="Times New Roman"/>
                <w:sz w:val="20"/>
                <w:szCs w:val="20"/>
              </w:rPr>
              <w:t>18.</w:t>
            </w:r>
          </w:p>
        </w:tc>
        <w:tc>
          <w:tcPr>
            <w:tcW w:w="2160" w:type="dxa"/>
          </w:tcPr>
          <w:p w14:paraId="7A55F1A1" w14:textId="00D72EE2" w:rsidR="00DB4735" w:rsidRPr="00DB4735" w:rsidRDefault="00DB4735" w:rsidP="00E91CA6">
            <w:pPr>
              <w:spacing w:before="120" w:after="120"/>
              <w:rPr>
                <w:rFonts w:ascii="Times New Roman" w:hAnsi="Times New Roman" w:cs="Times New Roman"/>
                <w:sz w:val="20"/>
                <w:szCs w:val="20"/>
              </w:rPr>
            </w:pPr>
            <w:r w:rsidRPr="00DB4735">
              <w:rPr>
                <w:rFonts w:ascii="Times New Roman" w:hAnsi="Times New Roman" w:cs="Times New Roman"/>
                <w:sz w:val="20"/>
                <w:szCs w:val="20"/>
              </w:rPr>
              <w:t>Addendum Report Section 3.4 – Recommended Future Assessments (Pages 29 – 30)</w:t>
            </w:r>
          </w:p>
        </w:tc>
        <w:tc>
          <w:tcPr>
            <w:tcW w:w="4410" w:type="dxa"/>
          </w:tcPr>
          <w:p w14:paraId="4E23A419" w14:textId="2F712316" w:rsidR="00DB4735" w:rsidRPr="00DB4735" w:rsidRDefault="00DB4735" w:rsidP="001E556C">
            <w:pPr>
              <w:spacing w:before="120" w:after="120"/>
              <w:jc w:val="both"/>
              <w:rPr>
                <w:rFonts w:ascii="Times New Roman" w:hAnsi="Times New Roman" w:cs="Times New Roman"/>
                <w:sz w:val="20"/>
                <w:szCs w:val="20"/>
              </w:rPr>
            </w:pPr>
            <w:r w:rsidRPr="00DB4735">
              <w:rPr>
                <w:rFonts w:ascii="Times New Roman" w:hAnsi="Times New Roman" w:cs="Times New Roman"/>
                <w:sz w:val="20"/>
                <w:szCs w:val="20"/>
              </w:rPr>
              <w:t>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3240" w:type="dxa"/>
          </w:tcPr>
          <w:p w14:paraId="485B419A" w14:textId="77777777" w:rsidR="00DB4735" w:rsidRPr="00DB4735" w:rsidRDefault="00DB4735" w:rsidP="00E91CA6">
            <w:pPr>
              <w:spacing w:before="120" w:after="120"/>
              <w:rPr>
                <w:rFonts w:ascii="Times New Roman" w:hAnsi="Times New Roman" w:cs="Times New Roman"/>
                <w:sz w:val="20"/>
                <w:szCs w:val="20"/>
              </w:rPr>
            </w:pPr>
          </w:p>
        </w:tc>
        <w:tc>
          <w:tcPr>
            <w:tcW w:w="2425" w:type="dxa"/>
          </w:tcPr>
          <w:p w14:paraId="6FF087B6" w14:textId="77777777" w:rsidR="00DB4735" w:rsidRPr="00DB4735" w:rsidRDefault="00DB4735" w:rsidP="00E91CA6">
            <w:pPr>
              <w:spacing w:before="120" w:after="120"/>
              <w:rPr>
                <w:rFonts w:ascii="Times New Roman" w:hAnsi="Times New Roman" w:cs="Times New Roman"/>
                <w:sz w:val="20"/>
                <w:szCs w:val="20"/>
              </w:rPr>
            </w:pPr>
          </w:p>
        </w:tc>
      </w:tr>
    </w:tbl>
    <w:p w14:paraId="79DB2908" w14:textId="77777777" w:rsidR="00CE7606" w:rsidRDefault="00CD1EDB"/>
    <w:sectPr w:rsidR="00CE7606" w:rsidSect="00DB473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30206" w14:textId="77777777" w:rsidR="00CD1EDB" w:rsidRDefault="00CD1EDB" w:rsidP="00DB4735">
      <w:pPr>
        <w:spacing w:after="0" w:line="240" w:lineRule="auto"/>
      </w:pPr>
      <w:r>
        <w:separator/>
      </w:r>
    </w:p>
  </w:endnote>
  <w:endnote w:type="continuationSeparator" w:id="0">
    <w:p w14:paraId="2E406F72" w14:textId="77777777" w:rsidR="00CD1EDB" w:rsidRDefault="00CD1EDB" w:rsidP="00DB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292E" w14:textId="751C0082" w:rsidR="00E91CA6" w:rsidRPr="00E91CA6" w:rsidRDefault="00E91CA6" w:rsidP="00E91CA6">
    <w:pPr>
      <w:pStyle w:val="Footer"/>
      <w:jc w:val="right"/>
      <w:rPr>
        <w:rFonts w:ascii="Times New Roman" w:hAnsi="Times New Roman" w:cs="Times New Roman"/>
        <w:sz w:val="20"/>
        <w:szCs w:val="20"/>
      </w:rPr>
    </w:pPr>
    <w:r w:rsidRPr="00E91CA6">
      <w:rPr>
        <w:rFonts w:ascii="Times New Roman" w:hAnsi="Times New Roman" w:cs="Times New Roman"/>
        <w:sz w:val="20"/>
        <w:szCs w:val="20"/>
      </w:rPr>
      <w:t xml:space="preserve">Page </w:t>
    </w:r>
    <w:r w:rsidRPr="00E91CA6">
      <w:rPr>
        <w:rFonts w:ascii="Times New Roman" w:hAnsi="Times New Roman" w:cs="Times New Roman"/>
        <w:sz w:val="20"/>
        <w:szCs w:val="20"/>
      </w:rPr>
      <w:fldChar w:fldCharType="begin"/>
    </w:r>
    <w:r w:rsidRPr="00E91CA6">
      <w:rPr>
        <w:rFonts w:ascii="Times New Roman" w:hAnsi="Times New Roman" w:cs="Times New Roman"/>
        <w:sz w:val="20"/>
        <w:szCs w:val="20"/>
      </w:rPr>
      <w:instrText xml:space="preserve"> PAGE   \* MERGEFORMAT </w:instrText>
    </w:r>
    <w:r w:rsidRPr="00E91CA6">
      <w:rPr>
        <w:rFonts w:ascii="Times New Roman" w:hAnsi="Times New Roman" w:cs="Times New Roman"/>
        <w:sz w:val="20"/>
        <w:szCs w:val="20"/>
      </w:rPr>
      <w:fldChar w:fldCharType="separate"/>
    </w:r>
    <w:r w:rsidRPr="00E91CA6">
      <w:rPr>
        <w:rFonts w:ascii="Times New Roman" w:hAnsi="Times New Roman" w:cs="Times New Roman"/>
        <w:noProof/>
        <w:sz w:val="20"/>
        <w:szCs w:val="20"/>
      </w:rPr>
      <w:t>1</w:t>
    </w:r>
    <w:r w:rsidRPr="00E91CA6">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2A62A" w14:textId="77777777" w:rsidR="00CD1EDB" w:rsidRDefault="00CD1EDB" w:rsidP="00DB4735">
      <w:pPr>
        <w:spacing w:after="0" w:line="240" w:lineRule="auto"/>
      </w:pPr>
      <w:r>
        <w:separator/>
      </w:r>
    </w:p>
  </w:footnote>
  <w:footnote w:type="continuationSeparator" w:id="0">
    <w:p w14:paraId="7629D244" w14:textId="77777777" w:rsidR="00CD1EDB" w:rsidRDefault="00CD1EDB" w:rsidP="00DB4735">
      <w:pPr>
        <w:spacing w:after="0" w:line="240" w:lineRule="auto"/>
      </w:pPr>
      <w:r>
        <w:continuationSeparator/>
      </w:r>
    </w:p>
  </w:footnote>
  <w:footnote w:id="1">
    <w:p w14:paraId="3FDDCCCF" w14:textId="77777777" w:rsidR="00DB4735" w:rsidRDefault="00DB4735" w:rsidP="00FD31BD">
      <w:pPr>
        <w:pStyle w:val="FootnoteText"/>
      </w:pPr>
      <w:r>
        <w:rPr>
          <w:rStyle w:val="FootnoteReference"/>
        </w:rPr>
        <w:footnoteRef/>
      </w:r>
      <w:r>
        <w:t xml:space="preserve"> </w:t>
      </w:r>
      <w:r w:rsidRPr="00026107">
        <w:t xml:space="preserve">US-CERT Incident Reporting System, </w:t>
      </w:r>
      <w:hyperlink r:id="rId1" w:history="1">
        <w:r w:rsidRPr="00013AC9">
          <w:rPr>
            <w:rStyle w:val="Hyperlink"/>
          </w:rPr>
          <w:t>https://www.us-cert.gov/forms/report</w:t>
        </w:r>
      </w:hyperlink>
      <w:r>
        <w:t xml:space="preserve"> </w:t>
      </w:r>
    </w:p>
  </w:footnote>
  <w:footnote w:id="2">
    <w:p w14:paraId="3B06EE9A" w14:textId="77777777" w:rsidR="00DB4735" w:rsidRDefault="00DB4735" w:rsidP="00FD31BD">
      <w:pPr>
        <w:pStyle w:val="FootnoteText"/>
      </w:pPr>
      <w:r>
        <w:rPr>
          <w:rStyle w:val="FootnoteReference"/>
        </w:rPr>
        <w:footnoteRef/>
      </w:r>
      <w:r>
        <w:t xml:space="preserve"> </w:t>
      </w:r>
      <w:r w:rsidRPr="00026107">
        <w:t xml:space="preserve">Report Cyber Incidents, </w:t>
      </w:r>
      <w:hyperlink r:id="rId2" w:history="1">
        <w:r w:rsidRPr="00013AC9">
          <w:rPr>
            <w:rStyle w:val="Hyperlink"/>
          </w:rPr>
          <w:t>https://www.dhs.gov/how-do-i/report-cyber-incidents</w:t>
        </w:r>
      </w:hyperlink>
      <w:r>
        <w:t xml:space="preserve"> </w:t>
      </w:r>
    </w:p>
  </w:footnote>
  <w:footnote w:id="3">
    <w:p w14:paraId="13FC55C7" w14:textId="77777777" w:rsidR="00DB4735" w:rsidRDefault="00DB4735" w:rsidP="00FD31BD">
      <w:pPr>
        <w:pStyle w:val="FootnoteText"/>
      </w:pPr>
      <w:r>
        <w:rPr>
          <w:rStyle w:val="FootnoteReference"/>
        </w:rPr>
        <w:footnoteRef/>
      </w:r>
      <w:r>
        <w:t xml:space="preserve"> </w:t>
      </w:r>
      <w:r w:rsidRPr="00026107">
        <w:t xml:space="preserve">DOE - JC3 Incident Reporting, </w:t>
      </w:r>
      <w:hyperlink r:id="rId3" w:history="1">
        <w:r w:rsidRPr="00013AC9">
          <w:rPr>
            <w:rStyle w:val="Hyperlink"/>
          </w:rPr>
          <w:t>https://tickets.ijc3.doe.gov</w:t>
        </w:r>
      </w:hyperlink>
      <w:r>
        <w:t xml:space="preserve"> </w:t>
      </w:r>
    </w:p>
  </w:footnote>
  <w:footnote w:id="4">
    <w:p w14:paraId="7A8162EB" w14:textId="77777777" w:rsidR="00DB4735" w:rsidRDefault="00DB4735" w:rsidP="003E0F72">
      <w:pPr>
        <w:pStyle w:val="FootnoteText"/>
      </w:pPr>
      <w:r>
        <w:rPr>
          <w:rStyle w:val="FootnoteReference"/>
        </w:rPr>
        <w:footnoteRef/>
      </w:r>
      <w:r>
        <w:t xml:space="preserve"> </w:t>
      </w:r>
      <w:hyperlink r:id="rId4" w:history="1">
        <w:r w:rsidRPr="00547753">
          <w:rPr>
            <w:rStyle w:val="Hyperlink"/>
          </w:rPr>
          <w:t>https://www.nist.gov/itl/nist-cloud-computing-related-publications</w:t>
        </w:r>
      </w:hyperlink>
      <w:r>
        <w:t xml:space="preserve"> </w:t>
      </w:r>
    </w:p>
  </w:footnote>
  <w:footnote w:id="5">
    <w:p w14:paraId="50BCDCD0" w14:textId="77777777" w:rsidR="00DB4735" w:rsidRDefault="00DB4735" w:rsidP="003E0F72">
      <w:pPr>
        <w:pStyle w:val="FootnoteText"/>
      </w:pPr>
      <w:r>
        <w:rPr>
          <w:rStyle w:val="FootnoteReference"/>
        </w:rPr>
        <w:footnoteRef/>
      </w:r>
      <w:r>
        <w:t xml:space="preserve"> </w:t>
      </w:r>
      <w:hyperlink r:id="rId5" w:history="1">
        <w:r w:rsidRPr="00547753">
          <w:rPr>
            <w:rStyle w:val="Hyperlink"/>
          </w:rPr>
          <w:t>https://www.nist.gov/topics/internet-things-iot</w:t>
        </w:r>
      </w:hyperlink>
      <w:r>
        <w:t xml:space="preserve"> </w:t>
      </w:r>
    </w:p>
  </w:footnote>
  <w:footnote w:id="6">
    <w:p w14:paraId="786FF2BF" w14:textId="77777777" w:rsidR="00DB4735" w:rsidRDefault="00DB4735" w:rsidP="003E0F72">
      <w:pPr>
        <w:pStyle w:val="FootnoteText"/>
      </w:pPr>
      <w:r>
        <w:rPr>
          <w:rStyle w:val="FootnoteReference"/>
        </w:rPr>
        <w:footnoteRef/>
      </w:r>
      <w:r>
        <w:t xml:space="preserve"> </w:t>
      </w:r>
      <w:hyperlink r:id="rId6" w:history="1">
        <w:r w:rsidRPr="00547753">
          <w:rPr>
            <w:rStyle w:val="Hyperlink"/>
          </w:rPr>
          <w:t>https://csrc.nist.gov/publications/detail/sp/800-124/rev-1/final</w:t>
        </w:r>
      </w:hyperlink>
      <w:r>
        <w:t xml:space="preserve"> </w:t>
      </w:r>
    </w:p>
  </w:footnote>
  <w:footnote w:id="7">
    <w:p w14:paraId="79C08BC2" w14:textId="77777777" w:rsidR="00DB4735" w:rsidRDefault="00DB4735" w:rsidP="003E0F72">
      <w:pPr>
        <w:pStyle w:val="FootnoteText"/>
      </w:pPr>
      <w:r>
        <w:rPr>
          <w:rStyle w:val="FootnoteReference"/>
        </w:rPr>
        <w:footnoteRef/>
      </w:r>
      <w:r>
        <w:t xml:space="preserve"> </w:t>
      </w:r>
      <w:hyperlink r:id="rId7" w:history="1">
        <w:r w:rsidRPr="00547753">
          <w:rPr>
            <w:rStyle w:val="Hyperlink"/>
          </w:rPr>
          <w:t>https://www.nccoe.nist.gov/sites/default/files/library/mtc-nistir-8144-draft.pdf</w:t>
        </w:r>
      </w:hyperlink>
      <w:r>
        <w:t xml:space="preserve"> </w:t>
      </w:r>
    </w:p>
  </w:footnote>
  <w:footnote w:id="8">
    <w:p w14:paraId="6ABE93C6" w14:textId="77777777" w:rsidR="00DB4735" w:rsidRDefault="00DB4735" w:rsidP="003E0F72">
      <w:pPr>
        <w:pStyle w:val="FootnoteText"/>
      </w:pPr>
      <w:r>
        <w:rPr>
          <w:rStyle w:val="FootnoteReference"/>
        </w:rPr>
        <w:footnoteRef/>
      </w:r>
      <w:r>
        <w:t xml:space="preserve"> </w:t>
      </w:r>
      <w:hyperlink r:id="rId8" w:history="1">
        <w:r w:rsidRPr="00547753">
          <w:rPr>
            <w:rStyle w:val="Hyperlink"/>
          </w:rPr>
          <w:t>https://www.nccoe.nist.gov/projects/building-blocks/mobile-device-security/cloud-hybrid</w:t>
        </w:r>
      </w:hyperlink>
      <w:r>
        <w:t xml:space="preserve"> </w:t>
      </w:r>
    </w:p>
  </w:footnote>
  <w:footnote w:id="9">
    <w:p w14:paraId="3A1B84BE" w14:textId="77777777" w:rsidR="00DB4735" w:rsidRDefault="00DB4735" w:rsidP="00DB4735">
      <w:pPr>
        <w:pStyle w:val="FootnoteText"/>
      </w:pPr>
      <w:r>
        <w:rPr>
          <w:rStyle w:val="FootnoteReference"/>
        </w:rPr>
        <w:footnoteRef/>
      </w:r>
      <w:r>
        <w:t xml:space="preserve"> </w:t>
      </w:r>
      <w:hyperlink r:id="rId9" w:history="1">
        <w:r w:rsidRPr="00013AC9">
          <w:rPr>
            <w:rStyle w:val="Hyperlink"/>
          </w:rPr>
          <w:t>https://www.dhs.gov/science-and-technology/csd-resources</w:t>
        </w:r>
      </w:hyperlink>
      <w:r>
        <w:t xml:space="preserve"> </w:t>
      </w:r>
    </w:p>
  </w:footnote>
  <w:footnote w:id="10">
    <w:p w14:paraId="5CC184B8" w14:textId="77777777" w:rsidR="00DB4735" w:rsidRDefault="00DB4735" w:rsidP="00733414">
      <w:pPr>
        <w:pStyle w:val="FootnoteText"/>
      </w:pPr>
      <w:r>
        <w:rPr>
          <w:rStyle w:val="FootnoteReference"/>
        </w:rPr>
        <w:footnoteRef/>
      </w:r>
      <w:r>
        <w:t xml:space="preserve"> </w:t>
      </w:r>
      <w:hyperlink r:id="rId10" w:history="1">
        <w:r w:rsidRPr="00547753">
          <w:rPr>
            <w:rStyle w:val="Hyperlink"/>
          </w:rPr>
          <w:t>https://energy.sandia.gov/about/facilities/</w:t>
        </w:r>
      </w:hyperlink>
      <w:r>
        <w:t xml:space="preserve"> </w:t>
      </w:r>
    </w:p>
  </w:footnote>
  <w:footnote w:id="11">
    <w:p w14:paraId="18EE7E92" w14:textId="77777777" w:rsidR="00DB4735" w:rsidRDefault="00DB4735" w:rsidP="00733414">
      <w:pPr>
        <w:pStyle w:val="FootnoteText"/>
      </w:pPr>
      <w:r>
        <w:rPr>
          <w:rStyle w:val="FootnoteReference"/>
        </w:rPr>
        <w:footnoteRef/>
      </w:r>
      <w:r>
        <w:t xml:space="preserve"> </w:t>
      </w:r>
      <w:hyperlink r:id="rId11" w:history="1">
        <w:r w:rsidRPr="00547753">
          <w:rPr>
            <w:rStyle w:val="Hyperlink"/>
          </w:rPr>
          <w:t>https://www.sandia.gov/emulytics/</w:t>
        </w:r>
      </w:hyperlink>
      <w:r>
        <w:t xml:space="preserve"> </w:t>
      </w:r>
    </w:p>
  </w:footnote>
  <w:footnote w:id="12">
    <w:p w14:paraId="139F58B3" w14:textId="77777777" w:rsidR="00DB4735" w:rsidRDefault="00DB4735" w:rsidP="00733414">
      <w:pPr>
        <w:pStyle w:val="FootnoteText"/>
      </w:pPr>
      <w:r>
        <w:rPr>
          <w:rStyle w:val="FootnoteReference"/>
        </w:rPr>
        <w:footnoteRef/>
      </w:r>
      <w:r>
        <w:t xml:space="preserve"> </w:t>
      </w:r>
      <w:hyperlink r:id="rId12" w:history="1">
        <w:r w:rsidRPr="00547753">
          <w:rPr>
            <w:rStyle w:val="Hyperlink"/>
          </w:rPr>
          <w:t>https://www.sandia.gov/news/publications/lab_accomplishments/articles/2018/adv_science_and_tech.html</w:t>
        </w:r>
      </w:hyperlink>
      <w:r>
        <w:t xml:space="preserve"> </w:t>
      </w:r>
    </w:p>
  </w:footnote>
  <w:footnote w:id="13">
    <w:p w14:paraId="1683BAC3" w14:textId="77777777" w:rsidR="00DB4735" w:rsidRDefault="00DB4735" w:rsidP="00733414">
      <w:pPr>
        <w:pStyle w:val="FootnoteText"/>
      </w:pPr>
      <w:r>
        <w:rPr>
          <w:rStyle w:val="FootnoteReference"/>
        </w:rPr>
        <w:footnoteRef/>
      </w:r>
      <w:r>
        <w:t xml:space="preserve"> </w:t>
      </w:r>
      <w:hyperlink r:id="rId13" w:history="1">
        <w:r w:rsidRPr="00547753">
          <w:rPr>
            <w:rStyle w:val="Hyperlink"/>
          </w:rPr>
          <w:t>https://www.sandia.gov/news/publications/lab_accomplishments/_assets/documents/lab_accomplish-2010.pdf</w:t>
        </w:r>
      </w:hyperlink>
      <w:r>
        <w:t xml:space="preserve"> </w:t>
      </w:r>
    </w:p>
  </w:footnote>
  <w:footnote w:id="14">
    <w:p w14:paraId="16A6EF2B" w14:textId="77777777" w:rsidR="00DB4735" w:rsidRDefault="00DB4735" w:rsidP="008B1493">
      <w:pPr>
        <w:pStyle w:val="FootnoteText"/>
      </w:pPr>
      <w:r>
        <w:rPr>
          <w:rStyle w:val="FootnoteReference"/>
        </w:rPr>
        <w:footnoteRef/>
      </w:r>
      <w:r>
        <w:t xml:space="preserve"> </w:t>
      </w:r>
      <w:hyperlink r:id="rId14" w:history="1">
        <w:r w:rsidRPr="00547753">
          <w:rPr>
            <w:rStyle w:val="Hyperlink"/>
          </w:rPr>
          <w:t>https://www.cloudflare.com/learning/security/glossary/what-is-zero-trust/</w:t>
        </w:r>
      </w:hyperlink>
      <w:r>
        <w:t xml:space="preserve"> </w:t>
      </w:r>
    </w:p>
  </w:footnote>
  <w:footnote w:id="15">
    <w:p w14:paraId="46904888" w14:textId="77777777" w:rsidR="00DB4735" w:rsidRDefault="00DB4735" w:rsidP="008B1493">
      <w:pPr>
        <w:pStyle w:val="FootnoteText"/>
      </w:pPr>
      <w:r>
        <w:rPr>
          <w:rStyle w:val="FootnoteReference"/>
        </w:rPr>
        <w:footnoteRef/>
      </w:r>
      <w:r>
        <w:t xml:space="preserve"> </w:t>
      </w:r>
      <w:hyperlink r:id="rId15" w:history="1">
        <w:r w:rsidRPr="00547753">
          <w:rPr>
            <w:rStyle w:val="Hyperlink"/>
          </w:rPr>
          <w:t>https://www.carbonblack.com/resources/definitions/what-is-fileless-malware/</w:t>
        </w:r>
      </w:hyperlink>
      <w:r>
        <w:t xml:space="preserve"> </w:t>
      </w:r>
    </w:p>
  </w:footnote>
  <w:footnote w:id="16">
    <w:p w14:paraId="00FEDE29" w14:textId="77777777" w:rsidR="00DB4735" w:rsidRDefault="00DB4735" w:rsidP="00A956BA">
      <w:pPr>
        <w:pStyle w:val="FootnoteText"/>
      </w:pPr>
      <w:r>
        <w:rPr>
          <w:rStyle w:val="FootnoteReference"/>
        </w:rPr>
        <w:footnoteRef/>
      </w:r>
      <w:r>
        <w:t xml:space="preserve"> </w:t>
      </w:r>
      <w:hyperlink r:id="rId16"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4F347" w14:textId="77777777" w:rsidR="00E91CA6" w:rsidRPr="00E91CA6" w:rsidRDefault="00E91CA6" w:rsidP="00E91CA6">
    <w:pPr>
      <w:pStyle w:val="Header"/>
      <w:tabs>
        <w:tab w:val="left" w:pos="1080"/>
      </w:tabs>
      <w:ind w:left="2160"/>
      <w:jc w:val="right"/>
      <w:rPr>
        <w:rFonts w:ascii="Times New Roman" w:hAnsi="Times New Roman" w:cs="Times New Roman"/>
        <w:b/>
        <w:sz w:val="28"/>
      </w:rPr>
    </w:pPr>
    <w:r w:rsidRPr="00E91CA6">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03DB6713" wp14:editId="130DE8C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332"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77A34" w14:textId="77777777" w:rsidR="00E91CA6" w:rsidRDefault="00E91CA6" w:rsidP="00E91CA6"/>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DB671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">
              <v:rect id="Rectangle 2" o:spid="_x0000_s1027" style="position:absolute;left:8332;top:1838;width:368;height:96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2DC77A34" w14:textId="77777777" w:rsidR="00E91CA6" w:rsidRDefault="00E91CA6" w:rsidP="00E91CA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055C6BA" w14:textId="77777777" w:rsidR="00E91CA6" w:rsidRPr="00E91CA6" w:rsidRDefault="00E91CA6" w:rsidP="00E91CA6">
    <w:pPr>
      <w:pStyle w:val="Header"/>
      <w:tabs>
        <w:tab w:val="left" w:pos="-630"/>
        <w:tab w:val="right" w:pos="9810"/>
      </w:tabs>
      <w:ind w:left="1800"/>
      <w:jc w:val="right"/>
      <w:rPr>
        <w:rFonts w:ascii="Times New Roman" w:hAnsi="Times New Roman" w:cs="Times New Roman"/>
        <w:b/>
        <w:spacing w:val="20"/>
        <w:sz w:val="32"/>
        <w:szCs w:val="32"/>
      </w:rPr>
    </w:pPr>
    <w:r w:rsidRPr="00E91CA6">
      <w:rPr>
        <w:rFonts w:ascii="Times New Roman" w:hAnsi="Times New Roman" w:cs="Times New Roman"/>
        <w:b/>
        <w:spacing w:val="20"/>
        <w:sz w:val="32"/>
        <w:szCs w:val="32"/>
      </w:rPr>
      <w:t>North American Energy Standards Board</w:t>
    </w:r>
  </w:p>
  <w:p w14:paraId="25B5C8E7" w14:textId="77777777" w:rsidR="00E91CA6" w:rsidRPr="00E91CA6" w:rsidRDefault="00E91CA6" w:rsidP="00E91CA6">
    <w:pPr>
      <w:pStyle w:val="Header"/>
      <w:tabs>
        <w:tab w:val="left" w:pos="680"/>
        <w:tab w:val="right" w:pos="9810"/>
      </w:tabs>
      <w:spacing w:before="60"/>
      <w:ind w:left="1800"/>
      <w:jc w:val="right"/>
      <w:rPr>
        <w:rFonts w:ascii="Times New Roman" w:hAnsi="Times New Roman" w:cs="Times New Roman"/>
      </w:rPr>
    </w:pPr>
    <w:r w:rsidRPr="00E91CA6">
      <w:rPr>
        <w:rFonts w:ascii="Times New Roman" w:hAnsi="Times New Roman" w:cs="Times New Roman"/>
      </w:rP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91CA6">
              <w:rPr>
                <w:rFonts w:ascii="Times New Roman" w:hAnsi="Times New Roman" w:cs="Times New Roman"/>
              </w:rPr>
              <w:t>Suite</w:t>
            </w:r>
          </w:smartTag>
        </w:smartTag>
        <w:r w:rsidRPr="00E91CA6">
          <w:rPr>
            <w:rFonts w:ascii="Times New Roman" w:hAnsi="Times New Roman" w:cs="Times New Roman"/>
          </w:rPr>
          <w:t xml:space="preserve"> 1675</w:t>
        </w:r>
      </w:smartTag>
    </w:smartTag>
    <w:r w:rsidRPr="00E91CA6">
      <w:rPr>
        <w:rFonts w:ascii="Times New Roman" w:hAnsi="Times New Roman" w:cs="Times New Roman"/>
      </w:rPr>
      <w:t xml:space="preserve">, </w:t>
    </w:r>
    <w:smartTag w:uri="urn:schemas-microsoft-com:office:smarttags" w:element="place">
      <w:smartTag w:uri="urn:schemas-microsoft-com:office:smarttags" w:element="City">
        <w:r w:rsidRPr="00E91CA6">
          <w:rPr>
            <w:rFonts w:ascii="Times New Roman" w:hAnsi="Times New Roman" w:cs="Times New Roman"/>
          </w:rPr>
          <w:t>Houston</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Texas</w:t>
        </w:r>
      </w:smartTag>
      <w:r w:rsidRPr="00E91CA6">
        <w:rPr>
          <w:rFonts w:ascii="Times New Roman" w:hAnsi="Times New Roman" w:cs="Times New Roman"/>
        </w:rPr>
        <w:t xml:space="preserve"> </w:t>
      </w:r>
      <w:smartTag w:uri="urn:schemas-microsoft-com:office:smarttags" w:element="place">
        <w:r w:rsidRPr="00E91CA6">
          <w:rPr>
            <w:rFonts w:ascii="Times New Roman" w:hAnsi="Times New Roman" w:cs="Times New Roman"/>
          </w:rPr>
          <w:t>77002</w:t>
        </w:r>
      </w:smartTag>
    </w:smartTag>
  </w:p>
  <w:p w14:paraId="49E91F28" w14:textId="77777777" w:rsidR="00E91CA6" w:rsidRPr="00E91CA6" w:rsidRDefault="00E91CA6" w:rsidP="00E91CA6">
    <w:pPr>
      <w:pStyle w:val="Header"/>
      <w:ind w:left="1800"/>
      <w:jc w:val="right"/>
      <w:rPr>
        <w:rFonts w:ascii="Times New Roman" w:hAnsi="Times New Roman" w:cs="Times New Roman"/>
        <w:lang w:val="fr-FR"/>
      </w:rPr>
    </w:pPr>
    <w:r w:rsidRPr="00E91CA6">
      <w:rPr>
        <w:rFonts w:ascii="Times New Roman" w:hAnsi="Times New Roman" w:cs="Times New Roman"/>
        <w:lang w:val="fr-FR"/>
      </w:rPr>
      <w:t>Phone:  (713) 356-0060, Fax:  (713) 356-0067, E-mail: naesb@naesb.org</w:t>
    </w:r>
  </w:p>
  <w:p w14:paraId="0F5D2830" w14:textId="77777777" w:rsidR="00E91CA6" w:rsidRPr="00E91CA6" w:rsidRDefault="00E91CA6" w:rsidP="00E91CA6">
    <w:pPr>
      <w:pStyle w:val="Header"/>
      <w:pBdr>
        <w:bottom w:val="single" w:sz="18" w:space="1" w:color="auto"/>
      </w:pBdr>
      <w:ind w:left="1800" w:hanging="1800"/>
      <w:jc w:val="right"/>
      <w:rPr>
        <w:rStyle w:val="Hyperlink"/>
        <w:rFonts w:ascii="Times New Roman" w:hAnsi="Times New Roman" w:cs="Times New Roman"/>
      </w:rPr>
    </w:pPr>
    <w:r w:rsidRPr="00E91CA6">
      <w:rPr>
        <w:rFonts w:ascii="Times New Roman" w:hAnsi="Times New Roman" w:cs="Times New Roman"/>
        <w:lang w:val="fr-FR"/>
      </w:rPr>
      <w:tab/>
    </w:r>
    <w:r w:rsidRPr="00E91CA6">
      <w:rPr>
        <w:rFonts w:ascii="Times New Roman" w:hAnsi="Times New Roman" w:cs="Times New Roman"/>
      </w:rPr>
      <w:t xml:space="preserve">Home Page: </w:t>
    </w:r>
    <w:hyperlink r:id="rId3" w:history="1">
      <w:r w:rsidRPr="00E91CA6">
        <w:rPr>
          <w:rStyle w:val="Hyperlink"/>
          <w:rFonts w:ascii="Times New Roman" w:hAnsi="Times New Roman" w:cs="Times New Roman"/>
        </w:rPr>
        <w:t>www.naesb.org</w:t>
      </w:r>
    </w:hyperlink>
  </w:p>
  <w:p w14:paraId="7B2917B2" w14:textId="77777777" w:rsidR="00E91CA6" w:rsidRDefault="00E91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35"/>
    <w:rsid w:val="001027DD"/>
    <w:rsid w:val="001C09F9"/>
    <w:rsid w:val="001D4022"/>
    <w:rsid w:val="001E556C"/>
    <w:rsid w:val="003F1B74"/>
    <w:rsid w:val="00515387"/>
    <w:rsid w:val="00580FD4"/>
    <w:rsid w:val="007A2242"/>
    <w:rsid w:val="008A489F"/>
    <w:rsid w:val="0096551C"/>
    <w:rsid w:val="00CD1EDB"/>
    <w:rsid w:val="00DB4735"/>
    <w:rsid w:val="00E45E7F"/>
    <w:rsid w:val="00E9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C81714"/>
  <w15:chartTrackingRefBased/>
  <w15:docId w15:val="{9BC9008E-ECAD-4F05-9936-7FAC828E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735"/>
    <w:pPr>
      <w:spacing w:after="0" w:line="240" w:lineRule="auto"/>
      <w:ind w:left="720"/>
      <w:contextualSpacing/>
    </w:pPr>
    <w:rPr>
      <w:rFonts w:ascii="Times New Roman" w:hAnsi="Times New Roman" w:cs="Times New Roman"/>
      <w:sz w:val="20"/>
    </w:rPr>
  </w:style>
  <w:style w:type="character" w:styleId="Hyperlink">
    <w:name w:val="Hyperlink"/>
    <w:rsid w:val="00DB4735"/>
    <w:rPr>
      <w:u w:val="single"/>
    </w:rPr>
  </w:style>
  <w:style w:type="character" w:styleId="FootnoteReference">
    <w:name w:val="footnote reference"/>
    <w:uiPriority w:val="99"/>
    <w:rsid w:val="00DB4735"/>
    <w:rPr>
      <w:vertAlign w:val="superscript"/>
    </w:rPr>
  </w:style>
  <w:style w:type="paragraph" w:styleId="FootnoteText">
    <w:name w:val="footnote text"/>
    <w:link w:val="FootnoteTextChar"/>
    <w:uiPriority w:val="99"/>
    <w:rsid w:val="00DB473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character" w:customStyle="1" w:styleId="FootnoteTextChar">
    <w:name w:val="Footnote Text Char"/>
    <w:basedOn w:val="DefaultParagraphFont"/>
    <w:link w:val="FootnoteText"/>
    <w:uiPriority w:val="99"/>
    <w:rsid w:val="00DB4735"/>
    <w:rPr>
      <w:rFonts w:ascii="Times New Roman" w:eastAsia="Times New Roman" w:hAnsi="Times New Roman" w:cs="Times New Roman"/>
      <w:color w:val="000000"/>
      <w:sz w:val="20"/>
      <w:szCs w:val="20"/>
      <w:u w:color="000000"/>
      <w:bdr w:val="nil"/>
    </w:rPr>
  </w:style>
  <w:style w:type="paragraph" w:styleId="Header">
    <w:name w:val="header"/>
    <w:basedOn w:val="Normal"/>
    <w:link w:val="HeaderChar"/>
    <w:uiPriority w:val="99"/>
    <w:unhideWhenUsed/>
    <w:rsid w:val="00E91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6"/>
  </w:style>
  <w:style w:type="paragraph" w:styleId="Footer">
    <w:name w:val="footer"/>
    <w:basedOn w:val="Normal"/>
    <w:link w:val="FooterChar"/>
    <w:uiPriority w:val="99"/>
    <w:unhideWhenUsed/>
    <w:rsid w:val="00E9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86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coe.nist.gov/projects/building-blocks/mobile-device-security/cloud-hybrid" TargetMode="External"/><Relationship Id="rId13" Type="http://schemas.openxmlformats.org/officeDocument/2006/relationships/hyperlink" Target="https://www.sandia.gov/news/publications/lab_accomplishments/_assets/documents/lab_accomplish-2010.pdf" TargetMode="External"/><Relationship Id="rId3" Type="http://schemas.openxmlformats.org/officeDocument/2006/relationships/hyperlink" Target="https://tickets.ijc3.doe.gov" TargetMode="External"/><Relationship Id="rId7" Type="http://schemas.openxmlformats.org/officeDocument/2006/relationships/hyperlink" Target="https://www.nccoe.nist.gov/sites/default/files/library/mtc-nistir-8144-draft.pdf" TargetMode="External"/><Relationship Id="rId12" Type="http://schemas.openxmlformats.org/officeDocument/2006/relationships/hyperlink" Target="https://www.sandia.gov/news/publications/lab_accomplishments/articles/2018/adv_science_and_tech.html" TargetMode="External"/><Relationship Id="rId2" Type="http://schemas.openxmlformats.org/officeDocument/2006/relationships/hyperlink" Target="https://www.dhs.gov/how-do-i/report-cyber-incidents" TargetMode="External"/><Relationship Id="rId16" Type="http://schemas.openxmlformats.org/officeDocument/2006/relationships/hyperlink" Target="https://www.sans.org/security-resources/policies/application-security/pdf/web-application-security-policy" TargetMode="External"/><Relationship Id="rId1" Type="http://schemas.openxmlformats.org/officeDocument/2006/relationships/hyperlink" Target="https://www.us-cert.gov/forms/report" TargetMode="External"/><Relationship Id="rId6" Type="http://schemas.openxmlformats.org/officeDocument/2006/relationships/hyperlink" Target="https://csrc.nist.gov/publications/detail/sp/800-124/rev-1/final" TargetMode="External"/><Relationship Id="rId11" Type="http://schemas.openxmlformats.org/officeDocument/2006/relationships/hyperlink" Target="https://www.sandia.gov/emulytics/" TargetMode="External"/><Relationship Id="rId5" Type="http://schemas.openxmlformats.org/officeDocument/2006/relationships/hyperlink" Target="https://www.nist.gov/topics/internet-things-iot" TargetMode="External"/><Relationship Id="rId15" Type="http://schemas.openxmlformats.org/officeDocument/2006/relationships/hyperlink" Target="https://www.carbonblack.com/resources/definitions/what-is-fileless-malware/" TargetMode="External"/><Relationship Id="rId10" Type="http://schemas.openxmlformats.org/officeDocument/2006/relationships/hyperlink" Target="https://energy.sandia.gov/about/facilities/" TargetMode="External"/><Relationship Id="rId4" Type="http://schemas.openxmlformats.org/officeDocument/2006/relationships/hyperlink" Target="https://www.nist.gov/itl/nist-cloud-computing-related-publications" TargetMode="External"/><Relationship Id="rId9" Type="http://schemas.openxmlformats.org/officeDocument/2006/relationships/hyperlink" Target="https://www.dhs.gov/science-and-technology/csd-resources" TargetMode="External"/><Relationship Id="rId14" Type="http://schemas.openxmlformats.org/officeDocument/2006/relationships/hyperlink" Target="https://www.cloudflare.com/learning/security/glossary/what-is-zero-trus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736F0-1909-4E0B-89DD-38663C07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6</cp:revision>
  <dcterms:created xsi:type="dcterms:W3CDTF">2019-08-01T18:05:00Z</dcterms:created>
  <dcterms:modified xsi:type="dcterms:W3CDTF">2019-08-01T19:11:00Z</dcterms:modified>
</cp:coreProperties>
</file>