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823D" w14:textId="77777777" w:rsidR="001D4022" w:rsidRPr="001D4022" w:rsidRDefault="001D4022" w:rsidP="001D4022">
      <w:pPr>
        <w:tabs>
          <w:tab w:val="left" w:pos="900"/>
        </w:tabs>
        <w:spacing w:after="120"/>
        <w:ind w:left="907" w:hanging="907"/>
        <w:rPr>
          <w:rFonts w:ascii="Times New Roman" w:hAnsi="Times New Roman" w:cs="Times New Roman"/>
          <w:sz w:val="20"/>
          <w:szCs w:val="20"/>
        </w:rPr>
      </w:pPr>
      <w:r w:rsidRPr="001D4022">
        <w:rPr>
          <w:rFonts w:ascii="Times New Roman" w:hAnsi="Times New Roman" w:cs="Times New Roman"/>
          <w:b/>
          <w:sz w:val="20"/>
          <w:szCs w:val="20"/>
        </w:rPr>
        <w:t>TO:</w:t>
      </w:r>
      <w:r w:rsidRPr="001D4022">
        <w:rPr>
          <w:rFonts w:ascii="Times New Roman" w:hAnsi="Times New Roman" w:cs="Times New Roman"/>
          <w:sz w:val="20"/>
          <w:szCs w:val="20"/>
        </w:rPr>
        <w:tab/>
        <w:t>All Interested Parties</w:t>
      </w:r>
    </w:p>
    <w:p w14:paraId="36005645" w14:textId="1E68BA3E" w:rsidR="001D4022" w:rsidRPr="001D4022" w:rsidRDefault="001D4022" w:rsidP="001D4022">
      <w:pPr>
        <w:tabs>
          <w:tab w:val="left" w:pos="900"/>
        </w:tabs>
        <w:ind w:left="907" w:hanging="907"/>
        <w:jc w:val="both"/>
        <w:rPr>
          <w:rFonts w:ascii="Times New Roman" w:hAnsi="Times New Roman" w:cs="Times New Roman"/>
          <w:bCs/>
          <w:sz w:val="20"/>
          <w:szCs w:val="20"/>
        </w:rPr>
      </w:pPr>
      <w:r w:rsidRPr="001D4022">
        <w:rPr>
          <w:rFonts w:ascii="Times New Roman" w:hAnsi="Times New Roman" w:cs="Times New Roman"/>
          <w:b/>
          <w:bCs/>
          <w:sz w:val="20"/>
          <w:szCs w:val="20"/>
        </w:rPr>
        <w:t>FROM:</w:t>
      </w:r>
      <w:r w:rsidRPr="001D4022">
        <w:rPr>
          <w:rFonts w:ascii="Times New Roman" w:hAnsi="Times New Roman" w:cs="Times New Roman"/>
          <w:b/>
          <w:bCs/>
          <w:sz w:val="20"/>
          <w:szCs w:val="20"/>
        </w:rPr>
        <w:tab/>
      </w:r>
      <w:r w:rsidRPr="001D4022">
        <w:rPr>
          <w:rFonts w:ascii="Times New Roman" w:hAnsi="Times New Roman" w:cs="Times New Roman"/>
          <w:b/>
          <w:bCs/>
          <w:sz w:val="20"/>
          <w:szCs w:val="20"/>
        </w:rPr>
        <w:tab/>
      </w:r>
      <w:r w:rsidR="00186DED">
        <w:rPr>
          <w:rFonts w:ascii="Times New Roman" w:hAnsi="Times New Roman" w:cs="Times New Roman"/>
          <w:bCs/>
          <w:sz w:val="20"/>
          <w:szCs w:val="20"/>
        </w:rPr>
        <w:t>Board CIC Chair and Vice Chair</w:t>
      </w:r>
    </w:p>
    <w:p w14:paraId="45FA7580" w14:textId="2BFA641D" w:rsidR="001D4022" w:rsidRPr="001D4022" w:rsidRDefault="001D4022" w:rsidP="001D4022">
      <w:pPr>
        <w:pBdr>
          <w:bottom w:val="single" w:sz="12" w:space="6" w:color="auto"/>
        </w:pBdr>
        <w:tabs>
          <w:tab w:val="left" w:pos="900"/>
        </w:tabs>
        <w:spacing w:before="120"/>
        <w:ind w:left="900" w:hanging="900"/>
        <w:jc w:val="both"/>
        <w:rPr>
          <w:rFonts w:ascii="Times New Roman" w:hAnsi="Times New Roman" w:cs="Times New Roman"/>
          <w:bCs/>
          <w:sz w:val="20"/>
          <w:szCs w:val="20"/>
        </w:rPr>
      </w:pPr>
      <w:r w:rsidRPr="001D4022">
        <w:rPr>
          <w:rFonts w:ascii="Times New Roman" w:hAnsi="Times New Roman" w:cs="Times New Roman"/>
          <w:b/>
          <w:bCs/>
          <w:sz w:val="20"/>
          <w:szCs w:val="20"/>
        </w:rPr>
        <w:t>RE:</w:t>
      </w:r>
      <w:r w:rsidRPr="001D4022">
        <w:rPr>
          <w:rFonts w:ascii="Times New Roman" w:hAnsi="Times New Roman" w:cs="Times New Roman"/>
          <w:b/>
          <w:bCs/>
          <w:sz w:val="20"/>
          <w:szCs w:val="20"/>
        </w:rPr>
        <w:tab/>
        <w:t xml:space="preserve">Proposed Surety Assessment Standard Development Activities and Assignments Work Paper – </w:t>
      </w:r>
      <w:r>
        <w:rPr>
          <w:rFonts w:ascii="Times New Roman" w:hAnsi="Times New Roman" w:cs="Times New Roman"/>
          <w:b/>
          <w:bCs/>
          <w:sz w:val="20"/>
          <w:szCs w:val="20"/>
        </w:rPr>
        <w:t>Addendum Report</w:t>
      </w:r>
    </w:p>
    <w:p w14:paraId="4360CEAA" w14:textId="7EC8621A" w:rsidR="001D4022" w:rsidRPr="001D4022" w:rsidRDefault="001D4022" w:rsidP="001D4022">
      <w:pPr>
        <w:spacing w:before="120" w:after="120"/>
        <w:jc w:val="center"/>
        <w:rPr>
          <w:rFonts w:ascii="Times New Roman" w:hAnsi="Times New Roman" w:cs="Times New Roman"/>
          <w:sz w:val="24"/>
          <w:szCs w:val="24"/>
          <w:u w:val="single"/>
        </w:rPr>
      </w:pPr>
      <w:r w:rsidRPr="00515387">
        <w:rPr>
          <w:rFonts w:ascii="Times New Roman" w:hAnsi="Times New Roman" w:cs="Times New Roman"/>
          <w:sz w:val="24"/>
          <w:szCs w:val="24"/>
          <w:u w:val="single"/>
        </w:rPr>
        <w:t>Proposed Surety Assessment Standard Development Activities and Assignments – Addendum Report</w:t>
      </w:r>
      <w:r w:rsidR="004B2E03">
        <w:rPr>
          <w:rFonts w:ascii="Times New Roman" w:hAnsi="Times New Roman" w:cs="Times New Roman"/>
          <w:sz w:val="24"/>
          <w:szCs w:val="24"/>
          <w:u w:val="single"/>
        </w:rPr>
        <w:t xml:space="preserve"> – DRAFT</w:t>
      </w:r>
    </w:p>
    <w:p w14:paraId="59D8B471" w14:textId="526F03CC" w:rsidR="00186DED" w:rsidRDefault="00186DED" w:rsidP="00186DED">
      <w:pPr>
        <w:spacing w:before="120" w:after="120"/>
        <w:jc w:val="both"/>
        <w:rPr>
          <w:rFonts w:ascii="Times New Roman" w:hAnsi="Times New Roman" w:cs="Times New Roman"/>
          <w:sz w:val="20"/>
          <w:szCs w:val="20"/>
        </w:rPr>
      </w:pPr>
      <w:r w:rsidRPr="00186DED">
        <w:rPr>
          <w:rFonts w:ascii="Times New Roman" w:hAnsi="Times New Roman" w:cs="Times New Roman"/>
          <w:sz w:val="20"/>
          <w:szCs w:val="20"/>
        </w:rPr>
        <w:t xml:space="preserve">On July 22, 2019, Sandia National Laboratories provided NAESB with the final reports on the surety assessment: </w:t>
      </w:r>
      <w:bookmarkStart w:id="0" w:name="_Hlk15570768"/>
      <w:r w:rsidRPr="00186DED">
        <w:rPr>
          <w:rFonts w:ascii="Times New Roman" w:hAnsi="Times New Roman" w:cs="Times New Roman"/>
          <w:sz w:val="20"/>
          <w:szCs w:val="20"/>
        </w:rP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rsidRPr="00186DED">
        <w:rPr>
          <w:rFonts w:ascii="Times New Roman" w:hAnsi="Times New Roman" w:cs="Times New Roman"/>
          <w:sz w:val="20"/>
          <w:szCs w:val="20"/>
        </w:rP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rsidRPr="00186DED">
        <w:rPr>
          <w:rFonts w:ascii="Times New Roman" w:hAnsi="Times New Roman" w:cs="Times New Roman"/>
          <w:sz w:val="20"/>
          <w:szCs w:val="20"/>
        </w:rP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07F189C5" w14:textId="4B41BC4D" w:rsidR="00B67572" w:rsidRPr="00B67572" w:rsidRDefault="00B67572" w:rsidP="00186DED">
      <w:pPr>
        <w:spacing w:before="120" w:after="120"/>
        <w:jc w:val="both"/>
        <w:rPr>
          <w:rFonts w:ascii="Times New Roman" w:hAnsi="Times New Roman" w:cs="Times New Roman"/>
          <w:b/>
          <w:bCs/>
          <w:sz w:val="20"/>
          <w:szCs w:val="20"/>
          <w:u w:val="single"/>
        </w:rPr>
      </w:pPr>
      <w:r w:rsidRPr="00B67572">
        <w:rPr>
          <w:rFonts w:ascii="Times New Roman" w:hAnsi="Times New Roman" w:cs="Times New Roman"/>
          <w:b/>
          <w:bCs/>
          <w:sz w:val="20"/>
          <w:szCs w:val="20"/>
          <w:u w:val="single"/>
        </w:rPr>
        <w:t>Additional Findings and Considerations</w:t>
      </w:r>
    </w:p>
    <w:p w14:paraId="7EF12A3F" w14:textId="0743E32E" w:rsidR="004B2E03" w:rsidRDefault="00F94F0A"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This work paper </w:t>
      </w:r>
      <w:r w:rsidR="004B2E03">
        <w:rPr>
          <w:rFonts w:ascii="Times New Roman" w:hAnsi="Times New Roman" w:cs="Times New Roman"/>
          <w:sz w:val="20"/>
          <w:szCs w:val="20"/>
        </w:rPr>
        <w:t xml:space="preserve">identifies the additional findings and considerations </w:t>
      </w:r>
      <w:r>
        <w:rPr>
          <w:rFonts w:ascii="Times New Roman" w:hAnsi="Times New Roman" w:cs="Times New Roman"/>
          <w:sz w:val="20"/>
          <w:szCs w:val="20"/>
        </w:rPr>
        <w:t>identified by Sandia National Laboratories in th</w:t>
      </w:r>
      <w:r w:rsidR="00DA0B82">
        <w:rPr>
          <w:rFonts w:ascii="Times New Roman" w:hAnsi="Times New Roman" w:cs="Times New Roman"/>
          <w:sz w:val="20"/>
          <w:szCs w:val="20"/>
        </w:rPr>
        <w:t xml:space="preserve">e </w:t>
      </w:r>
      <w:r w:rsidR="001D4022" w:rsidRPr="00E91CA6">
        <w:rPr>
          <w:rFonts w:ascii="Times New Roman" w:hAnsi="Times New Roman" w:cs="Times New Roman"/>
          <w:sz w:val="20"/>
          <w:szCs w:val="20"/>
        </w:rPr>
        <w:t>Addendum Report: Threat-based Examination of NAESB Standards and Business Operations</w:t>
      </w:r>
      <w:r w:rsidR="001C09F9">
        <w:rPr>
          <w:rFonts w:ascii="Times New Roman" w:hAnsi="Times New Roman" w:cs="Times New Roman"/>
          <w:sz w:val="20"/>
          <w:szCs w:val="20"/>
        </w:rPr>
        <w:t xml:space="preserve"> and </w:t>
      </w:r>
      <w:r w:rsidR="004B2E03">
        <w:rPr>
          <w:rFonts w:ascii="Times New Roman" w:hAnsi="Times New Roman" w:cs="Times New Roman"/>
          <w:sz w:val="20"/>
          <w:szCs w:val="20"/>
        </w:rPr>
        <w:t xml:space="preserve">the related standard development activities identified by the Board Critical Infrastructure Committee that NAESB may want to consider in response.  As part of this report, Sandia National Laboratories identifies ten considerations </w:t>
      </w:r>
      <w:r w:rsidR="00883C93">
        <w:rPr>
          <w:rFonts w:ascii="Times New Roman" w:hAnsi="Times New Roman" w:cs="Times New Roman"/>
          <w:sz w:val="20"/>
          <w:szCs w:val="20"/>
        </w:rPr>
        <w:t xml:space="preserve">across </w:t>
      </w:r>
      <w:r w:rsidR="00B67572">
        <w:rPr>
          <w:rFonts w:ascii="Times New Roman" w:hAnsi="Times New Roman" w:cs="Times New Roman"/>
          <w:sz w:val="20"/>
          <w:szCs w:val="20"/>
        </w:rPr>
        <w:t>six</w:t>
      </w:r>
      <w:r w:rsidR="00883C93">
        <w:rPr>
          <w:rFonts w:ascii="Times New Roman" w:hAnsi="Times New Roman" w:cs="Times New Roman"/>
          <w:sz w:val="20"/>
          <w:szCs w:val="20"/>
        </w:rPr>
        <w:t xml:space="preserve"> different sections: Section 2.3.1 EDI Cyber Attack, Section 2.3.2 Ukrainian Power Grid Attack, Section 3.1 Trends in Oper</w:t>
      </w:r>
      <w:bookmarkStart w:id="2" w:name="_GoBack"/>
      <w:bookmarkEnd w:id="2"/>
      <w:r w:rsidR="00883C93">
        <w:rPr>
          <w:rFonts w:ascii="Times New Roman" w:hAnsi="Times New Roman" w:cs="Times New Roman"/>
          <w:sz w:val="20"/>
          <w:szCs w:val="20"/>
        </w:rPr>
        <w:t>ation, Section 3.2 Government and Industry Standards, Section 3.3 Emerging Technologies, and Section 3.4 Recommended Future Assessments.</w:t>
      </w:r>
    </w:p>
    <w:p w14:paraId="584EC911" w14:textId="7EF72D12" w:rsidR="00E91CA6" w:rsidRPr="00E91CA6" w:rsidRDefault="00B67572"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The table below captures the ten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160"/>
        <w:gridCol w:w="4410"/>
        <w:gridCol w:w="3240"/>
        <w:gridCol w:w="2425"/>
      </w:tblGrid>
      <w:tr w:rsidR="00DB4735" w:rsidRPr="00DB4735" w14:paraId="67C03E33" w14:textId="77777777" w:rsidTr="0096551C">
        <w:trPr>
          <w:tblHeader/>
        </w:trPr>
        <w:tc>
          <w:tcPr>
            <w:tcW w:w="715" w:type="dxa"/>
          </w:tcPr>
          <w:p w14:paraId="5B65DEC1" w14:textId="4786C407"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Issue</w:t>
            </w:r>
          </w:p>
        </w:tc>
        <w:tc>
          <w:tcPr>
            <w:tcW w:w="2160" w:type="dxa"/>
          </w:tcPr>
          <w:p w14:paraId="6E1F8175" w14:textId="181B1F2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Report Section (Page Number)</w:t>
            </w:r>
          </w:p>
        </w:tc>
        <w:tc>
          <w:tcPr>
            <w:tcW w:w="4410" w:type="dxa"/>
          </w:tcPr>
          <w:p w14:paraId="49B65333" w14:textId="2BBA6BD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Sandia Finding</w:t>
            </w:r>
            <w:r w:rsidR="00B67572">
              <w:rPr>
                <w:rFonts w:ascii="Times New Roman" w:hAnsi="Times New Roman" w:cs="Times New Roman"/>
                <w:b/>
                <w:sz w:val="20"/>
                <w:szCs w:val="20"/>
              </w:rPr>
              <w:t xml:space="preserve"> or Consideration</w:t>
            </w:r>
          </w:p>
        </w:tc>
        <w:tc>
          <w:tcPr>
            <w:tcW w:w="3240" w:type="dxa"/>
          </w:tcPr>
          <w:p w14:paraId="72A2A25E" w14:textId="4A4AA165" w:rsidR="00DB4735" w:rsidRPr="00DB4735" w:rsidRDefault="00186DED" w:rsidP="00E91CA6">
            <w:pPr>
              <w:spacing w:before="120" w:after="120"/>
              <w:rPr>
                <w:rFonts w:ascii="Times New Roman" w:hAnsi="Times New Roman" w:cs="Times New Roman"/>
                <w:sz w:val="20"/>
                <w:szCs w:val="20"/>
              </w:rPr>
            </w:pPr>
            <w:r>
              <w:rPr>
                <w:rFonts w:ascii="Times New Roman" w:hAnsi="Times New Roman" w:cs="Times New Roman"/>
                <w:b/>
                <w:sz w:val="20"/>
                <w:szCs w:val="20"/>
              </w:rPr>
              <w:t>Standards Considerations (if applicable)</w:t>
            </w:r>
          </w:p>
        </w:tc>
        <w:tc>
          <w:tcPr>
            <w:tcW w:w="2425" w:type="dxa"/>
          </w:tcPr>
          <w:p w14:paraId="643BDDFE" w14:textId="3BB981DF" w:rsidR="00DB4735" w:rsidRPr="00DB4735" w:rsidRDefault="00186DED" w:rsidP="00E91CA6">
            <w:pPr>
              <w:spacing w:before="120" w:after="120"/>
              <w:rPr>
                <w:rFonts w:ascii="Times New Roman" w:hAnsi="Times New Roman" w:cs="Times New Roman"/>
                <w:sz w:val="20"/>
                <w:szCs w:val="20"/>
              </w:rPr>
            </w:pPr>
            <w:r>
              <w:rPr>
                <w:rFonts w:ascii="Times New Roman" w:hAnsi="Times New Roman" w:cs="Times New Roman"/>
                <w:b/>
                <w:sz w:val="20"/>
                <w:szCs w:val="20"/>
              </w:rPr>
              <w:t>Assignment (if applicable)</w:t>
            </w:r>
          </w:p>
        </w:tc>
      </w:tr>
      <w:tr w:rsidR="00901BBA" w:rsidRPr="00DB4735" w14:paraId="492FACF0" w14:textId="77777777" w:rsidTr="0096551C">
        <w:tc>
          <w:tcPr>
            <w:tcW w:w="715" w:type="dxa"/>
          </w:tcPr>
          <w:p w14:paraId="551F1E11" w14:textId="66CEE817"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p>
        </w:tc>
        <w:tc>
          <w:tcPr>
            <w:tcW w:w="2160" w:type="dxa"/>
          </w:tcPr>
          <w:p w14:paraId="25D14F77" w14:textId="2AAAB3D1"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71C11D4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better understand the impact this kind of outage has on business operations and operating costs, the team has identified several metrics that could be used to help quantify the impact of these kinds of events:</w:t>
            </w:r>
          </w:p>
          <w:p w14:paraId="188C5FFF" w14:textId="77777777" w:rsidR="00901BBA" w:rsidRPr="00DB4735" w:rsidRDefault="00901BBA" w:rsidP="00901BBA">
            <w:pPr>
              <w:pStyle w:val="ListParagraph"/>
              <w:numPr>
                <w:ilvl w:val="0"/>
                <w:numId w:val="1"/>
              </w:numPr>
              <w:spacing w:before="120" w:after="120"/>
              <w:jc w:val="both"/>
              <w:rPr>
                <w:szCs w:val="20"/>
              </w:rPr>
            </w:pPr>
            <w:r w:rsidRPr="00DB4735">
              <w:rPr>
                <w:szCs w:val="20"/>
              </w:rPr>
              <w:t xml:space="preserve">Measure the number of daily transactions during normal operations and the number of </w:t>
            </w:r>
            <w:r w:rsidRPr="00DB4735">
              <w:rPr>
                <w:szCs w:val="20"/>
              </w:rPr>
              <w:lastRenderedPageBreak/>
              <w:t>daily transactions when using COOP procedures.</w:t>
            </w:r>
          </w:p>
          <w:p w14:paraId="5C4B6638"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hours worked by staff during normal operations and during COOP procedures. This should also include any time spent on recovering local systems or testing to ensure functionality of remote systems has been restored.</w:t>
            </w:r>
          </w:p>
          <w:p w14:paraId="539D4F1B"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any additional expenses incurred due to utilizing COOP procedures. For example, if food must be provided due to staff working additional hours; or expenses due to overtime wages.</w:t>
            </w:r>
          </w:p>
          <w:p w14:paraId="54F093B4"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errors made in transactions during normal operations, and the number of errors made when using COOP procedures.</w:t>
            </w:r>
          </w:p>
          <w:p w14:paraId="2C5F3283"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time the outage began, to the time full service is restored.</w:t>
            </w:r>
          </w:p>
          <w:p w14:paraId="5B21A86D" w14:textId="77777777" w:rsidR="00901BBA" w:rsidRPr="00DB4735" w:rsidRDefault="00901BBA" w:rsidP="00901BBA">
            <w:pPr>
              <w:pStyle w:val="ListParagraph"/>
              <w:numPr>
                <w:ilvl w:val="0"/>
                <w:numId w:val="2"/>
              </w:numPr>
              <w:spacing w:before="120" w:after="120"/>
              <w:jc w:val="both"/>
              <w:rPr>
                <w:szCs w:val="20"/>
              </w:rPr>
            </w:pPr>
            <w:r w:rsidRPr="00DB4735">
              <w:rPr>
                <w:szCs w:val="20"/>
              </w:rPr>
              <w:t>Measure the time and expense to perform a forensic analysis of affected systems to determine the root cause of the attack or failure.</w:t>
            </w:r>
          </w:p>
          <w:p w14:paraId="35473976" w14:textId="77777777" w:rsidR="00901BBA" w:rsidRPr="00DB4735" w:rsidRDefault="00901BBA" w:rsidP="00901BBA">
            <w:pPr>
              <w:pStyle w:val="ListParagraph"/>
              <w:numPr>
                <w:ilvl w:val="0"/>
                <w:numId w:val="2"/>
              </w:numPr>
              <w:spacing w:before="120" w:after="120"/>
              <w:jc w:val="both"/>
              <w:rPr>
                <w:szCs w:val="20"/>
              </w:rPr>
            </w:pPr>
            <w:r w:rsidRPr="00DB4735">
              <w:rPr>
                <w:szCs w:val="20"/>
              </w:rPr>
              <w:t>Count the number of organizations affected by the outage.</w:t>
            </w:r>
          </w:p>
          <w:p w14:paraId="69E2412C" w14:textId="087431DF"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Following a major outage, these metrics could be reported to NAESB to tabulate the total cost and impact of the event. This data could then be used in life-cycle decisions, vendor selection, analysis of continuity of operations/disaster recovery planning, </w:t>
            </w:r>
            <w:r w:rsidRPr="00DB4735">
              <w:rPr>
                <w:rFonts w:ascii="Times New Roman" w:hAnsi="Times New Roman" w:cs="Times New Roman"/>
                <w:sz w:val="20"/>
                <w:szCs w:val="20"/>
              </w:rPr>
              <w:lastRenderedPageBreak/>
              <w:t>and to determine if NAESB standards need to be upgraded or revised.</w:t>
            </w:r>
          </w:p>
        </w:tc>
        <w:tc>
          <w:tcPr>
            <w:tcW w:w="3240" w:type="dxa"/>
          </w:tcPr>
          <w:p w14:paraId="32D8EC03" w14:textId="77777777" w:rsidR="00186DED" w:rsidRPr="00186DED" w:rsidRDefault="00186DED" w:rsidP="00186DED">
            <w:pPr>
              <w:spacing w:before="120" w:after="120"/>
              <w:rPr>
                <w:rFonts w:ascii="Times New Roman" w:hAnsi="Times New Roman" w:cs="Times New Roman"/>
                <w:color w:val="FF0000"/>
                <w:sz w:val="20"/>
                <w:szCs w:val="20"/>
              </w:rPr>
            </w:pPr>
            <w:r w:rsidRPr="00186DED">
              <w:rPr>
                <w:rFonts w:ascii="Times New Roman" w:hAnsi="Times New Roman" w:cs="Times New Roman"/>
                <w:color w:val="FF0000"/>
                <w:sz w:val="20"/>
                <w:szCs w:val="20"/>
              </w:rPr>
              <w:lastRenderedPageBreak/>
              <w:t>This is not currently a requirement of the NAESB standards nor is this a function currently provided by NAESB</w:t>
            </w:r>
          </w:p>
          <w:p w14:paraId="46E30E79" w14:textId="77777777" w:rsidR="00186DED" w:rsidRPr="00186DED" w:rsidRDefault="00186DED" w:rsidP="00186DED">
            <w:pPr>
              <w:spacing w:before="120" w:after="120"/>
              <w:rPr>
                <w:rFonts w:ascii="Times New Roman" w:hAnsi="Times New Roman" w:cs="Times New Roman"/>
                <w:color w:val="FF0000"/>
                <w:sz w:val="20"/>
                <w:szCs w:val="20"/>
              </w:rPr>
            </w:pPr>
          </w:p>
          <w:p w14:paraId="0FAF1A91" w14:textId="77777777" w:rsidR="00186DED" w:rsidRPr="00186DED" w:rsidRDefault="00186DED" w:rsidP="00186DED">
            <w:pPr>
              <w:spacing w:before="120" w:after="120"/>
              <w:rPr>
                <w:rFonts w:ascii="Times New Roman" w:hAnsi="Times New Roman" w:cs="Times New Roman"/>
                <w:color w:val="FF0000"/>
                <w:sz w:val="20"/>
                <w:szCs w:val="20"/>
              </w:rPr>
            </w:pPr>
            <w:r w:rsidRPr="00186DED">
              <w:rPr>
                <w:rFonts w:ascii="Times New Roman" w:hAnsi="Times New Roman" w:cs="Times New Roman"/>
                <w:color w:val="FF0000"/>
                <w:sz w:val="20"/>
                <w:szCs w:val="20"/>
              </w:rPr>
              <w:lastRenderedPageBreak/>
              <w:t>Industry may want to consider if there is a benefit to individual entities tracking information identified by the metrics.</w:t>
            </w:r>
          </w:p>
          <w:p w14:paraId="27EB36FD" w14:textId="51A49AF1" w:rsidR="00901BBA" w:rsidRPr="00901BBA" w:rsidRDefault="00901BBA" w:rsidP="00901BBA">
            <w:pPr>
              <w:spacing w:before="120" w:after="120"/>
              <w:rPr>
                <w:rFonts w:ascii="Times New Roman" w:hAnsi="Times New Roman" w:cs="Times New Roman"/>
                <w:sz w:val="20"/>
                <w:szCs w:val="20"/>
              </w:rPr>
            </w:pPr>
          </w:p>
        </w:tc>
        <w:tc>
          <w:tcPr>
            <w:tcW w:w="2425" w:type="dxa"/>
          </w:tcPr>
          <w:p w14:paraId="05A94102" w14:textId="314D1154" w:rsidR="00901BBA" w:rsidRPr="00DB4735" w:rsidRDefault="00901BBA" w:rsidP="00901BBA">
            <w:pPr>
              <w:spacing w:before="120" w:after="120"/>
              <w:rPr>
                <w:rFonts w:ascii="Times New Roman" w:hAnsi="Times New Roman" w:cs="Times New Roman"/>
                <w:sz w:val="20"/>
                <w:szCs w:val="20"/>
              </w:rPr>
            </w:pPr>
            <w:r w:rsidRPr="00901BBA">
              <w:rPr>
                <w:rFonts w:ascii="Times New Roman" w:hAnsi="Times New Roman" w:cs="Times New Roman"/>
                <w:color w:val="FF0000"/>
                <w:sz w:val="20"/>
                <w:szCs w:val="20"/>
              </w:rPr>
              <w:lastRenderedPageBreak/>
              <w:t>N/A</w:t>
            </w:r>
          </w:p>
        </w:tc>
      </w:tr>
      <w:tr w:rsidR="00901BBA" w:rsidRPr="00DB4735" w14:paraId="143D42C3" w14:textId="77777777" w:rsidTr="0096551C">
        <w:tc>
          <w:tcPr>
            <w:tcW w:w="715" w:type="dxa"/>
          </w:tcPr>
          <w:p w14:paraId="450A4A67" w14:textId="74F82B08"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2.</w:t>
            </w:r>
          </w:p>
        </w:tc>
        <w:tc>
          <w:tcPr>
            <w:tcW w:w="2160" w:type="dxa"/>
          </w:tcPr>
          <w:p w14:paraId="36D53BBE" w14:textId="65538872"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1D36B332" w14:textId="77777777" w:rsidR="00901BBA" w:rsidRPr="00DB4735" w:rsidRDefault="00901BBA" w:rsidP="00901BBA">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Pr="00DB4735">
              <w:rPr>
                <w:rFonts w:ascii="Times New Roman" w:hAnsi="Times New Roman" w:cs="Times New Roman"/>
                <w:sz w:val="20"/>
                <w:szCs w:val="20"/>
              </w:rPr>
              <w:t>cyber attack</w:t>
            </w:r>
            <w:proofErr w:type="spellEnd"/>
            <w:r w:rsidRPr="00DB4735">
              <w:rPr>
                <w:rFonts w:ascii="Times New Roman" w:hAnsi="Times New Roman" w:cs="Times New Roman"/>
                <w:sz w:val="20"/>
                <w:szCs w:val="20"/>
              </w:rPr>
              <w:t xml:space="preserve"> incident reporting.  In addition to NAESB partner organizations above there exists a large resource of </w:t>
            </w:r>
            <w:r w:rsidRPr="00DB4735">
              <w:rPr>
                <w:rFonts w:ascii="Times New Roman" w:hAnsi="Times New Roman" w:cs="Times New Roman"/>
                <w:color w:val="000000" w:themeColor="text1"/>
                <w:sz w:val="20"/>
                <w:szCs w:val="20"/>
              </w:rPr>
              <w:t xml:space="preserve">existing federal organizations with capability and responsibility to help in cyber security attacks against critical infrastructure. </w:t>
            </w:r>
            <w:r w:rsidRPr="00DB4735">
              <w:rPr>
                <w:rFonts w:ascii="Times New Roman" w:hAnsi="Times New Roman" w:cs="Times New Roman"/>
                <w:i/>
                <w:color w:val="000000" w:themeColor="text1"/>
                <w:sz w:val="20"/>
                <w:szCs w:val="20"/>
              </w:rPr>
              <w:t>Appendix C describes those organizations, their roles and responsibilities, capabilities and contact mechanisms</w:t>
            </w:r>
            <w:r w:rsidRPr="00DB4735">
              <w:rPr>
                <w:rFonts w:ascii="Times New Roman" w:hAnsi="Times New Roman" w:cs="Times New Roman"/>
                <w:color w:val="000000" w:themeColor="text1"/>
                <w:sz w:val="20"/>
                <w:szCs w:val="20"/>
              </w:rPr>
              <w:t>.</w:t>
            </w:r>
          </w:p>
          <w:p w14:paraId="2D61B833" w14:textId="56854155"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07D1D69F" w14:textId="71866596" w:rsidR="00D50D37" w:rsidRPr="00D50D37" w:rsidRDefault="00D50D37" w:rsidP="00D50D37">
            <w:pPr>
              <w:spacing w:before="120" w:after="120"/>
              <w:rPr>
                <w:rFonts w:ascii="Times New Roman" w:hAnsi="Times New Roman" w:cs="Times New Roman"/>
                <w:color w:val="FF0000"/>
                <w:sz w:val="20"/>
                <w:szCs w:val="20"/>
              </w:rPr>
            </w:pPr>
            <w:r w:rsidRPr="00D50D37">
              <w:rPr>
                <w:rFonts w:ascii="Times New Roman" w:hAnsi="Times New Roman" w:cs="Times New Roman"/>
                <w:color w:val="FF0000"/>
                <w:sz w:val="20"/>
                <w:szCs w:val="20"/>
              </w:rPr>
              <w:t>This is not currently a requirement of the NAESB standards nor is this a function currently provided by NAESB</w:t>
            </w:r>
            <w:r>
              <w:rPr>
                <w:rFonts w:ascii="Times New Roman" w:hAnsi="Times New Roman" w:cs="Times New Roman"/>
                <w:color w:val="FF0000"/>
                <w:sz w:val="20"/>
                <w:szCs w:val="20"/>
              </w:rPr>
              <w:t>.</w:t>
            </w:r>
          </w:p>
          <w:p w14:paraId="18E43DA5" w14:textId="35358F8A" w:rsidR="00901BBA" w:rsidRPr="00DB4735" w:rsidRDefault="00D50D37" w:rsidP="00901BBA">
            <w:pPr>
              <w:spacing w:before="120" w:after="120"/>
              <w:rPr>
                <w:rFonts w:ascii="Times New Roman" w:hAnsi="Times New Roman" w:cs="Times New Roman"/>
                <w:sz w:val="20"/>
                <w:szCs w:val="20"/>
              </w:rPr>
            </w:pPr>
            <w:r>
              <w:rPr>
                <w:rFonts w:ascii="Times New Roman" w:hAnsi="Times New Roman" w:cs="Times New Roman"/>
                <w:color w:val="FF0000"/>
                <w:sz w:val="20"/>
                <w:szCs w:val="20"/>
              </w:rPr>
              <w:t>Coordination with other organizations is a function of the NAESB Board of Directors</w:t>
            </w:r>
          </w:p>
        </w:tc>
        <w:tc>
          <w:tcPr>
            <w:tcW w:w="2425" w:type="dxa"/>
          </w:tcPr>
          <w:p w14:paraId="071D9080" w14:textId="350B69A4" w:rsidR="00901BBA" w:rsidRPr="00DB4735" w:rsidRDefault="00901BBA" w:rsidP="00901BBA">
            <w:pPr>
              <w:spacing w:before="120" w:after="120"/>
              <w:rPr>
                <w:rFonts w:ascii="Times New Roman" w:hAnsi="Times New Roman" w:cs="Times New Roman"/>
                <w:sz w:val="20"/>
                <w:szCs w:val="20"/>
              </w:rPr>
            </w:pPr>
            <w:r w:rsidRPr="00901BBA">
              <w:rPr>
                <w:rFonts w:ascii="Times New Roman" w:hAnsi="Times New Roman" w:cs="Times New Roman"/>
                <w:color w:val="FF0000"/>
                <w:sz w:val="20"/>
                <w:szCs w:val="20"/>
              </w:rPr>
              <w:t>N/A</w:t>
            </w:r>
          </w:p>
        </w:tc>
      </w:tr>
      <w:tr w:rsidR="00901BBA" w:rsidRPr="00DB4735" w14:paraId="3F722C42" w14:textId="77777777" w:rsidTr="0096551C">
        <w:tc>
          <w:tcPr>
            <w:tcW w:w="715" w:type="dxa"/>
          </w:tcPr>
          <w:p w14:paraId="0D36F887" w14:textId="2D1C9CA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3.</w:t>
            </w:r>
          </w:p>
        </w:tc>
        <w:tc>
          <w:tcPr>
            <w:tcW w:w="2160" w:type="dxa"/>
          </w:tcPr>
          <w:p w14:paraId="10E903AD" w14:textId="62F8F85E"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6B52BDF6"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604E77E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lastRenderedPageBreak/>
              <w:t>These reports can take the shape of a wizard driven reporting mechanism that populates a database such as the US CERT</w:t>
            </w:r>
            <w:r w:rsidRPr="00DB4735">
              <w:rPr>
                <w:rStyle w:val="FootnoteReference"/>
                <w:rFonts w:ascii="Times New Roman" w:hAnsi="Times New Roman" w:cs="Times New Roman"/>
                <w:sz w:val="20"/>
                <w:szCs w:val="20"/>
              </w:rPr>
              <w:footnoteReference w:id="1"/>
            </w:r>
            <w:r w:rsidRPr="00DB4735">
              <w:rPr>
                <w:rFonts w:ascii="Times New Roman" w:hAnsi="Times New Roman" w:cs="Times New Roman"/>
                <w:sz w:val="20"/>
                <w:szCs w:val="20"/>
              </w:rPr>
              <w:t>, DHS</w:t>
            </w:r>
            <w:r w:rsidRPr="00DB4735">
              <w:rPr>
                <w:rStyle w:val="FootnoteReference"/>
                <w:rFonts w:ascii="Times New Roman" w:hAnsi="Times New Roman" w:cs="Times New Roman"/>
                <w:sz w:val="20"/>
                <w:szCs w:val="20"/>
              </w:rPr>
              <w:footnoteReference w:id="2"/>
            </w:r>
            <w:r w:rsidRPr="00DB4735">
              <w:rPr>
                <w:rFonts w:ascii="Times New Roman" w:hAnsi="Times New Roman" w:cs="Times New Roman"/>
                <w:sz w:val="20"/>
                <w:szCs w:val="20"/>
              </w:rPr>
              <w:t xml:space="preserve"> and DOE</w:t>
            </w:r>
            <w:r w:rsidRPr="00DB4735">
              <w:rPr>
                <w:rStyle w:val="FootnoteReference"/>
                <w:rFonts w:ascii="Times New Roman" w:hAnsi="Times New Roman" w:cs="Times New Roman"/>
                <w:sz w:val="20"/>
                <w:szCs w:val="20"/>
              </w:rPr>
              <w:footnoteReference w:id="3"/>
            </w:r>
            <w:r w:rsidRPr="00DB4735">
              <w:rPr>
                <w:rFonts w:ascii="Times New Roman" w:hAnsi="Times New Roman" w:cs="Times New Roman"/>
                <w:sz w:val="20"/>
                <w:szCs w:val="20"/>
              </w:rPr>
              <w:t xml:space="preserve"> incident report portals or develop your own document using guidance from NIST Computer Security Incident Handling Guide.</w:t>
            </w:r>
          </w:p>
          <w:p w14:paraId="563EB2E7" w14:textId="3D59FA22"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6F8A3515" w14:textId="77777777" w:rsidR="00D50D37" w:rsidRPr="00D50D37" w:rsidRDefault="00D50D37" w:rsidP="00D50D37">
            <w:pPr>
              <w:spacing w:before="120" w:after="120"/>
              <w:rPr>
                <w:rFonts w:ascii="Times New Roman" w:hAnsi="Times New Roman" w:cs="Times New Roman"/>
                <w:color w:val="FF0000"/>
                <w:sz w:val="20"/>
                <w:szCs w:val="20"/>
              </w:rPr>
            </w:pPr>
            <w:r w:rsidRPr="00D50D37">
              <w:rPr>
                <w:rFonts w:ascii="Times New Roman" w:hAnsi="Times New Roman" w:cs="Times New Roman"/>
                <w:color w:val="FF0000"/>
                <w:sz w:val="20"/>
                <w:szCs w:val="20"/>
              </w:rPr>
              <w:lastRenderedPageBreak/>
              <w:t>This is not currently a requirement of the NAESB standards nor is this a function currently provided by NAESB</w:t>
            </w:r>
            <w:r>
              <w:rPr>
                <w:rFonts w:ascii="Times New Roman" w:hAnsi="Times New Roman" w:cs="Times New Roman"/>
                <w:color w:val="FF0000"/>
                <w:sz w:val="20"/>
                <w:szCs w:val="20"/>
              </w:rPr>
              <w:t>.</w:t>
            </w:r>
          </w:p>
          <w:p w14:paraId="3E622474" w14:textId="242365DC" w:rsidR="00901BBA" w:rsidRPr="00DB4735" w:rsidRDefault="00D50D37" w:rsidP="00D50D37">
            <w:pPr>
              <w:spacing w:before="120" w:after="120"/>
              <w:rPr>
                <w:rFonts w:ascii="Times New Roman" w:hAnsi="Times New Roman" w:cs="Times New Roman"/>
                <w:sz w:val="20"/>
                <w:szCs w:val="20"/>
              </w:rPr>
            </w:pPr>
            <w:r>
              <w:rPr>
                <w:rFonts w:ascii="Times New Roman" w:hAnsi="Times New Roman" w:cs="Times New Roman"/>
                <w:color w:val="FF0000"/>
                <w:sz w:val="20"/>
                <w:szCs w:val="20"/>
              </w:rPr>
              <w:t>Coordination with other organizations is a function of the NAESB Board of Directors</w:t>
            </w:r>
          </w:p>
        </w:tc>
        <w:tc>
          <w:tcPr>
            <w:tcW w:w="2425" w:type="dxa"/>
          </w:tcPr>
          <w:p w14:paraId="561D5C7E" w14:textId="73C3FDC9" w:rsidR="00901BBA" w:rsidRPr="00901BBA" w:rsidRDefault="00901BBA"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N/A</w:t>
            </w:r>
          </w:p>
        </w:tc>
      </w:tr>
      <w:tr w:rsidR="00901BBA" w:rsidRPr="00DB4735" w14:paraId="1DC00028" w14:textId="77777777" w:rsidTr="0096551C">
        <w:tc>
          <w:tcPr>
            <w:tcW w:w="715" w:type="dxa"/>
          </w:tcPr>
          <w:p w14:paraId="1A18BBB1" w14:textId="13ABC8CC"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4.</w:t>
            </w:r>
          </w:p>
        </w:tc>
        <w:tc>
          <w:tcPr>
            <w:tcW w:w="2160" w:type="dxa"/>
          </w:tcPr>
          <w:p w14:paraId="41E5355D" w14:textId="5C10F360"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113D163E" w14:textId="1BA772C1"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rFonts w:ascii="Times New Roman" w:hAnsi="Times New Roman" w:cs="Times New Roman"/>
                <w:i/>
                <w:sz w:val="20"/>
                <w:szCs w:val="20"/>
              </w:rPr>
              <w:t>an individual basis</w:t>
            </w:r>
            <w:r w:rsidRPr="00DB4735">
              <w:rPr>
                <w:rFonts w:ascii="Times New Roman" w:hAnsi="Times New Roman" w:cs="Times New Roman"/>
                <w:sz w:val="20"/>
                <w:szCs w:val="20"/>
              </w:rPr>
              <w:t>. Simply authenticating the nodes involved is not acceptable.</w:t>
            </w:r>
          </w:p>
        </w:tc>
        <w:tc>
          <w:tcPr>
            <w:tcW w:w="3240" w:type="dxa"/>
          </w:tcPr>
          <w:p w14:paraId="6947E812" w14:textId="7C59EE3F" w:rsidR="009411B8" w:rsidRDefault="009411B8" w:rsidP="004F5977">
            <w:pPr>
              <w:spacing w:before="120" w:after="120"/>
              <w:rPr>
                <w:rFonts w:ascii="Times New Roman" w:hAnsi="Times New Roman" w:cs="Times New Roman"/>
                <w:color w:val="FF0000"/>
                <w:sz w:val="20"/>
                <w:szCs w:val="20"/>
              </w:rPr>
            </w:pPr>
            <w:r w:rsidRPr="009411B8">
              <w:rPr>
                <w:rFonts w:ascii="Times New Roman" w:hAnsi="Times New Roman" w:cs="Times New Roman"/>
                <w:color w:val="FF0000"/>
                <w:sz w:val="20"/>
                <w:szCs w:val="20"/>
              </w:rPr>
              <w:t>The WGQ EDM Manual requires HTTP Basic Authentication or similar logon/password mechanisms for customer activity websites (WGQ 4.3.60) and accessing Interactive Flat File EDM (WGQ 4.3.84)</w:t>
            </w:r>
          </w:p>
          <w:p w14:paraId="3436C820" w14:textId="17E08DED" w:rsidR="00863634" w:rsidRPr="00863634" w:rsidRDefault="00863634" w:rsidP="00863634">
            <w:pPr>
              <w:spacing w:before="120" w:after="120"/>
              <w:rPr>
                <w:rFonts w:ascii="Times New Roman" w:hAnsi="Times New Roman" w:cs="Times New Roman"/>
                <w:color w:val="FF0000"/>
                <w:sz w:val="20"/>
                <w:szCs w:val="20"/>
              </w:rPr>
            </w:pPr>
            <w:r w:rsidRPr="00863634">
              <w:rPr>
                <w:rFonts w:ascii="Times New Roman" w:hAnsi="Times New Roman" w:cs="Times New Roman"/>
                <w:color w:val="FF0000"/>
                <w:sz w:val="20"/>
                <w:szCs w:val="20"/>
              </w:rPr>
              <w:t>The RMQ EDM Manual relies on the RMQ IET Standards for security principles</w:t>
            </w:r>
            <w:r>
              <w:rPr>
                <w:rFonts w:ascii="Times New Roman" w:hAnsi="Times New Roman" w:cs="Times New Roman"/>
                <w:color w:val="FF0000"/>
                <w:sz w:val="20"/>
                <w:szCs w:val="20"/>
              </w:rPr>
              <w:t>, including authentication</w:t>
            </w:r>
            <w:r w:rsidRPr="00863634">
              <w:rPr>
                <w:rFonts w:ascii="Times New Roman" w:hAnsi="Times New Roman" w:cs="Times New Roman"/>
                <w:color w:val="FF0000"/>
                <w:sz w:val="20"/>
                <w:szCs w:val="20"/>
              </w:rPr>
              <w:t>. (RXQ.5.6 Technical Implementation)</w:t>
            </w:r>
          </w:p>
          <w:p w14:paraId="2115EB4A" w14:textId="4CD11B4F" w:rsidR="009411B8" w:rsidRPr="009411B8" w:rsidRDefault="00863634"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The WGQ/RMQ IET Standards require basic au</w:t>
            </w:r>
            <w:r w:rsidR="00B56DD5">
              <w:rPr>
                <w:rFonts w:ascii="Times New Roman" w:hAnsi="Times New Roman" w:cs="Times New Roman"/>
                <w:color w:val="FF0000"/>
                <w:sz w:val="20"/>
                <w:szCs w:val="20"/>
              </w:rPr>
              <w:t xml:space="preserve">thentication (WGQ.10.3.16 and RMQ.7.3.16) with the Security Sections (WGQ </w:t>
            </w:r>
            <w:r w:rsidR="00B56DD5">
              <w:rPr>
                <w:rFonts w:ascii="Times New Roman" w:hAnsi="Times New Roman" w:cs="Times New Roman"/>
                <w:color w:val="FF0000"/>
                <w:sz w:val="20"/>
                <w:szCs w:val="20"/>
              </w:rPr>
              <w:lastRenderedPageBreak/>
              <w:t xml:space="preserve">Page 20 and RMQ Page 14) specifically </w:t>
            </w:r>
            <w:r w:rsidR="003D1136">
              <w:rPr>
                <w:rFonts w:ascii="Times New Roman" w:hAnsi="Times New Roman" w:cs="Times New Roman"/>
                <w:color w:val="FF0000"/>
                <w:sz w:val="20"/>
                <w:szCs w:val="20"/>
              </w:rPr>
              <w:t>requiring 128-bit SSL-protected usernames and passwords to establish authentication and list optional techniques such as firewall security for further authentication.</w:t>
            </w:r>
          </w:p>
          <w:p w14:paraId="368AD662" w14:textId="6F9FA5B0" w:rsidR="004F5977" w:rsidRDefault="004F5977"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The WEQ-012.1.9 allows for the issuance of digital certificates for (1) individual subscribers; (2) role; (3) device; and (4) application</w:t>
            </w:r>
          </w:p>
          <w:p w14:paraId="5AA44C58" w14:textId="5EF93139" w:rsidR="004F5977" w:rsidRDefault="004F5977"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WEQ-002-3.1(b) requires each</w:t>
            </w:r>
            <w:r w:rsidR="00D51BCB">
              <w:rPr>
                <w:rFonts w:ascii="Times New Roman" w:hAnsi="Times New Roman" w:cs="Times New Roman"/>
                <w:color w:val="FF0000"/>
                <w:sz w:val="20"/>
                <w:szCs w:val="20"/>
              </w:rPr>
              <w:t xml:space="preserve"> user requesting access to OASIS to provide a digital certificate issued by an ACA that will be used by the user in accessing OASIS</w:t>
            </w:r>
          </w:p>
          <w:p w14:paraId="18E234B2" w14:textId="33EB0020" w:rsidR="00D51BCB" w:rsidRDefault="00D51BCB" w:rsidP="004F5977">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WEQ-004-2.3 states that e-Tag communications</w:t>
            </w:r>
            <w:r w:rsidR="006D2928">
              <w:rPr>
                <w:rFonts w:ascii="Times New Roman" w:hAnsi="Times New Roman" w:cs="Times New Roman"/>
                <w:color w:val="FF0000"/>
                <w:sz w:val="20"/>
                <w:szCs w:val="20"/>
              </w:rPr>
              <w:t xml:space="preserve"> and services implemented using the e-Tag Spec shall be secured using a certificate issued by an ACA</w:t>
            </w:r>
          </w:p>
          <w:p w14:paraId="6F8AF9C0" w14:textId="1408DDF2" w:rsidR="00901BBA" w:rsidRPr="00B56DD5" w:rsidRDefault="006D2928"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WEQ-022-1.2 requires a certificate issued by an ACA for each user accessing the NAESB EIR</w:t>
            </w:r>
          </w:p>
        </w:tc>
        <w:tc>
          <w:tcPr>
            <w:tcW w:w="2425" w:type="dxa"/>
          </w:tcPr>
          <w:p w14:paraId="1C5C58D1" w14:textId="4EB47784" w:rsidR="009411B8" w:rsidRDefault="009411B8"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WGQ EDM Subcommittee and RMQ IR/TEIS</w:t>
            </w:r>
          </w:p>
          <w:p w14:paraId="73124E1E" w14:textId="77777777" w:rsidR="009411B8" w:rsidRDefault="009411B8" w:rsidP="00901BBA">
            <w:pPr>
              <w:spacing w:before="120" w:after="120"/>
              <w:rPr>
                <w:rFonts w:ascii="Times New Roman" w:hAnsi="Times New Roman" w:cs="Times New Roman"/>
                <w:color w:val="FF0000"/>
                <w:sz w:val="20"/>
                <w:szCs w:val="20"/>
              </w:rPr>
            </w:pPr>
          </w:p>
          <w:p w14:paraId="17FEBAFC" w14:textId="77777777" w:rsidR="009411B8" w:rsidRDefault="009411B8" w:rsidP="00901BBA">
            <w:pPr>
              <w:spacing w:before="120" w:after="120"/>
              <w:rPr>
                <w:rFonts w:ascii="Times New Roman" w:hAnsi="Times New Roman" w:cs="Times New Roman"/>
                <w:color w:val="FF0000"/>
                <w:sz w:val="20"/>
                <w:szCs w:val="20"/>
              </w:rPr>
            </w:pPr>
          </w:p>
          <w:p w14:paraId="5E9764CE" w14:textId="77777777" w:rsidR="00863634" w:rsidRDefault="00863634" w:rsidP="00901BBA">
            <w:pPr>
              <w:spacing w:before="120" w:after="120"/>
              <w:rPr>
                <w:rFonts w:ascii="Times New Roman" w:hAnsi="Times New Roman" w:cs="Times New Roman"/>
                <w:color w:val="FF0000"/>
                <w:sz w:val="20"/>
                <w:szCs w:val="20"/>
              </w:rPr>
            </w:pPr>
          </w:p>
          <w:p w14:paraId="1F969D2A" w14:textId="77777777" w:rsidR="00863634" w:rsidRDefault="00863634" w:rsidP="00901BBA">
            <w:pPr>
              <w:spacing w:before="120" w:after="120"/>
              <w:rPr>
                <w:rFonts w:ascii="Times New Roman" w:hAnsi="Times New Roman" w:cs="Times New Roman"/>
                <w:color w:val="FF0000"/>
                <w:sz w:val="20"/>
                <w:szCs w:val="20"/>
              </w:rPr>
            </w:pPr>
          </w:p>
          <w:p w14:paraId="6868A0E0" w14:textId="77777777" w:rsidR="00863634" w:rsidRDefault="00863634" w:rsidP="00901BBA">
            <w:pPr>
              <w:spacing w:before="120" w:after="120"/>
              <w:rPr>
                <w:rFonts w:ascii="Times New Roman" w:hAnsi="Times New Roman" w:cs="Times New Roman"/>
                <w:color w:val="FF0000"/>
                <w:sz w:val="20"/>
                <w:szCs w:val="20"/>
              </w:rPr>
            </w:pPr>
          </w:p>
          <w:p w14:paraId="7B0D6120" w14:textId="77777777" w:rsidR="00863634" w:rsidRDefault="00863634" w:rsidP="00901BBA">
            <w:pPr>
              <w:spacing w:before="120" w:after="120"/>
              <w:rPr>
                <w:rFonts w:ascii="Times New Roman" w:hAnsi="Times New Roman" w:cs="Times New Roman"/>
                <w:color w:val="FF0000"/>
                <w:sz w:val="20"/>
                <w:szCs w:val="20"/>
              </w:rPr>
            </w:pPr>
          </w:p>
          <w:p w14:paraId="47FC6E64" w14:textId="77777777" w:rsidR="00B56DD5" w:rsidRDefault="00B56DD5" w:rsidP="00901BBA">
            <w:pPr>
              <w:spacing w:before="120" w:after="120"/>
              <w:rPr>
                <w:rFonts w:ascii="Times New Roman" w:hAnsi="Times New Roman" w:cs="Times New Roman"/>
                <w:color w:val="FF0000"/>
                <w:sz w:val="20"/>
                <w:szCs w:val="20"/>
              </w:rPr>
            </w:pPr>
          </w:p>
          <w:p w14:paraId="0998E817" w14:textId="77777777" w:rsidR="00B56DD5" w:rsidRDefault="00B56DD5" w:rsidP="00901BBA">
            <w:pPr>
              <w:spacing w:before="120" w:after="120"/>
              <w:rPr>
                <w:rFonts w:ascii="Times New Roman" w:hAnsi="Times New Roman" w:cs="Times New Roman"/>
                <w:color w:val="FF0000"/>
                <w:sz w:val="20"/>
                <w:szCs w:val="20"/>
              </w:rPr>
            </w:pPr>
          </w:p>
          <w:p w14:paraId="5B8D82A7" w14:textId="77777777" w:rsidR="00B56DD5" w:rsidRDefault="00B56DD5" w:rsidP="00901BBA">
            <w:pPr>
              <w:spacing w:before="120" w:after="120"/>
              <w:rPr>
                <w:rFonts w:ascii="Times New Roman" w:hAnsi="Times New Roman" w:cs="Times New Roman"/>
                <w:color w:val="FF0000"/>
                <w:sz w:val="20"/>
                <w:szCs w:val="20"/>
              </w:rPr>
            </w:pPr>
          </w:p>
          <w:p w14:paraId="6F7FC72C" w14:textId="77777777" w:rsidR="00B56DD5" w:rsidRDefault="00B56DD5" w:rsidP="00901BBA">
            <w:pPr>
              <w:spacing w:before="120" w:after="120"/>
              <w:rPr>
                <w:rFonts w:ascii="Times New Roman" w:hAnsi="Times New Roman" w:cs="Times New Roman"/>
                <w:color w:val="FF0000"/>
                <w:sz w:val="20"/>
                <w:szCs w:val="20"/>
              </w:rPr>
            </w:pPr>
          </w:p>
          <w:p w14:paraId="75AC87E7" w14:textId="77777777" w:rsidR="003D1136" w:rsidRDefault="003D1136" w:rsidP="00901BBA">
            <w:pPr>
              <w:spacing w:before="120" w:after="120"/>
              <w:rPr>
                <w:rFonts w:ascii="Times New Roman" w:hAnsi="Times New Roman" w:cs="Times New Roman"/>
                <w:color w:val="FF0000"/>
                <w:sz w:val="20"/>
                <w:szCs w:val="20"/>
              </w:rPr>
            </w:pPr>
          </w:p>
          <w:p w14:paraId="07E7B38D" w14:textId="77777777" w:rsidR="003D1136" w:rsidRDefault="003D1136" w:rsidP="00901BBA">
            <w:pPr>
              <w:spacing w:before="120" w:after="120"/>
              <w:rPr>
                <w:rFonts w:ascii="Times New Roman" w:hAnsi="Times New Roman" w:cs="Times New Roman"/>
                <w:color w:val="FF0000"/>
                <w:sz w:val="20"/>
                <w:szCs w:val="20"/>
              </w:rPr>
            </w:pPr>
          </w:p>
          <w:p w14:paraId="632997A7" w14:textId="77777777" w:rsidR="002E439C" w:rsidRDefault="002E439C" w:rsidP="00901BBA">
            <w:pPr>
              <w:spacing w:before="120" w:after="120"/>
              <w:rPr>
                <w:rFonts w:ascii="Times New Roman" w:hAnsi="Times New Roman" w:cs="Times New Roman"/>
                <w:color w:val="FF0000"/>
                <w:sz w:val="20"/>
                <w:szCs w:val="20"/>
              </w:rPr>
            </w:pPr>
          </w:p>
          <w:p w14:paraId="19F677E8" w14:textId="7BF78EAE"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Cybersecurity Subcommittee</w:t>
            </w:r>
          </w:p>
          <w:p w14:paraId="27FD9353" w14:textId="77777777" w:rsidR="006D2928" w:rsidRDefault="006D2928" w:rsidP="00901BBA">
            <w:pPr>
              <w:spacing w:before="120" w:after="120"/>
              <w:rPr>
                <w:rFonts w:ascii="Times New Roman" w:hAnsi="Times New Roman" w:cs="Times New Roman"/>
                <w:sz w:val="20"/>
                <w:szCs w:val="20"/>
              </w:rPr>
            </w:pPr>
          </w:p>
          <w:p w14:paraId="608E6E68" w14:textId="77777777"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OASIS Subcommittee</w:t>
            </w:r>
          </w:p>
          <w:p w14:paraId="35E37799" w14:textId="77777777" w:rsidR="006D2928" w:rsidRDefault="006D2928" w:rsidP="00901BBA">
            <w:pPr>
              <w:spacing w:before="120" w:after="120"/>
              <w:rPr>
                <w:rFonts w:ascii="Times New Roman" w:hAnsi="Times New Roman" w:cs="Times New Roman"/>
                <w:sz w:val="20"/>
                <w:szCs w:val="20"/>
              </w:rPr>
            </w:pPr>
          </w:p>
          <w:p w14:paraId="4DD79DE1" w14:textId="77777777" w:rsidR="006D2928" w:rsidRDefault="006D2928" w:rsidP="00901BBA">
            <w:pPr>
              <w:spacing w:before="120" w:after="120"/>
              <w:rPr>
                <w:rFonts w:ascii="Times New Roman" w:hAnsi="Times New Roman" w:cs="Times New Roman"/>
                <w:sz w:val="20"/>
                <w:szCs w:val="20"/>
              </w:rPr>
            </w:pPr>
          </w:p>
          <w:p w14:paraId="5CBE2F23" w14:textId="77777777" w:rsidR="006D2928" w:rsidRDefault="006D2928" w:rsidP="00901BBA">
            <w:pPr>
              <w:spacing w:before="120" w:after="120"/>
              <w:rPr>
                <w:rFonts w:ascii="Times New Roman" w:hAnsi="Times New Roman" w:cs="Times New Roman"/>
                <w:color w:val="FF0000"/>
                <w:sz w:val="20"/>
                <w:szCs w:val="20"/>
              </w:rPr>
            </w:pPr>
            <w:r w:rsidRPr="006D2928">
              <w:rPr>
                <w:rFonts w:ascii="Times New Roman" w:hAnsi="Times New Roman" w:cs="Times New Roman"/>
                <w:color w:val="FF0000"/>
                <w:sz w:val="20"/>
                <w:szCs w:val="20"/>
              </w:rPr>
              <w:t>WEQ CISS</w:t>
            </w:r>
          </w:p>
          <w:p w14:paraId="6D9ADD9D" w14:textId="77777777" w:rsidR="006D2928" w:rsidRDefault="006D2928" w:rsidP="00901BBA">
            <w:pPr>
              <w:spacing w:before="120" w:after="120"/>
              <w:rPr>
                <w:rFonts w:ascii="Times New Roman" w:hAnsi="Times New Roman" w:cs="Times New Roman"/>
                <w:sz w:val="20"/>
                <w:szCs w:val="20"/>
              </w:rPr>
            </w:pPr>
          </w:p>
          <w:p w14:paraId="29568F38" w14:textId="77777777" w:rsidR="006D2928" w:rsidRDefault="006D2928" w:rsidP="00901BBA">
            <w:pPr>
              <w:spacing w:before="120" w:after="120"/>
              <w:rPr>
                <w:rFonts w:ascii="Times New Roman" w:hAnsi="Times New Roman" w:cs="Times New Roman"/>
                <w:sz w:val="20"/>
                <w:szCs w:val="20"/>
              </w:rPr>
            </w:pPr>
          </w:p>
          <w:p w14:paraId="419C218D" w14:textId="3EE9CA41" w:rsidR="006D2928" w:rsidRPr="00DB4735" w:rsidRDefault="006D2928" w:rsidP="00901BBA">
            <w:pPr>
              <w:spacing w:before="120" w:after="120"/>
              <w:rPr>
                <w:rFonts w:ascii="Times New Roman" w:hAnsi="Times New Roman" w:cs="Times New Roman"/>
                <w:sz w:val="20"/>
                <w:szCs w:val="20"/>
              </w:rPr>
            </w:pPr>
            <w:r w:rsidRPr="006D2928">
              <w:rPr>
                <w:rFonts w:ascii="Times New Roman" w:hAnsi="Times New Roman" w:cs="Times New Roman"/>
                <w:color w:val="FF0000"/>
                <w:sz w:val="20"/>
                <w:szCs w:val="20"/>
              </w:rPr>
              <w:t>WEQ CISS</w:t>
            </w:r>
          </w:p>
        </w:tc>
      </w:tr>
      <w:tr w:rsidR="00901BBA" w:rsidRPr="00DB4735" w14:paraId="1A333270" w14:textId="77777777" w:rsidTr="0096551C">
        <w:tc>
          <w:tcPr>
            <w:tcW w:w="715" w:type="dxa"/>
          </w:tcPr>
          <w:p w14:paraId="69D2C184" w14:textId="62A1652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5.</w:t>
            </w:r>
          </w:p>
        </w:tc>
        <w:tc>
          <w:tcPr>
            <w:tcW w:w="2160" w:type="dxa"/>
          </w:tcPr>
          <w:p w14:paraId="5556CDA1" w14:textId="2ACB41F6"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019FAC6F" w14:textId="77777777" w:rsidR="00901BBA" w:rsidRPr="00DB4735" w:rsidRDefault="00901BBA" w:rsidP="00901BBA">
            <w:pPr>
              <w:spacing w:before="120" w:after="120" w:line="244" w:lineRule="auto"/>
              <w:jc w:val="both"/>
              <w:rPr>
                <w:rFonts w:ascii="Times New Roman" w:hAnsi="Times New Roman" w:cs="Times New Roman"/>
                <w:color w:val="000000"/>
                <w:sz w:val="20"/>
                <w:szCs w:val="20"/>
              </w:rPr>
            </w:pPr>
            <w:r w:rsidRPr="00DB4735">
              <w:rPr>
                <w:rFonts w:ascii="Times New Roman" w:hAnsi="Times New Roman" w:cs="Times New Roman"/>
                <w:color w:val="000000"/>
                <w:sz w:val="20"/>
                <w:szCs w:val="20"/>
              </w:rPr>
              <w:t xml:space="preserve">A relatively static communications environment, such as the NAESB-responsible systems, should definitely be considered for whitelisting. However, how whitelisting is implemented will be a hardware-specific implementation and thus outside NAESB </w:t>
            </w:r>
            <w:r w:rsidRPr="00DB4735">
              <w:rPr>
                <w:rFonts w:ascii="Times New Roman" w:hAnsi="Times New Roman" w:cs="Times New Roman"/>
                <w:color w:val="000000"/>
                <w:sz w:val="20"/>
                <w:szCs w:val="20"/>
              </w:rPr>
              <w:lastRenderedPageBreak/>
              <w:t>standards scope. In consideration of the whitelisting ROI are several factors:</w:t>
            </w:r>
          </w:p>
          <w:p w14:paraId="65A6D731"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 xml:space="preserve">Some related information must be made publicly available and this must not be blocked by the whitelisting implementation. </w:t>
            </w:r>
          </w:p>
          <w:p w14:paraId="4C9A6DD5"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7E1B69CF" w14:textId="5B74736C"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6E76A36F" w14:textId="77777777" w:rsidR="00901BBA" w:rsidRDefault="00B01F2D" w:rsidP="003D1136">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lastRenderedPageBreak/>
              <w:t>N/A</w:t>
            </w:r>
          </w:p>
          <w:p w14:paraId="7CB71F9C" w14:textId="41AF2E95" w:rsidR="00B01F2D" w:rsidRPr="00DB4735" w:rsidRDefault="00B01F2D" w:rsidP="003D1136">
            <w:pPr>
              <w:spacing w:before="120" w:after="120"/>
              <w:rPr>
                <w:rFonts w:ascii="Times New Roman" w:hAnsi="Times New Roman" w:cs="Times New Roman"/>
                <w:sz w:val="20"/>
                <w:szCs w:val="20"/>
              </w:rPr>
            </w:pPr>
          </w:p>
        </w:tc>
        <w:tc>
          <w:tcPr>
            <w:tcW w:w="2425" w:type="dxa"/>
          </w:tcPr>
          <w:p w14:paraId="184495CA" w14:textId="18E78503" w:rsidR="00901BBA" w:rsidRPr="003D1136" w:rsidRDefault="003D1136" w:rsidP="00901BBA">
            <w:pPr>
              <w:spacing w:before="120" w:after="120"/>
              <w:rPr>
                <w:rFonts w:ascii="Times New Roman" w:hAnsi="Times New Roman" w:cs="Times New Roman"/>
                <w:color w:val="FF0000"/>
                <w:sz w:val="20"/>
                <w:szCs w:val="20"/>
              </w:rPr>
            </w:pPr>
            <w:r>
              <w:rPr>
                <w:rFonts w:ascii="Times New Roman" w:hAnsi="Times New Roman" w:cs="Times New Roman"/>
                <w:color w:val="FF0000"/>
                <w:sz w:val="20"/>
                <w:szCs w:val="20"/>
              </w:rPr>
              <w:t>N/A</w:t>
            </w:r>
          </w:p>
        </w:tc>
      </w:tr>
      <w:tr w:rsidR="00901BBA" w:rsidRPr="00DB4735" w14:paraId="31B58165" w14:textId="77777777" w:rsidTr="0096551C">
        <w:tc>
          <w:tcPr>
            <w:tcW w:w="715" w:type="dxa"/>
          </w:tcPr>
          <w:p w14:paraId="3922B42D" w14:textId="3BBB0F88" w:rsidR="00901BBA" w:rsidRPr="00A56016" w:rsidRDefault="00901BBA" w:rsidP="00901BBA">
            <w:pPr>
              <w:spacing w:before="120" w:after="120"/>
              <w:jc w:val="right"/>
              <w:rPr>
                <w:rFonts w:ascii="Times New Roman" w:hAnsi="Times New Roman" w:cs="Times New Roman"/>
                <w:sz w:val="20"/>
                <w:szCs w:val="20"/>
              </w:rPr>
            </w:pPr>
            <w:r w:rsidRPr="00A56016">
              <w:rPr>
                <w:rFonts w:ascii="Times New Roman" w:hAnsi="Times New Roman" w:cs="Times New Roman"/>
                <w:sz w:val="20"/>
                <w:szCs w:val="20"/>
              </w:rPr>
              <w:t>6.</w:t>
            </w:r>
          </w:p>
        </w:tc>
        <w:tc>
          <w:tcPr>
            <w:tcW w:w="2160" w:type="dxa"/>
          </w:tcPr>
          <w:p w14:paraId="0366F2C0" w14:textId="021802D8" w:rsidR="00901BBA" w:rsidRPr="00A56016" w:rsidRDefault="00901BBA" w:rsidP="00901BBA">
            <w:pPr>
              <w:spacing w:before="120" w:after="120"/>
              <w:rPr>
                <w:rFonts w:ascii="Times New Roman" w:hAnsi="Times New Roman" w:cs="Times New Roman"/>
                <w:sz w:val="20"/>
                <w:szCs w:val="20"/>
              </w:rPr>
            </w:pPr>
            <w:r w:rsidRPr="00A56016">
              <w:rPr>
                <w:rFonts w:ascii="Times New Roman" w:hAnsi="Times New Roman" w:cs="Times New Roman"/>
                <w:sz w:val="20"/>
                <w:szCs w:val="20"/>
              </w:rPr>
              <w:t>Addendum Report Section 3.1 – Trends in Operation (Pages 26 – 27)</w:t>
            </w:r>
          </w:p>
        </w:tc>
        <w:tc>
          <w:tcPr>
            <w:tcW w:w="4410" w:type="dxa"/>
          </w:tcPr>
          <w:p w14:paraId="1F7B5F68" w14:textId="09A01B1D" w:rsidR="00901BBA" w:rsidRPr="00A56016" w:rsidRDefault="00901BBA" w:rsidP="00901BBA">
            <w:pPr>
              <w:spacing w:before="120" w:after="120"/>
              <w:jc w:val="both"/>
              <w:rPr>
                <w:rFonts w:ascii="Times New Roman" w:hAnsi="Times New Roman" w:cs="Times New Roman"/>
                <w:sz w:val="20"/>
                <w:szCs w:val="20"/>
              </w:rPr>
            </w:pPr>
            <w:r w:rsidRPr="00A56016">
              <w:rPr>
                <w:rFonts w:ascii="Times New Roman" w:hAnsi="Times New Roman" w:cs="Times New Roman"/>
                <w:sz w:val="20"/>
                <w:szCs w:val="20"/>
              </w:rPr>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3" w:name="_Hlk12958123"/>
            <w:r w:rsidRPr="00A56016">
              <w:rPr>
                <w:rFonts w:ascii="Times New Roman" w:hAnsi="Times New Roman" w:cs="Times New Roman"/>
                <w:sz w:val="20"/>
                <w:szCs w:val="20"/>
              </w:rPr>
              <w:t xml:space="preserve">have a method to disconnect the equipment from the control network </w:t>
            </w:r>
            <w:r w:rsidRPr="00A56016">
              <w:rPr>
                <w:rFonts w:ascii="Times New Roman" w:hAnsi="Times New Roman" w:cs="Times New Roman"/>
                <w:sz w:val="20"/>
                <w:szCs w:val="20"/>
              </w:rPr>
              <w:lastRenderedPageBreak/>
              <w:t>and conduct manual operations until normal operations can be restored</w:t>
            </w:r>
            <w:bookmarkEnd w:id="3"/>
            <w:r w:rsidRPr="00A56016">
              <w:rPr>
                <w:rFonts w:ascii="Times New Roman" w:hAnsi="Times New Roman" w:cs="Times New Roman"/>
                <w:sz w:val="20"/>
                <w:szCs w:val="20"/>
              </w:rPr>
              <w:t>.</w:t>
            </w:r>
          </w:p>
        </w:tc>
        <w:tc>
          <w:tcPr>
            <w:tcW w:w="3240" w:type="dxa"/>
          </w:tcPr>
          <w:p w14:paraId="5B07E056" w14:textId="796EBF31" w:rsidR="006718D5" w:rsidRPr="00DB4735" w:rsidRDefault="006718D5" w:rsidP="00FB6420">
            <w:pPr>
              <w:spacing w:before="120" w:after="120"/>
              <w:rPr>
                <w:rFonts w:ascii="Times New Roman" w:hAnsi="Times New Roman" w:cs="Times New Roman"/>
                <w:sz w:val="20"/>
                <w:szCs w:val="20"/>
              </w:rPr>
            </w:pPr>
          </w:p>
        </w:tc>
        <w:tc>
          <w:tcPr>
            <w:tcW w:w="2425" w:type="dxa"/>
          </w:tcPr>
          <w:p w14:paraId="58362EFD" w14:textId="69F1A9B6" w:rsidR="00901BBA" w:rsidRPr="00FB6420" w:rsidRDefault="00901BBA" w:rsidP="00901BBA">
            <w:pPr>
              <w:spacing w:before="120" w:after="120"/>
              <w:rPr>
                <w:rFonts w:ascii="Times New Roman" w:hAnsi="Times New Roman" w:cs="Times New Roman"/>
                <w:color w:val="FF0000"/>
                <w:sz w:val="20"/>
                <w:szCs w:val="20"/>
              </w:rPr>
            </w:pPr>
          </w:p>
        </w:tc>
      </w:tr>
      <w:tr w:rsidR="00901BBA" w:rsidRPr="00DB4735" w14:paraId="447C7BC0" w14:textId="77777777" w:rsidTr="0096551C">
        <w:tc>
          <w:tcPr>
            <w:tcW w:w="715" w:type="dxa"/>
          </w:tcPr>
          <w:p w14:paraId="1B31BF3C" w14:textId="13C010E0"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7.</w:t>
            </w:r>
          </w:p>
        </w:tc>
        <w:tc>
          <w:tcPr>
            <w:tcW w:w="2160" w:type="dxa"/>
          </w:tcPr>
          <w:p w14:paraId="5E821578" w14:textId="7AD2CEBB"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3.2 – Government and Industry Standards (Page 27)</w:t>
            </w:r>
          </w:p>
        </w:tc>
        <w:tc>
          <w:tcPr>
            <w:tcW w:w="4410" w:type="dxa"/>
          </w:tcPr>
          <w:p w14:paraId="0BCFBAD0"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NIST cloud computing research papers.</w:t>
            </w:r>
            <w:r w:rsidRPr="00DB4735">
              <w:rPr>
                <w:rStyle w:val="FootnoteReference"/>
                <w:rFonts w:ascii="Times New Roman" w:hAnsi="Times New Roman" w:cs="Times New Roman"/>
                <w:sz w:val="20"/>
                <w:szCs w:val="20"/>
              </w:rPr>
              <w:footnoteReference w:id="4"/>
            </w:r>
            <w:r w:rsidRPr="00DB4735">
              <w:rPr>
                <w:rFonts w:ascii="Times New Roman" w:hAnsi="Times New Roman" w:cs="Times New Roman"/>
                <w:sz w:val="20"/>
                <w:szCs w:val="20"/>
              </w:rPr>
              <w:t xml:space="preserve"> Some of the documents referenced on this page are:</w:t>
            </w:r>
          </w:p>
          <w:p w14:paraId="3B3E7E60"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500-299: NIST Cloud Computing Security Reference Architecture (Draft)</w:t>
            </w:r>
          </w:p>
          <w:p w14:paraId="67830748"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800-144: Guidelines on Security and Privacy in Public Cloud Computing, December 2011</w:t>
            </w:r>
          </w:p>
          <w:p w14:paraId="28BB504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800-145: NIST Definition of Cloud Computing, September 2011</w:t>
            </w:r>
          </w:p>
          <w:p w14:paraId="350304E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800-146: Cloud Computing Synopsis and Recommendations, May 2012</w:t>
            </w:r>
          </w:p>
          <w:p w14:paraId="4FDF5D8B"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lastRenderedPageBreak/>
              <w:t>NIST also maintains a page related to the Internet of Things (IoT) that includes reports related to trust, fog computing (cloud computing for IoT), and other areas related to the IoT.</w:t>
            </w:r>
            <w:r w:rsidRPr="00DB4735">
              <w:rPr>
                <w:rStyle w:val="FootnoteReference"/>
                <w:rFonts w:ascii="Times New Roman" w:hAnsi="Times New Roman" w:cs="Times New Roman"/>
                <w:sz w:val="20"/>
                <w:szCs w:val="20"/>
              </w:rPr>
              <w:footnoteReference w:id="5"/>
            </w:r>
          </w:p>
          <w:p w14:paraId="4714789C"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Other resources provided by NIST that address the above technologies include:</w:t>
            </w:r>
          </w:p>
          <w:p w14:paraId="7763CDB6" w14:textId="77777777" w:rsidR="00901BBA" w:rsidRPr="00DB4735" w:rsidRDefault="00901BBA" w:rsidP="00901BBA">
            <w:pPr>
              <w:pStyle w:val="ListParagraph"/>
              <w:numPr>
                <w:ilvl w:val="0"/>
                <w:numId w:val="5"/>
              </w:numPr>
              <w:spacing w:before="120" w:after="120"/>
              <w:ind w:left="965"/>
              <w:jc w:val="both"/>
              <w:rPr>
                <w:szCs w:val="20"/>
              </w:rPr>
            </w:pPr>
            <w:r w:rsidRPr="00DB4735">
              <w:rPr>
                <w:szCs w:val="20"/>
              </w:rPr>
              <w:t>NIST 800-124rev1: Guidelines for Managing the Security of Mobile Devices in the Enterprise</w:t>
            </w:r>
            <w:r w:rsidRPr="00DB4735">
              <w:rPr>
                <w:rStyle w:val="FootnoteReference"/>
                <w:szCs w:val="20"/>
              </w:rPr>
              <w:footnoteReference w:id="6"/>
            </w:r>
          </w:p>
          <w:p w14:paraId="6E35BC95" w14:textId="77777777" w:rsidR="00901BBA" w:rsidRDefault="00901BBA" w:rsidP="00901BBA">
            <w:pPr>
              <w:pStyle w:val="ListParagraph"/>
              <w:numPr>
                <w:ilvl w:val="0"/>
                <w:numId w:val="5"/>
              </w:numPr>
              <w:spacing w:before="120" w:after="120"/>
              <w:ind w:left="965"/>
              <w:jc w:val="both"/>
              <w:rPr>
                <w:szCs w:val="20"/>
              </w:rPr>
            </w:pPr>
            <w:r w:rsidRPr="00DB4735">
              <w:rPr>
                <w:szCs w:val="20"/>
              </w:rPr>
              <w:t>NISTIR 8144 (DRAFT): Assessing Threats to Mobile Devices and Infrastructure - The Mobile Threat Catalog</w:t>
            </w:r>
            <w:r w:rsidRPr="00DB4735">
              <w:rPr>
                <w:rStyle w:val="FootnoteReference"/>
                <w:szCs w:val="20"/>
              </w:rPr>
              <w:footnoteReference w:id="7"/>
            </w:r>
          </w:p>
          <w:p w14:paraId="3F7E9108" w14:textId="050A10DE" w:rsidR="00901BBA" w:rsidRPr="001E556C" w:rsidRDefault="00901BBA" w:rsidP="00901BBA">
            <w:pPr>
              <w:pStyle w:val="ListParagraph"/>
              <w:numPr>
                <w:ilvl w:val="0"/>
                <w:numId w:val="5"/>
              </w:numPr>
              <w:spacing w:before="120" w:after="120"/>
              <w:ind w:left="965"/>
              <w:jc w:val="both"/>
              <w:rPr>
                <w:szCs w:val="20"/>
              </w:rPr>
            </w:pPr>
            <w:proofErr w:type="spellStart"/>
            <w:r w:rsidRPr="001E556C">
              <w:rPr>
                <w:szCs w:val="20"/>
              </w:rPr>
              <w:t>NCCoE</w:t>
            </w:r>
            <w:proofErr w:type="spellEnd"/>
            <w:r w:rsidRPr="001E556C">
              <w:rPr>
                <w:szCs w:val="20"/>
              </w:rPr>
              <w:t xml:space="preserve"> Project: Mobile Device Security: Cloud and Hybrid Builds</w:t>
            </w:r>
            <w:r w:rsidRPr="00DB4735">
              <w:rPr>
                <w:rStyle w:val="FootnoteReference"/>
                <w:szCs w:val="20"/>
              </w:rPr>
              <w:footnoteReference w:id="8"/>
            </w:r>
          </w:p>
        </w:tc>
        <w:tc>
          <w:tcPr>
            <w:tcW w:w="3240" w:type="dxa"/>
          </w:tcPr>
          <w:p w14:paraId="613E4FD8" w14:textId="77777777" w:rsidR="00B01F2D" w:rsidRPr="00B01F2D" w:rsidRDefault="00B01F2D" w:rsidP="00B01F2D">
            <w:pPr>
              <w:spacing w:before="120" w:after="120"/>
              <w:rPr>
                <w:rFonts w:ascii="Times New Roman" w:hAnsi="Times New Roman" w:cs="Times New Roman"/>
                <w:color w:val="FF0000"/>
                <w:sz w:val="20"/>
                <w:szCs w:val="20"/>
              </w:rPr>
            </w:pPr>
            <w:r w:rsidRPr="00B01F2D">
              <w:rPr>
                <w:rFonts w:ascii="Times New Roman" w:hAnsi="Times New Roman" w:cs="Times New Roman"/>
                <w:color w:val="FF0000"/>
                <w:sz w:val="20"/>
                <w:szCs w:val="20"/>
              </w:rPr>
              <w:lastRenderedPageBreak/>
              <w:t>N/A</w:t>
            </w:r>
          </w:p>
          <w:p w14:paraId="758EC415" w14:textId="2E89F0EE" w:rsidR="00901BBA" w:rsidRPr="00DB4735" w:rsidRDefault="00B01F2D" w:rsidP="00B01F2D">
            <w:pPr>
              <w:spacing w:before="120" w:after="120"/>
              <w:rPr>
                <w:rFonts w:ascii="Times New Roman" w:hAnsi="Times New Roman" w:cs="Times New Roman"/>
                <w:sz w:val="20"/>
                <w:szCs w:val="20"/>
              </w:rPr>
            </w:pPr>
            <w:r w:rsidRPr="00B01F2D">
              <w:rPr>
                <w:rFonts w:ascii="Times New Roman" w:hAnsi="Times New Roman" w:cs="Times New Roman"/>
                <w:color w:val="FF0000"/>
                <w:sz w:val="20"/>
                <w:szCs w:val="20"/>
              </w:rPr>
              <w:t>Review of this recommendation will be considered if/when NAESB develops standards in this area.</w:t>
            </w:r>
          </w:p>
        </w:tc>
        <w:tc>
          <w:tcPr>
            <w:tcW w:w="2425" w:type="dxa"/>
          </w:tcPr>
          <w:p w14:paraId="01055437" w14:textId="0055D921" w:rsidR="00901BBA" w:rsidRPr="00DB4735" w:rsidRDefault="00FB6420" w:rsidP="00901BBA">
            <w:pPr>
              <w:spacing w:before="120" w:after="120"/>
              <w:rPr>
                <w:rFonts w:ascii="Times New Roman" w:hAnsi="Times New Roman" w:cs="Times New Roman"/>
                <w:sz w:val="20"/>
                <w:szCs w:val="20"/>
              </w:rPr>
            </w:pPr>
            <w:r w:rsidRPr="00FB6420">
              <w:rPr>
                <w:rFonts w:ascii="Times New Roman" w:hAnsi="Times New Roman" w:cs="Times New Roman"/>
                <w:color w:val="FF0000"/>
                <w:sz w:val="20"/>
                <w:szCs w:val="20"/>
              </w:rPr>
              <w:t>N/A</w:t>
            </w:r>
          </w:p>
        </w:tc>
      </w:tr>
      <w:tr w:rsidR="008C1861" w:rsidRPr="00DB4735" w14:paraId="21C2489D" w14:textId="77777777" w:rsidTr="0096551C">
        <w:tc>
          <w:tcPr>
            <w:tcW w:w="715" w:type="dxa"/>
          </w:tcPr>
          <w:p w14:paraId="083BEC09" w14:textId="13CDCC6E"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8.</w:t>
            </w:r>
          </w:p>
        </w:tc>
        <w:tc>
          <w:tcPr>
            <w:tcW w:w="2160" w:type="dxa"/>
          </w:tcPr>
          <w:p w14:paraId="7DDAC00D" w14:textId="23ECB158"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576B97DD" w14:textId="77777777" w:rsidR="008C1861" w:rsidRPr="00DB4735"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Data Analytics – this is </w:t>
            </w:r>
            <w:r w:rsidRPr="00DB4735">
              <w:rPr>
                <w:rFonts w:ascii="Times New Roman" w:hAnsi="Times New Roman" w:cs="Times New Roman"/>
                <w:color w:val="000000" w:themeColor="text1"/>
                <w:sz w:val="20"/>
                <w:szCs w:val="20"/>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w:t>
            </w:r>
            <w:proofErr w:type="spellStart"/>
            <w:r w:rsidRPr="00DB4735">
              <w:rPr>
                <w:rFonts w:ascii="Times New Roman" w:hAnsi="Times New Roman" w:cs="Times New Roman"/>
                <w:color w:val="000000" w:themeColor="text1"/>
                <w:sz w:val="20"/>
                <w:szCs w:val="20"/>
              </w:rPr>
              <w:lastRenderedPageBreak/>
              <w:t>Emulytics</w:t>
            </w:r>
            <w:proofErr w:type="spellEnd"/>
            <w:r w:rsidRPr="00DB4735">
              <w:rPr>
                <w:rFonts w:ascii="Times New Roman" w:hAnsi="Times New Roman" w:cs="Times New Roman"/>
                <w:color w:val="000000" w:themeColor="text1"/>
                <w:sz w:val="20"/>
                <w:szCs w:val="20"/>
              </w:rPr>
              <w:t>™ (a holistic approach to system emulation and analytics)</w:t>
            </w:r>
            <w:r w:rsidRPr="00DB4735">
              <w:rPr>
                <w:rStyle w:val="FootnoteReference"/>
                <w:rFonts w:ascii="Times New Roman" w:hAnsi="Times New Roman" w:cs="Times New Roman"/>
                <w:color w:val="000000" w:themeColor="text1"/>
                <w:sz w:val="20"/>
                <w:szCs w:val="20"/>
              </w:rPr>
              <w:footnoteReference w:id="9"/>
            </w:r>
            <w:r w:rsidRPr="00DB4735">
              <w:rPr>
                <w:rFonts w:ascii="Times New Roman" w:hAnsi="Times New Roman" w:cs="Times New Roman"/>
                <w:color w:val="000000" w:themeColor="text1"/>
                <w:sz w:val="20"/>
                <w:szCs w:val="20"/>
              </w:rPr>
              <w:t xml:space="preserve">. Over the last decade, we have developed and deployed a suite of cyber emulation, modeling, and analysis tools that support uses including predictive simulation, training, test &amp; evaluation, and resilient system design.  </w:t>
            </w:r>
          </w:p>
          <w:p w14:paraId="513F9026" w14:textId="77777777" w:rsidR="008C1861" w:rsidRDefault="008C1861" w:rsidP="008C1861">
            <w:pPr>
              <w:spacing w:before="120" w:after="120"/>
              <w:jc w:val="both"/>
              <w:rPr>
                <w:rFonts w:ascii="Times New Roman" w:hAnsi="Times New Roman" w:cs="Times New Roman"/>
                <w:color w:val="000000" w:themeColor="text1"/>
                <w:sz w:val="20"/>
                <w:szCs w:val="20"/>
              </w:rPr>
            </w:pP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environments scale well and can be deployed on systems as small as a laptop and on clusters with hundreds of </w:t>
            </w:r>
            <w:proofErr w:type="gramStart"/>
            <w:r w:rsidRPr="00DB4735">
              <w:rPr>
                <w:rFonts w:ascii="Times New Roman" w:hAnsi="Times New Roman" w:cs="Times New Roman"/>
                <w:color w:val="000000" w:themeColor="text1"/>
                <w:sz w:val="20"/>
                <w:szCs w:val="20"/>
              </w:rPr>
              <w:t>high performance</w:t>
            </w:r>
            <w:proofErr w:type="gramEnd"/>
            <w:r w:rsidRPr="00DB4735">
              <w:rPr>
                <w:rFonts w:ascii="Times New Roman" w:hAnsi="Times New Roman" w:cs="Times New Roman"/>
                <w:color w:val="000000" w:themeColor="text1"/>
                <w:sz w:val="20"/>
                <w:szCs w:val="20"/>
              </w:rPr>
              <w:t xml:space="preserve"> servers. Our methodologies support the application of the scientific method to the study of cyber systems, and our tools make it easier to design, deploy, and collect data from virtualized experiments rapidly, reliably, and repeatedly.</w:t>
            </w:r>
          </w:p>
          <w:p w14:paraId="0E459472" w14:textId="77777777" w:rsidR="008C1861"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Machine Learning – a </w:t>
            </w:r>
            <w:r w:rsidRPr="00DB4735">
              <w:rPr>
                <w:rFonts w:ascii="Times New Roman" w:hAnsi="Times New Roman" w:cs="Times New Roman"/>
                <w:color w:val="000000" w:themeColor="text1"/>
                <w:sz w:val="20"/>
                <w:szCs w:val="20"/>
              </w:rPr>
              <w:t xml:space="preserve">method of data analysis that automates analytical model building. It is a branch of artificial intelligence based on the idea that systems can learn from data, identify patterns and make decisions with minimal human intervention. Machine learning was the focus of a recently </w:t>
            </w:r>
            <w:r w:rsidRPr="00DB4735">
              <w:rPr>
                <w:rFonts w:ascii="Times New Roman" w:hAnsi="Times New Roman" w:cs="Times New Roman"/>
                <w:color w:val="000000" w:themeColor="text1"/>
                <w:sz w:val="20"/>
                <w:szCs w:val="20"/>
              </w:rPr>
              <w:lastRenderedPageBreak/>
              <w:t>completed grand challenge laboratory directed research and development effort</w:t>
            </w:r>
            <w:r>
              <w:rPr>
                <w:rFonts w:ascii="Times New Roman" w:hAnsi="Times New Roman" w:cs="Times New Roman"/>
                <w:color w:val="000000" w:themeColor="text1"/>
                <w:sz w:val="20"/>
                <w:szCs w:val="20"/>
              </w:rPr>
              <w:t>.</w:t>
            </w:r>
            <w:r w:rsidRPr="00DB4735">
              <w:rPr>
                <w:rStyle w:val="FootnoteReference"/>
                <w:rFonts w:ascii="Times New Roman" w:hAnsi="Times New Roman" w:cs="Times New Roman"/>
                <w:color w:val="000000" w:themeColor="text1"/>
                <w:sz w:val="20"/>
                <w:szCs w:val="20"/>
              </w:rPr>
              <w:footnoteReference w:id="10"/>
            </w:r>
          </w:p>
          <w:p w14:paraId="79EE613E" w14:textId="77777777" w:rsidR="008C1861"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Behavior Analytics – a tool </w:t>
            </w:r>
            <w:r w:rsidRPr="00DB4735">
              <w:rPr>
                <w:rFonts w:ascii="Times New Roman" w:hAnsi="Times New Roman" w:cs="Times New Roman"/>
                <w:color w:val="000000" w:themeColor="text1"/>
                <w:sz w:val="20"/>
                <w:szCs w:val="20"/>
              </w:rPr>
              <w:t xml:space="preserve">that reveals the actions users take within a digital product. It organizes raw event data such as clicks into a timeline of each user's behavior, also known </w:t>
            </w:r>
            <w:r w:rsidRPr="00DB4735">
              <w:rPr>
                <w:rFonts w:ascii="Times New Roman" w:hAnsi="Times New Roman" w:cs="Times New Roman"/>
                <w:sz w:val="20"/>
                <w:szCs w:val="20"/>
              </w:rPr>
              <w:t xml:space="preserve">as a user journey. At Sandia, </w:t>
            </w:r>
            <w:proofErr w:type="gramStart"/>
            <w:r w:rsidRPr="00DB4735">
              <w:rPr>
                <w:rFonts w:ascii="Times New Roman" w:hAnsi="Times New Roman" w:cs="Times New Roman"/>
                <w:sz w:val="20"/>
                <w:szCs w:val="20"/>
              </w:rPr>
              <w:t>researchers</w:t>
            </w:r>
            <w:proofErr w:type="gramEnd"/>
            <w:r w:rsidRPr="00DB4735">
              <w:rPr>
                <w:rFonts w:ascii="Times New Roman" w:hAnsi="Times New Roman" w:cs="Times New Roman"/>
                <w:sz w:val="20"/>
                <w:szCs w:val="20"/>
              </w:rPr>
              <w:t xml:space="preserve">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rFonts w:ascii="Times New Roman" w:hAnsi="Times New Roman" w:cs="Times New Roman"/>
                <w:sz w:val="20"/>
                <w:szCs w:val="20"/>
              </w:rPr>
              <w:footnoteReference w:id="11"/>
            </w:r>
          </w:p>
          <w:p w14:paraId="247C8BA9"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Software Defined Networking (SDN) – approach </w:t>
            </w:r>
            <w:r w:rsidRPr="00DB4735">
              <w:rPr>
                <w:rFonts w:ascii="Times New Roman" w:hAnsi="Times New Roman" w:cs="Times New Roman"/>
                <w:color w:val="000000" w:themeColor="text1"/>
                <w:sz w:val="20"/>
                <w:szCs w:val="20"/>
              </w:rPr>
              <w:t xml:space="preserve">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w:t>
            </w:r>
            <w:proofErr w:type="gramStart"/>
            <w:r w:rsidRPr="00DB4735">
              <w:rPr>
                <w:rFonts w:ascii="Times New Roman" w:hAnsi="Times New Roman" w:cs="Times New Roman"/>
                <w:color w:val="000000" w:themeColor="text1"/>
                <w:sz w:val="20"/>
                <w:szCs w:val="20"/>
              </w:rPr>
              <w:t>knows</w:t>
            </w:r>
            <w:proofErr w:type="gramEnd"/>
            <w:r w:rsidRPr="00DB4735">
              <w:rPr>
                <w:rFonts w:ascii="Times New Roman" w:hAnsi="Times New Roman" w:cs="Times New Roman"/>
                <w:color w:val="000000" w:themeColor="text1"/>
                <w:sz w:val="20"/>
                <w:szCs w:val="20"/>
              </w:rPr>
              <w:t xml:space="preserve"> as HADES (High-fidelity Adaptive Deception &amp; Emulation System) and it feeds a hacker not what he needs to know but what he wants to believe. HADES won a 2017 R&amp;D 100 Award presented annually by R&amp;D Magazine.</w:t>
            </w:r>
          </w:p>
          <w:p w14:paraId="30ECCA6F"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lastRenderedPageBreak/>
              <w:t>Zero Trust Networks</w:t>
            </w:r>
            <w:r w:rsidRPr="00DB4735">
              <w:rPr>
                <w:rStyle w:val="FootnoteReference"/>
                <w:rFonts w:ascii="Times New Roman" w:hAnsi="Times New Roman" w:cs="Times New Roman"/>
                <w:color w:val="000000" w:themeColor="text1"/>
                <w:sz w:val="20"/>
                <w:szCs w:val="20"/>
              </w:rPr>
              <w:footnoteReference w:id="12"/>
            </w:r>
            <w:r w:rsidRPr="00DB4735">
              <w:rPr>
                <w:rFonts w:ascii="Times New Roman" w:hAnsi="Times New Roman" w:cs="Times New Roman"/>
                <w:color w:val="000000" w:themeColor="text1"/>
                <w:sz w:val="20"/>
                <w:szCs w:val="20"/>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4C06A80F" w14:textId="071EDC98" w:rsidR="00D41272" w:rsidRPr="00DB4735" w:rsidRDefault="00D41272" w:rsidP="008C1861">
            <w:pPr>
              <w:spacing w:before="120" w:after="120"/>
              <w:jc w:val="both"/>
              <w:rPr>
                <w:rFonts w:ascii="Times New Roman" w:hAnsi="Times New Roman" w:cs="Times New Roman"/>
                <w:sz w:val="20"/>
                <w:szCs w:val="20"/>
              </w:rPr>
            </w:pP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w:t>
            </w:r>
            <w:r w:rsidRPr="00DB4735">
              <w:rPr>
                <w:rStyle w:val="FootnoteReference"/>
                <w:rFonts w:ascii="Times New Roman" w:hAnsi="Times New Roman" w:cs="Times New Roman"/>
                <w:color w:val="000000" w:themeColor="text1"/>
                <w:sz w:val="20"/>
                <w:szCs w:val="20"/>
              </w:rPr>
              <w:footnoteReference w:id="13"/>
            </w:r>
            <w:r w:rsidRPr="00DB4735">
              <w:rPr>
                <w:rFonts w:ascii="Times New Roman" w:hAnsi="Times New Roman" w:cs="Times New Roman"/>
                <w:color w:val="000000" w:themeColor="text1"/>
                <w:sz w:val="20"/>
                <w:szCs w:val="20"/>
              </w:rPr>
              <w:t xml:space="preserve"> -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refers to a cyberattack technique that uses existing software, allowed applications, and authorized protocols to carry out malicious activities.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doesn’t write anything to disk like traditional malware does, it is much harder to detect and may defeat traditional security systems.</w:t>
            </w:r>
          </w:p>
        </w:tc>
        <w:tc>
          <w:tcPr>
            <w:tcW w:w="3240" w:type="dxa"/>
          </w:tcPr>
          <w:p w14:paraId="7D851EDB" w14:textId="77777777" w:rsidR="008C1861" w:rsidRPr="00B01F2D" w:rsidRDefault="008C1861" w:rsidP="008C1861">
            <w:pPr>
              <w:spacing w:before="120" w:after="120"/>
              <w:rPr>
                <w:rFonts w:ascii="Times New Roman" w:hAnsi="Times New Roman" w:cs="Times New Roman"/>
                <w:color w:val="FF0000"/>
                <w:sz w:val="20"/>
                <w:szCs w:val="20"/>
              </w:rPr>
            </w:pPr>
            <w:r w:rsidRPr="00B01F2D">
              <w:rPr>
                <w:rFonts w:ascii="Times New Roman" w:hAnsi="Times New Roman" w:cs="Times New Roman"/>
                <w:color w:val="FF0000"/>
                <w:sz w:val="20"/>
                <w:szCs w:val="20"/>
              </w:rPr>
              <w:lastRenderedPageBreak/>
              <w:t>N/A</w:t>
            </w:r>
          </w:p>
          <w:p w14:paraId="366A32AC" w14:textId="32CDCF79" w:rsidR="008C1861" w:rsidRPr="00DB4735" w:rsidRDefault="008C1861" w:rsidP="008C1861">
            <w:pPr>
              <w:spacing w:before="120" w:after="120"/>
              <w:rPr>
                <w:rFonts w:ascii="Times New Roman" w:hAnsi="Times New Roman" w:cs="Times New Roman"/>
                <w:sz w:val="20"/>
                <w:szCs w:val="20"/>
              </w:rPr>
            </w:pPr>
            <w:r w:rsidRPr="00B01F2D">
              <w:rPr>
                <w:rFonts w:ascii="Times New Roman" w:hAnsi="Times New Roman" w:cs="Times New Roman"/>
                <w:color w:val="FF0000"/>
                <w:sz w:val="20"/>
                <w:szCs w:val="20"/>
              </w:rPr>
              <w:t>Review of this recommendation will be considered if/when NAESB develops standards in this area.</w:t>
            </w:r>
          </w:p>
        </w:tc>
        <w:tc>
          <w:tcPr>
            <w:tcW w:w="2425" w:type="dxa"/>
          </w:tcPr>
          <w:p w14:paraId="2326C78E" w14:textId="54A62764" w:rsidR="008C1861" w:rsidRPr="00DB4735" w:rsidRDefault="008C1861" w:rsidP="008C1861">
            <w:pPr>
              <w:spacing w:before="120" w:after="120"/>
              <w:rPr>
                <w:rFonts w:ascii="Times New Roman" w:hAnsi="Times New Roman" w:cs="Times New Roman"/>
                <w:sz w:val="20"/>
                <w:szCs w:val="20"/>
              </w:rPr>
            </w:pPr>
            <w:r w:rsidRPr="00FB6420">
              <w:rPr>
                <w:rFonts w:ascii="Times New Roman" w:hAnsi="Times New Roman" w:cs="Times New Roman"/>
                <w:color w:val="FF0000"/>
                <w:sz w:val="20"/>
                <w:szCs w:val="20"/>
              </w:rPr>
              <w:t>N/A</w:t>
            </w:r>
          </w:p>
        </w:tc>
      </w:tr>
      <w:tr w:rsidR="008C1861" w:rsidRPr="00DB4735" w14:paraId="7B5F5ACA" w14:textId="77777777" w:rsidTr="0096551C">
        <w:tc>
          <w:tcPr>
            <w:tcW w:w="715" w:type="dxa"/>
          </w:tcPr>
          <w:p w14:paraId="28CAB9AF" w14:textId="1AF8EA3E" w:rsidR="008C1861" w:rsidRPr="00DB4735" w:rsidRDefault="00D41272" w:rsidP="008C1861">
            <w:pPr>
              <w:spacing w:before="120" w:after="120"/>
              <w:jc w:val="right"/>
              <w:rPr>
                <w:rFonts w:ascii="Times New Roman" w:hAnsi="Times New Roman" w:cs="Times New Roman"/>
                <w:sz w:val="20"/>
                <w:szCs w:val="20"/>
              </w:rPr>
            </w:pPr>
            <w:r>
              <w:rPr>
                <w:rFonts w:ascii="Times New Roman" w:hAnsi="Times New Roman" w:cs="Times New Roman"/>
                <w:sz w:val="20"/>
                <w:szCs w:val="20"/>
              </w:rPr>
              <w:lastRenderedPageBreak/>
              <w:t>9</w:t>
            </w:r>
            <w:r w:rsidR="008C1861" w:rsidRPr="00DB4735">
              <w:rPr>
                <w:rFonts w:ascii="Times New Roman" w:hAnsi="Times New Roman" w:cs="Times New Roman"/>
                <w:sz w:val="20"/>
                <w:szCs w:val="20"/>
              </w:rPr>
              <w:t>.</w:t>
            </w:r>
          </w:p>
        </w:tc>
        <w:tc>
          <w:tcPr>
            <w:tcW w:w="2160" w:type="dxa"/>
          </w:tcPr>
          <w:p w14:paraId="04422A12" w14:textId="225BC036"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7954B08E" w14:textId="706C2CC8"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rFonts w:ascii="Times New Roman" w:hAnsi="Times New Roman" w:cs="Times New Roman"/>
                <w:sz w:val="20"/>
                <w:szCs w:val="20"/>
              </w:rPr>
              <w:footnoteReference w:id="14"/>
            </w:r>
            <w:r w:rsidRPr="00DB4735">
              <w:rPr>
                <w:rFonts w:ascii="Times New Roman" w:hAnsi="Times New Roman" w:cs="Times New Roman"/>
                <w:sz w:val="20"/>
                <w:szCs w:val="20"/>
              </w:rPr>
              <w:t>: “Scans should be performed regularly on all software, services, or platforms (SPPs) that are available external to the organization. At a minimum, scans should be performed monthly.”</w:t>
            </w:r>
          </w:p>
        </w:tc>
        <w:tc>
          <w:tcPr>
            <w:tcW w:w="3240" w:type="dxa"/>
          </w:tcPr>
          <w:p w14:paraId="41062462" w14:textId="7AB72CCA" w:rsidR="008C1861" w:rsidRPr="00DB4735" w:rsidRDefault="008C1861" w:rsidP="008C1861">
            <w:pPr>
              <w:spacing w:before="120" w:after="120"/>
              <w:rPr>
                <w:rFonts w:ascii="Times New Roman" w:hAnsi="Times New Roman" w:cs="Times New Roman"/>
                <w:sz w:val="20"/>
                <w:szCs w:val="20"/>
              </w:rPr>
            </w:pPr>
            <w:r>
              <w:rPr>
                <w:rFonts w:ascii="Times New Roman" w:hAnsi="Times New Roman" w:cs="Times New Roman"/>
                <w:color w:val="FF0000"/>
                <w:sz w:val="20"/>
                <w:szCs w:val="20"/>
              </w:rPr>
              <w:t>N/A</w:t>
            </w:r>
          </w:p>
        </w:tc>
        <w:tc>
          <w:tcPr>
            <w:tcW w:w="2425" w:type="dxa"/>
          </w:tcPr>
          <w:p w14:paraId="23AE938D" w14:textId="77777777" w:rsidR="008C1861" w:rsidRPr="00DB4735" w:rsidRDefault="008C1861" w:rsidP="008C1861">
            <w:pPr>
              <w:spacing w:before="120" w:after="120"/>
              <w:rPr>
                <w:rFonts w:ascii="Times New Roman" w:hAnsi="Times New Roman" w:cs="Times New Roman"/>
                <w:sz w:val="20"/>
                <w:szCs w:val="20"/>
              </w:rPr>
            </w:pPr>
          </w:p>
        </w:tc>
      </w:tr>
      <w:tr w:rsidR="008C1861" w:rsidRPr="00DB4735" w14:paraId="799337FE" w14:textId="77777777" w:rsidTr="0096551C">
        <w:tc>
          <w:tcPr>
            <w:tcW w:w="715" w:type="dxa"/>
          </w:tcPr>
          <w:p w14:paraId="68CC228A" w14:textId="3D77171B"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r w:rsidR="00D41272">
              <w:rPr>
                <w:rFonts w:ascii="Times New Roman" w:hAnsi="Times New Roman" w:cs="Times New Roman"/>
                <w:sz w:val="20"/>
                <w:szCs w:val="20"/>
              </w:rPr>
              <w:t>0</w:t>
            </w:r>
            <w:r w:rsidRPr="00DB4735">
              <w:rPr>
                <w:rFonts w:ascii="Times New Roman" w:hAnsi="Times New Roman" w:cs="Times New Roman"/>
                <w:sz w:val="20"/>
                <w:szCs w:val="20"/>
              </w:rPr>
              <w:t>.</w:t>
            </w:r>
          </w:p>
        </w:tc>
        <w:tc>
          <w:tcPr>
            <w:tcW w:w="2160" w:type="dxa"/>
          </w:tcPr>
          <w:p w14:paraId="7A55F1A1" w14:textId="00D72EE2"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4E23A419" w14:textId="2F712316"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Perform security assessments on applicable software, services or platforms (SSP’s). </w:t>
            </w:r>
            <w:proofErr w:type="gramStart"/>
            <w:r w:rsidRPr="00DB4735">
              <w:rPr>
                <w:rFonts w:ascii="Times New Roman" w:hAnsi="Times New Roman" w:cs="Times New Roman"/>
                <w:sz w:val="20"/>
                <w:szCs w:val="20"/>
              </w:rPr>
              <w:t>Also</w:t>
            </w:r>
            <w:proofErr w:type="gramEnd"/>
            <w:r w:rsidRPr="00DB4735">
              <w:rPr>
                <w:rFonts w:ascii="Times New Roman" w:hAnsi="Times New Roman" w:cs="Times New Roman"/>
                <w:sz w:val="20"/>
                <w:szCs w:val="20"/>
              </w:rPr>
              <w:t xml:space="preserve">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w:t>
            </w:r>
            <w:r w:rsidRPr="00DB4735">
              <w:rPr>
                <w:rFonts w:ascii="Times New Roman" w:hAnsi="Times New Roman" w:cs="Times New Roman"/>
                <w:sz w:val="20"/>
                <w:szCs w:val="20"/>
              </w:rPr>
              <w:lastRenderedPageBreak/>
              <w:t>partnership with their customers, determine the specifics of these assessments to ensure that all relevant risks are addressed.</w:t>
            </w:r>
          </w:p>
        </w:tc>
        <w:tc>
          <w:tcPr>
            <w:tcW w:w="3240" w:type="dxa"/>
          </w:tcPr>
          <w:p w14:paraId="485B419A" w14:textId="5A885E28" w:rsidR="008C1861" w:rsidRPr="00DB4735" w:rsidRDefault="008C1861" w:rsidP="008C1861">
            <w:pPr>
              <w:spacing w:before="120" w:after="120"/>
              <w:rPr>
                <w:rFonts w:ascii="Times New Roman" w:hAnsi="Times New Roman" w:cs="Times New Roman"/>
                <w:sz w:val="20"/>
                <w:szCs w:val="20"/>
              </w:rPr>
            </w:pPr>
            <w:r>
              <w:rPr>
                <w:rFonts w:ascii="Times New Roman" w:hAnsi="Times New Roman" w:cs="Times New Roman"/>
                <w:color w:val="FF0000"/>
                <w:sz w:val="20"/>
                <w:szCs w:val="20"/>
              </w:rPr>
              <w:lastRenderedPageBreak/>
              <w:t>N/A</w:t>
            </w:r>
          </w:p>
        </w:tc>
        <w:tc>
          <w:tcPr>
            <w:tcW w:w="2425" w:type="dxa"/>
          </w:tcPr>
          <w:p w14:paraId="6FF087B6" w14:textId="77777777" w:rsidR="008C1861" w:rsidRPr="00DB4735" w:rsidRDefault="008C1861" w:rsidP="008C1861">
            <w:pPr>
              <w:spacing w:before="120" w:after="120"/>
              <w:rPr>
                <w:rFonts w:ascii="Times New Roman" w:hAnsi="Times New Roman" w:cs="Times New Roman"/>
                <w:sz w:val="20"/>
                <w:szCs w:val="20"/>
              </w:rPr>
            </w:pPr>
          </w:p>
        </w:tc>
      </w:tr>
    </w:tbl>
    <w:p w14:paraId="79DB2908" w14:textId="77777777" w:rsidR="00CE7606" w:rsidRDefault="00BC2431"/>
    <w:sectPr w:rsidR="00CE7606" w:rsidSect="00DB47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C483" w14:textId="77777777" w:rsidR="00BC2431" w:rsidRDefault="00BC2431" w:rsidP="00DB4735">
      <w:pPr>
        <w:spacing w:after="0" w:line="240" w:lineRule="auto"/>
      </w:pPr>
      <w:r>
        <w:separator/>
      </w:r>
    </w:p>
  </w:endnote>
  <w:endnote w:type="continuationSeparator" w:id="0">
    <w:p w14:paraId="4D866558" w14:textId="77777777" w:rsidR="00BC2431" w:rsidRDefault="00BC2431" w:rsidP="00DB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292E" w14:textId="751C0082" w:rsidR="00E91CA6" w:rsidRPr="00E91CA6" w:rsidRDefault="00E91CA6" w:rsidP="00E91CA6">
    <w:pPr>
      <w:pStyle w:val="Footer"/>
      <w:jc w:val="right"/>
      <w:rPr>
        <w:rFonts w:ascii="Times New Roman" w:hAnsi="Times New Roman" w:cs="Times New Roman"/>
        <w:sz w:val="20"/>
        <w:szCs w:val="20"/>
      </w:rPr>
    </w:pPr>
    <w:r w:rsidRPr="00E91CA6">
      <w:rPr>
        <w:rFonts w:ascii="Times New Roman" w:hAnsi="Times New Roman" w:cs="Times New Roman"/>
        <w:sz w:val="20"/>
        <w:szCs w:val="20"/>
      </w:rPr>
      <w:t xml:space="preserve">Page </w:t>
    </w:r>
    <w:r w:rsidRPr="00E91CA6">
      <w:rPr>
        <w:rFonts w:ascii="Times New Roman" w:hAnsi="Times New Roman" w:cs="Times New Roman"/>
        <w:sz w:val="20"/>
        <w:szCs w:val="20"/>
      </w:rPr>
      <w:fldChar w:fldCharType="begin"/>
    </w:r>
    <w:r w:rsidRPr="00E91CA6">
      <w:rPr>
        <w:rFonts w:ascii="Times New Roman" w:hAnsi="Times New Roman" w:cs="Times New Roman"/>
        <w:sz w:val="20"/>
        <w:szCs w:val="20"/>
      </w:rPr>
      <w:instrText xml:space="preserve"> PAGE   \* MERGEFORMAT </w:instrText>
    </w:r>
    <w:r w:rsidRPr="00E91CA6">
      <w:rPr>
        <w:rFonts w:ascii="Times New Roman" w:hAnsi="Times New Roman" w:cs="Times New Roman"/>
        <w:sz w:val="20"/>
        <w:szCs w:val="20"/>
      </w:rPr>
      <w:fldChar w:fldCharType="separate"/>
    </w:r>
    <w:r w:rsidRPr="00E91CA6">
      <w:rPr>
        <w:rFonts w:ascii="Times New Roman" w:hAnsi="Times New Roman" w:cs="Times New Roman"/>
        <w:noProof/>
        <w:sz w:val="20"/>
        <w:szCs w:val="20"/>
      </w:rPr>
      <w:t>1</w:t>
    </w:r>
    <w:r w:rsidRPr="00E91C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ABD7" w14:textId="77777777" w:rsidR="00BC2431" w:rsidRDefault="00BC2431" w:rsidP="00DB4735">
      <w:pPr>
        <w:spacing w:after="0" w:line="240" w:lineRule="auto"/>
      </w:pPr>
      <w:r>
        <w:separator/>
      </w:r>
    </w:p>
  </w:footnote>
  <w:footnote w:type="continuationSeparator" w:id="0">
    <w:p w14:paraId="7A0CED37" w14:textId="77777777" w:rsidR="00BC2431" w:rsidRDefault="00BC2431" w:rsidP="00DB4735">
      <w:pPr>
        <w:spacing w:after="0" w:line="240" w:lineRule="auto"/>
      </w:pPr>
      <w:r>
        <w:continuationSeparator/>
      </w:r>
    </w:p>
  </w:footnote>
  <w:footnote w:id="1">
    <w:p w14:paraId="3FDDCCCF" w14:textId="77777777" w:rsidR="00901BBA" w:rsidRDefault="00901BBA" w:rsidP="00FD31BD">
      <w:pPr>
        <w:pStyle w:val="FootnoteText"/>
      </w:pPr>
      <w:r>
        <w:rPr>
          <w:rStyle w:val="FootnoteReference"/>
        </w:rPr>
        <w:footnoteRef/>
      </w:r>
      <w:r>
        <w:t xml:space="preserve"> </w:t>
      </w:r>
      <w:r w:rsidRPr="00026107">
        <w:t xml:space="preserve">US-CERT Incident Reporting System, </w:t>
      </w:r>
      <w:hyperlink r:id="rId1" w:history="1">
        <w:r w:rsidRPr="00013AC9">
          <w:rPr>
            <w:rStyle w:val="Hyperlink"/>
          </w:rPr>
          <w:t>https://www.us-cert.gov/forms/report</w:t>
        </w:r>
      </w:hyperlink>
      <w:r>
        <w:t xml:space="preserve"> </w:t>
      </w:r>
    </w:p>
  </w:footnote>
  <w:footnote w:id="2">
    <w:p w14:paraId="3B06EE9A" w14:textId="77777777" w:rsidR="00901BBA" w:rsidRDefault="00901BBA" w:rsidP="00FD31BD">
      <w:pPr>
        <w:pStyle w:val="FootnoteText"/>
      </w:pPr>
      <w:r>
        <w:rPr>
          <w:rStyle w:val="FootnoteReference"/>
        </w:rPr>
        <w:footnoteRef/>
      </w:r>
      <w:r>
        <w:t xml:space="preserve"> </w:t>
      </w:r>
      <w:r w:rsidRPr="00026107">
        <w:t xml:space="preserve">Report Cyber Incidents, </w:t>
      </w:r>
      <w:hyperlink r:id="rId2" w:history="1">
        <w:r w:rsidRPr="00013AC9">
          <w:rPr>
            <w:rStyle w:val="Hyperlink"/>
          </w:rPr>
          <w:t>https://www.dhs.gov/how-do-i/report-cyber-incidents</w:t>
        </w:r>
      </w:hyperlink>
      <w:r>
        <w:t xml:space="preserve"> </w:t>
      </w:r>
    </w:p>
  </w:footnote>
  <w:footnote w:id="3">
    <w:p w14:paraId="13FC55C7" w14:textId="77777777" w:rsidR="00901BBA" w:rsidRDefault="00901BBA" w:rsidP="00FD31BD">
      <w:pPr>
        <w:pStyle w:val="FootnoteText"/>
      </w:pPr>
      <w:r>
        <w:rPr>
          <w:rStyle w:val="FootnoteReference"/>
        </w:rPr>
        <w:footnoteRef/>
      </w:r>
      <w:r>
        <w:t xml:space="preserve"> </w:t>
      </w:r>
      <w:r w:rsidRPr="00026107">
        <w:t xml:space="preserve">DOE - JC3 Incident Reporting, </w:t>
      </w:r>
      <w:hyperlink r:id="rId3" w:history="1">
        <w:r w:rsidRPr="00013AC9">
          <w:rPr>
            <w:rStyle w:val="Hyperlink"/>
          </w:rPr>
          <w:t>https://tickets.ijc3.doe.gov</w:t>
        </w:r>
      </w:hyperlink>
      <w:r>
        <w:t xml:space="preserve"> </w:t>
      </w:r>
    </w:p>
  </w:footnote>
  <w:footnote w:id="4">
    <w:p w14:paraId="7A8162EB" w14:textId="77777777" w:rsidR="00901BBA" w:rsidRDefault="00901BBA" w:rsidP="003E0F72">
      <w:pPr>
        <w:pStyle w:val="FootnoteText"/>
      </w:pPr>
      <w:r>
        <w:rPr>
          <w:rStyle w:val="FootnoteReference"/>
        </w:rPr>
        <w:footnoteRef/>
      </w:r>
      <w:r>
        <w:t xml:space="preserve"> </w:t>
      </w:r>
      <w:hyperlink r:id="rId4" w:history="1">
        <w:r w:rsidRPr="00547753">
          <w:rPr>
            <w:rStyle w:val="Hyperlink"/>
          </w:rPr>
          <w:t>https://www.nist.gov/itl/nist-cloud-computing-related-publications</w:t>
        </w:r>
      </w:hyperlink>
      <w:r>
        <w:t xml:space="preserve"> </w:t>
      </w:r>
    </w:p>
  </w:footnote>
  <w:footnote w:id="5">
    <w:p w14:paraId="50BCDCD0" w14:textId="77777777" w:rsidR="00901BBA" w:rsidRDefault="00901BBA" w:rsidP="003E0F72">
      <w:pPr>
        <w:pStyle w:val="FootnoteText"/>
      </w:pPr>
      <w:r>
        <w:rPr>
          <w:rStyle w:val="FootnoteReference"/>
        </w:rPr>
        <w:footnoteRef/>
      </w:r>
      <w:r>
        <w:t xml:space="preserve"> </w:t>
      </w:r>
      <w:hyperlink r:id="rId5" w:history="1">
        <w:r w:rsidRPr="00547753">
          <w:rPr>
            <w:rStyle w:val="Hyperlink"/>
          </w:rPr>
          <w:t>https://www.nist.gov/topics/internet-things-iot</w:t>
        </w:r>
      </w:hyperlink>
      <w:r>
        <w:t xml:space="preserve"> </w:t>
      </w:r>
    </w:p>
  </w:footnote>
  <w:footnote w:id="6">
    <w:p w14:paraId="786FF2BF" w14:textId="77777777" w:rsidR="00901BBA" w:rsidRDefault="00901BBA" w:rsidP="003E0F72">
      <w:pPr>
        <w:pStyle w:val="FootnoteText"/>
      </w:pPr>
      <w:r>
        <w:rPr>
          <w:rStyle w:val="FootnoteReference"/>
        </w:rPr>
        <w:footnoteRef/>
      </w:r>
      <w:r>
        <w:t xml:space="preserve"> </w:t>
      </w:r>
      <w:hyperlink r:id="rId6" w:history="1">
        <w:r w:rsidRPr="00547753">
          <w:rPr>
            <w:rStyle w:val="Hyperlink"/>
          </w:rPr>
          <w:t>https://csrc.nist.gov/publications/detail/sp/800-124/rev-1/final</w:t>
        </w:r>
      </w:hyperlink>
      <w:r>
        <w:t xml:space="preserve"> </w:t>
      </w:r>
    </w:p>
  </w:footnote>
  <w:footnote w:id="7">
    <w:p w14:paraId="79C08BC2" w14:textId="77777777" w:rsidR="00901BBA" w:rsidRDefault="00901BBA" w:rsidP="003E0F72">
      <w:pPr>
        <w:pStyle w:val="FootnoteText"/>
      </w:pPr>
      <w:r>
        <w:rPr>
          <w:rStyle w:val="FootnoteReference"/>
        </w:rPr>
        <w:footnoteRef/>
      </w:r>
      <w:r>
        <w:t xml:space="preserve"> </w:t>
      </w:r>
      <w:hyperlink r:id="rId7" w:history="1">
        <w:r w:rsidRPr="00547753">
          <w:rPr>
            <w:rStyle w:val="Hyperlink"/>
          </w:rPr>
          <w:t>https://www.nccoe.nist.gov/sites/default/files/library/mtc-nistir-8144-draft.pdf</w:t>
        </w:r>
      </w:hyperlink>
      <w:r>
        <w:t xml:space="preserve"> </w:t>
      </w:r>
    </w:p>
  </w:footnote>
  <w:footnote w:id="8">
    <w:p w14:paraId="6ABE93C6" w14:textId="77777777" w:rsidR="00901BBA" w:rsidRDefault="00901BBA" w:rsidP="003E0F72">
      <w:pPr>
        <w:pStyle w:val="FootnoteText"/>
      </w:pPr>
      <w:r>
        <w:rPr>
          <w:rStyle w:val="FootnoteReference"/>
        </w:rPr>
        <w:footnoteRef/>
      </w:r>
      <w:r>
        <w:t xml:space="preserve"> </w:t>
      </w:r>
      <w:hyperlink r:id="rId8" w:history="1">
        <w:r w:rsidRPr="00547753">
          <w:rPr>
            <w:rStyle w:val="Hyperlink"/>
          </w:rPr>
          <w:t>https://www.nccoe.nist.gov/projects/building-blocks/mobile-device-security/cloud-hybrid</w:t>
        </w:r>
      </w:hyperlink>
      <w:r>
        <w:t xml:space="preserve"> </w:t>
      </w:r>
    </w:p>
  </w:footnote>
  <w:footnote w:id="9">
    <w:p w14:paraId="0B46BBBF" w14:textId="77777777" w:rsidR="008C1861" w:rsidRDefault="008C1861" w:rsidP="00733414">
      <w:pPr>
        <w:pStyle w:val="FootnoteText"/>
      </w:pPr>
      <w:r>
        <w:rPr>
          <w:rStyle w:val="FootnoteReference"/>
        </w:rPr>
        <w:footnoteRef/>
      </w:r>
      <w:r>
        <w:t xml:space="preserve"> </w:t>
      </w:r>
      <w:hyperlink r:id="rId9" w:history="1">
        <w:r w:rsidRPr="00547753">
          <w:rPr>
            <w:rStyle w:val="Hyperlink"/>
          </w:rPr>
          <w:t>https://www.sandia.gov/emulytics/</w:t>
        </w:r>
      </w:hyperlink>
      <w:r>
        <w:t xml:space="preserve"> </w:t>
      </w:r>
    </w:p>
  </w:footnote>
  <w:footnote w:id="10">
    <w:p w14:paraId="5C205F11" w14:textId="77777777" w:rsidR="008C1861" w:rsidRDefault="008C1861" w:rsidP="008C1861">
      <w:pPr>
        <w:pStyle w:val="FootnoteText"/>
      </w:pPr>
      <w:r>
        <w:rPr>
          <w:rStyle w:val="FootnoteReference"/>
        </w:rPr>
        <w:footnoteRef/>
      </w:r>
      <w:r>
        <w:t xml:space="preserve"> </w:t>
      </w:r>
      <w:hyperlink r:id="rId10" w:history="1">
        <w:r w:rsidRPr="00547753">
          <w:rPr>
            <w:rStyle w:val="Hyperlink"/>
          </w:rPr>
          <w:t>https://www.sandia.gov/news/publications/lab_accomplishments/articles/2018/adv_science_and_tech.html</w:t>
        </w:r>
      </w:hyperlink>
      <w:r>
        <w:t xml:space="preserve"> </w:t>
      </w:r>
    </w:p>
  </w:footnote>
  <w:footnote w:id="11">
    <w:p w14:paraId="5FE37502" w14:textId="77777777" w:rsidR="008C1861" w:rsidRDefault="008C1861" w:rsidP="008C1861">
      <w:pPr>
        <w:pStyle w:val="FootnoteText"/>
      </w:pPr>
      <w:r>
        <w:rPr>
          <w:rStyle w:val="FootnoteReference"/>
        </w:rPr>
        <w:footnoteRef/>
      </w:r>
      <w:r>
        <w:t xml:space="preserve"> </w:t>
      </w:r>
      <w:hyperlink r:id="rId11" w:history="1">
        <w:r w:rsidRPr="00547753">
          <w:rPr>
            <w:rStyle w:val="Hyperlink"/>
          </w:rPr>
          <w:t>https://www.sandia.gov/news/publications/lab_accomplishments/_assets/documents/lab_accomplish-2010.pdf</w:t>
        </w:r>
      </w:hyperlink>
      <w:r>
        <w:t xml:space="preserve"> </w:t>
      </w:r>
    </w:p>
  </w:footnote>
  <w:footnote w:id="12">
    <w:p w14:paraId="6A47ADD0" w14:textId="77777777" w:rsidR="00D41272" w:rsidRDefault="00D41272" w:rsidP="00D41272">
      <w:pPr>
        <w:pStyle w:val="FootnoteText"/>
      </w:pPr>
      <w:r>
        <w:rPr>
          <w:rStyle w:val="FootnoteReference"/>
        </w:rPr>
        <w:footnoteRef/>
      </w:r>
      <w:r>
        <w:t xml:space="preserve"> </w:t>
      </w:r>
      <w:hyperlink r:id="rId12" w:history="1">
        <w:r w:rsidRPr="00547753">
          <w:rPr>
            <w:rStyle w:val="Hyperlink"/>
          </w:rPr>
          <w:t>https://www.cloudflare.com/learning/security/glossary/what-is-zero-trust/</w:t>
        </w:r>
      </w:hyperlink>
      <w:r>
        <w:t xml:space="preserve"> </w:t>
      </w:r>
    </w:p>
  </w:footnote>
  <w:footnote w:id="13">
    <w:p w14:paraId="460165A5" w14:textId="77777777" w:rsidR="00D41272" w:rsidRDefault="00D41272" w:rsidP="00D41272">
      <w:pPr>
        <w:pStyle w:val="FootnoteText"/>
      </w:pPr>
      <w:r>
        <w:rPr>
          <w:rStyle w:val="FootnoteReference"/>
        </w:rPr>
        <w:footnoteRef/>
      </w:r>
      <w:r>
        <w:t xml:space="preserve"> </w:t>
      </w:r>
      <w:hyperlink r:id="rId13" w:history="1">
        <w:r w:rsidRPr="00547753">
          <w:rPr>
            <w:rStyle w:val="Hyperlink"/>
          </w:rPr>
          <w:t>https://www.carbonblack.com/resources/definitions/what-is-fileless-malware/</w:t>
        </w:r>
      </w:hyperlink>
      <w:r>
        <w:t xml:space="preserve"> </w:t>
      </w:r>
    </w:p>
  </w:footnote>
  <w:footnote w:id="14">
    <w:p w14:paraId="00FEDE29" w14:textId="77777777" w:rsidR="008C1861" w:rsidRDefault="008C1861" w:rsidP="00A956BA">
      <w:pPr>
        <w:pStyle w:val="FootnoteText"/>
      </w:pPr>
      <w:r>
        <w:rPr>
          <w:rStyle w:val="FootnoteReference"/>
        </w:rPr>
        <w:footnoteRef/>
      </w:r>
      <w:r>
        <w:t xml:space="preserve"> </w:t>
      </w:r>
      <w:hyperlink r:id="rId14"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347" w14:textId="77777777" w:rsidR="00E91CA6" w:rsidRPr="00E91CA6" w:rsidRDefault="00E91CA6" w:rsidP="00E91CA6">
    <w:pPr>
      <w:pStyle w:val="Header"/>
      <w:tabs>
        <w:tab w:val="left" w:pos="1080"/>
      </w:tabs>
      <w:ind w:left="2160"/>
      <w:jc w:val="right"/>
      <w:rPr>
        <w:rFonts w:ascii="Times New Roman" w:hAnsi="Times New Roman" w:cs="Times New Roman"/>
        <w:b/>
        <w:sz w:val="28"/>
      </w:rPr>
    </w:pPr>
    <w:r w:rsidRPr="00E91CA6">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3DB6713" wp14:editId="130DE8C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332"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7A34" w14:textId="77777777" w:rsidR="00E91CA6" w:rsidRDefault="00E91CA6" w:rsidP="00E91CA6"/>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DB671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6QRQQAAHoMAAAOAAAAZHJzL2Uyb0RvYy54bWzsV9tu4zYQfS/QfyD0&#10;rpiyZVsSYi8c20oXSLtBdvsBtERZxEokQdKX7KL/3iEp2Y6zbffSxzUQg9fhzDkzZ5zbN8e2QXuq&#10;NBN8FkQ3OECUF6JkfDsL/vyQh0mAtCG8JI3gdBY8Ux28mf/6y+1BZnQoatGUVCEwwnV2kLOgNkZm&#10;g4EuatoSfSMk5bBZCdUSA1O1HZSKHMB62wyGGE8GB6FKqURBtYbVld8M5s5+VdHCvKsqTQ1qZgH4&#10;Zty3ct8b+z2Y35Jsq4isWdG5Qb7Di5YwDo+eTK2IIWin2CtTLSuU0KIyN4VoB6KqWEFdDBBNhK+i&#10;uVdiJ10s2+ywlSeYANornL7bbPHH/lEhVgJ3AeKkBYrcqyiy0BzkNoMT90q+l4/KxwfDB1F81LA9&#10;uN63860/jDaH30UJ5sjOCAfNsVItqhomf7OPWWMQPjo6Lp5PXNCjQQUsRpMUj6ZAWQF7UZyMU9yx&#10;VdRAqb0XRRNw2m4nOPZMFvW6uz+FC/7yGMfu5oBk1oXO7c5NGyNknj6Dq38M3Pc1kdRxpi10HbjD&#10;HtwnyEjCtw1FQw+wO9Wjqz20iItlDafoQilxqCkpwSlHCCB+ccFONBDzDVgnoxH44jAbJR6zHvHR&#10;BGrVop1OUrtzwotkUmlzT0WL7GAWKAjCEUj2D9r4o/0RyysXOWsaWCdZw18sgE2/Ao/CVbtnn3eV&#10;8jnF6TpZJ3EYDyfrMMarVbjIl3E4yaPpeDVaLZer6C/7bhRnNStLyu0zfdVG8dcR1+mHr7dT3WrR&#10;sNKasy5ptd0sG4X2BFQjd58OkItjg5duOLwglquQomGM74ZpmE+SaRjn8ThMpzgJcZTepRMcp/Eq&#10;fxnSA+P0x0NCB6BxPBw7li6cvooNu8/r2EjWMgO63LB2FiSnQySzubjmpaPWENb48QUU1v0zFEB3&#10;T7TLXJusvuLMcXMEKzaDN6J8hhxWAjILShaaCQxqoT4F6ADCPAs4dI4ANW85VIHV8H6g+sGmHxBe&#10;wMVZYALkh0vjtX4nFdvWYNcLj5YLUKWcudw9++CkwanB/FayIoO/jgoYvcqu/+5NcMvsFPju+1v7&#10;VTZaoj7uZAjtQRLDNqxh5tm1OuDSOsX3j6ywMNrJWWFGvcLArn0UjSyt/Rl7A4qXVlQ90Qbs7ukT&#10;1ewT6DN2OQIHnaqfpUdLqHIL2HnplRpdmgfw7PSFextQ+76o7LgDAji56l9fwNL3xpUodi3lxjd7&#10;5XwXXNdM6gCpjLYbWoIgvS09sX22XcrKMFlgnA7vwuUYL0FWputwkcbTcIrX0xjHSbSMln0N7jQF&#10;GEizkux/KEKnH33vcdpwWRAks5B4vSlsX3BVpY2ipqjtcgVy1K3DvdOGg/mMrAX9G5vAFxoneOfa&#10;7r+0zZ9tIM9fS+WF9vlM9xT/bAP/0Ab6dO3kAqZOdd0PXBi9+AV9OXenzv8yzP8G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sYekEUEAAB6&#10;DAAADgAAAAAAAAAAAAAAAAA6AgAAZHJzL2Uyb0RvYy54bWxQSwECLQAKAAAAAAAAACEAjspHLhER&#10;AAAREQAAFAAAAAAAAAAAAAAAAACrBgAAZHJzL21lZGlhL2ltYWdlMS5wbmdQSwECLQAUAAYACAAA&#10;ACEA3N+i7N4AAAAKAQAADwAAAAAAAAAAAAAAAADuFwAAZHJzL2Rvd25yZXYueG1sUEsBAi0AFAAG&#10;AAgAAAAhAKomDr68AAAAIQEAABkAAAAAAAAAAAAAAAAA+RgAAGRycy9fcmVscy9lMm9Eb2MueG1s&#10;LnJlbHNQSwUGAAAAAAYABgB8AQAA7BkAAAAA&#10;">
              <v:rect id="Rectangle 2" o:spid="_x0000_s1027" style="position:absolute;left:8332;top:1838;width:368;height:96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DC77A34" w14:textId="77777777" w:rsidR="00E91CA6" w:rsidRDefault="00E91CA6" w:rsidP="00E91CA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055C6BA" w14:textId="77777777" w:rsidR="00E91CA6" w:rsidRPr="00E91CA6" w:rsidRDefault="00E91CA6" w:rsidP="00E91CA6">
    <w:pPr>
      <w:pStyle w:val="Header"/>
      <w:tabs>
        <w:tab w:val="left" w:pos="-630"/>
        <w:tab w:val="right" w:pos="9810"/>
      </w:tabs>
      <w:ind w:left="1800"/>
      <w:jc w:val="right"/>
      <w:rPr>
        <w:rFonts w:ascii="Times New Roman" w:hAnsi="Times New Roman" w:cs="Times New Roman"/>
        <w:b/>
        <w:spacing w:val="20"/>
        <w:sz w:val="32"/>
        <w:szCs w:val="32"/>
      </w:rPr>
    </w:pPr>
    <w:r w:rsidRPr="00E91CA6">
      <w:rPr>
        <w:rFonts w:ascii="Times New Roman" w:hAnsi="Times New Roman" w:cs="Times New Roman"/>
        <w:b/>
        <w:spacing w:val="20"/>
        <w:sz w:val="32"/>
        <w:szCs w:val="32"/>
      </w:rPr>
      <w:t>North American Energy Standards Board</w:t>
    </w:r>
  </w:p>
  <w:p w14:paraId="25B5C8E7" w14:textId="77777777" w:rsidR="00E91CA6" w:rsidRPr="00E91CA6" w:rsidRDefault="00E91CA6" w:rsidP="00E91CA6">
    <w:pPr>
      <w:pStyle w:val="Header"/>
      <w:tabs>
        <w:tab w:val="left" w:pos="680"/>
        <w:tab w:val="right" w:pos="9810"/>
      </w:tabs>
      <w:spacing w:before="60"/>
      <w:ind w:left="1800"/>
      <w:jc w:val="right"/>
      <w:rPr>
        <w:rFonts w:ascii="Times New Roman" w:hAnsi="Times New Roman" w:cs="Times New Roman"/>
      </w:rPr>
    </w:pPr>
    <w:r w:rsidRPr="00E91CA6">
      <w:rPr>
        <w:rFonts w:ascii="Times New Roman" w:hAnsi="Times New Roman" w:cs="Times New Roman"/>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rPr>
                <w:rFonts w:ascii="Times New Roman" w:hAnsi="Times New Roman" w:cs="Times New Roman"/>
              </w:rPr>
              <w:t>Suite</w:t>
            </w:r>
          </w:smartTag>
        </w:smartTag>
        <w:r w:rsidRPr="00E91CA6">
          <w:rPr>
            <w:rFonts w:ascii="Times New Roman" w:hAnsi="Times New Roman" w:cs="Times New Roman"/>
          </w:rPr>
          <w:t xml:space="preserve"> 1675</w:t>
        </w:r>
      </w:smartTag>
    </w:smartTag>
    <w:r w:rsidRPr="00E91CA6">
      <w:rPr>
        <w:rFonts w:ascii="Times New Roman" w:hAnsi="Times New Roman" w:cs="Times New Roman"/>
      </w:rPr>
      <w:t xml:space="preserve">, </w:t>
    </w:r>
    <w:smartTag w:uri="urn:schemas-microsoft-com:office:smarttags" w:element="place">
      <w:smartTag w:uri="urn:schemas-microsoft-com:office:smarttags" w:element="City">
        <w:r w:rsidRPr="00E91CA6">
          <w:rPr>
            <w:rFonts w:ascii="Times New Roman" w:hAnsi="Times New Roman" w:cs="Times New Roman"/>
          </w:rPr>
          <w:t>Houston</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Texas</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77002</w:t>
        </w:r>
      </w:smartTag>
    </w:smartTag>
  </w:p>
  <w:p w14:paraId="49E91F28" w14:textId="77777777" w:rsidR="00E91CA6" w:rsidRPr="00E91CA6" w:rsidRDefault="00E91CA6" w:rsidP="00E91CA6">
    <w:pPr>
      <w:pStyle w:val="Header"/>
      <w:ind w:left="1800"/>
      <w:jc w:val="right"/>
      <w:rPr>
        <w:rFonts w:ascii="Times New Roman" w:hAnsi="Times New Roman" w:cs="Times New Roman"/>
        <w:lang w:val="fr-FR"/>
      </w:rPr>
    </w:pPr>
    <w:proofErr w:type="gramStart"/>
    <w:r w:rsidRPr="00E91CA6">
      <w:rPr>
        <w:rFonts w:ascii="Times New Roman" w:hAnsi="Times New Roman" w:cs="Times New Roman"/>
        <w:lang w:val="fr-FR"/>
      </w:rPr>
      <w:t>Phone:</w:t>
    </w:r>
    <w:proofErr w:type="gramEnd"/>
    <w:r w:rsidRPr="00E91CA6">
      <w:rPr>
        <w:rFonts w:ascii="Times New Roman" w:hAnsi="Times New Roman" w:cs="Times New Roman"/>
        <w:lang w:val="fr-FR"/>
      </w:rPr>
      <w:t xml:space="preserve">  (713) 356-0060, Fax:  (713) 356-0067, E-mail: naesb@naesb.org</w:t>
    </w:r>
  </w:p>
  <w:p w14:paraId="0F5D2830" w14:textId="77777777" w:rsidR="00E91CA6" w:rsidRPr="00E91CA6" w:rsidRDefault="00E91CA6" w:rsidP="00E91CA6">
    <w:pPr>
      <w:pStyle w:val="Header"/>
      <w:pBdr>
        <w:bottom w:val="single" w:sz="18" w:space="1" w:color="auto"/>
      </w:pBdr>
      <w:ind w:left="1800" w:hanging="1800"/>
      <w:jc w:val="right"/>
      <w:rPr>
        <w:rStyle w:val="Hyperlink"/>
        <w:rFonts w:ascii="Times New Roman" w:hAnsi="Times New Roman" w:cs="Times New Roman"/>
      </w:rPr>
    </w:pPr>
    <w:r w:rsidRPr="00E91CA6">
      <w:rPr>
        <w:rFonts w:ascii="Times New Roman" w:hAnsi="Times New Roman" w:cs="Times New Roman"/>
        <w:lang w:val="fr-FR"/>
      </w:rPr>
      <w:tab/>
    </w:r>
    <w:r w:rsidRPr="00E91CA6">
      <w:rPr>
        <w:rFonts w:ascii="Times New Roman" w:hAnsi="Times New Roman" w:cs="Times New Roman"/>
      </w:rPr>
      <w:t xml:space="preserve">Home Page: </w:t>
    </w:r>
    <w:hyperlink r:id="rId3" w:history="1">
      <w:r w:rsidRPr="00E91CA6">
        <w:rPr>
          <w:rStyle w:val="Hyperlink"/>
          <w:rFonts w:ascii="Times New Roman" w:hAnsi="Times New Roman" w:cs="Times New Roman"/>
        </w:rPr>
        <w:t>www.naesb.org</w:t>
      </w:r>
    </w:hyperlink>
  </w:p>
  <w:p w14:paraId="7B2917B2" w14:textId="77777777" w:rsidR="00E91CA6" w:rsidRDefault="00E9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5"/>
    <w:rsid w:val="001027DD"/>
    <w:rsid w:val="0015535D"/>
    <w:rsid w:val="00186DED"/>
    <w:rsid w:val="001C09F9"/>
    <w:rsid w:val="001D4022"/>
    <w:rsid w:val="001E556C"/>
    <w:rsid w:val="002D122E"/>
    <w:rsid w:val="002E439C"/>
    <w:rsid w:val="003D1136"/>
    <w:rsid w:val="003F1B74"/>
    <w:rsid w:val="0040455D"/>
    <w:rsid w:val="0049286C"/>
    <w:rsid w:val="004B2E03"/>
    <w:rsid w:val="004F5977"/>
    <w:rsid w:val="00515387"/>
    <w:rsid w:val="00516683"/>
    <w:rsid w:val="00580FD4"/>
    <w:rsid w:val="005B7591"/>
    <w:rsid w:val="006718D5"/>
    <w:rsid w:val="006D2928"/>
    <w:rsid w:val="007A2242"/>
    <w:rsid w:val="00863634"/>
    <w:rsid w:val="00883C93"/>
    <w:rsid w:val="008A489F"/>
    <w:rsid w:val="008C1861"/>
    <w:rsid w:val="00901BBA"/>
    <w:rsid w:val="00934BAC"/>
    <w:rsid w:val="009411B8"/>
    <w:rsid w:val="0096551C"/>
    <w:rsid w:val="00996C8B"/>
    <w:rsid w:val="009C6839"/>
    <w:rsid w:val="00A56016"/>
    <w:rsid w:val="00B01F2D"/>
    <w:rsid w:val="00B56DD5"/>
    <w:rsid w:val="00B67572"/>
    <w:rsid w:val="00BC2431"/>
    <w:rsid w:val="00CD1EDB"/>
    <w:rsid w:val="00CF3F5C"/>
    <w:rsid w:val="00D41272"/>
    <w:rsid w:val="00D50D37"/>
    <w:rsid w:val="00D51BCB"/>
    <w:rsid w:val="00D81262"/>
    <w:rsid w:val="00DA0B82"/>
    <w:rsid w:val="00DB4735"/>
    <w:rsid w:val="00E45E7F"/>
    <w:rsid w:val="00E91CA6"/>
    <w:rsid w:val="00EB664F"/>
    <w:rsid w:val="00F94F0A"/>
    <w:rsid w:val="00FB6420"/>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C81714"/>
  <w15:chartTrackingRefBased/>
  <w15:docId w15:val="{9BC9008E-ECAD-4F05-9936-7FAC828E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735"/>
    <w:pPr>
      <w:spacing w:after="0" w:line="240" w:lineRule="auto"/>
      <w:ind w:left="720"/>
      <w:contextualSpacing/>
    </w:pPr>
    <w:rPr>
      <w:rFonts w:ascii="Times New Roman" w:hAnsi="Times New Roman" w:cs="Times New Roman"/>
      <w:sz w:val="20"/>
    </w:rPr>
  </w:style>
  <w:style w:type="character" w:styleId="Hyperlink">
    <w:name w:val="Hyperlink"/>
    <w:rsid w:val="00DB4735"/>
    <w:rPr>
      <w:u w:val="single"/>
    </w:rPr>
  </w:style>
  <w:style w:type="character" w:styleId="FootnoteReference">
    <w:name w:val="footnote reference"/>
    <w:uiPriority w:val="99"/>
    <w:rsid w:val="00DB4735"/>
    <w:rPr>
      <w:vertAlign w:val="superscript"/>
    </w:rPr>
  </w:style>
  <w:style w:type="paragraph" w:styleId="FootnoteText">
    <w:name w:val="footnote text"/>
    <w:link w:val="FootnoteTextChar"/>
    <w:uiPriority w:val="99"/>
    <w:rsid w:val="00DB47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DB4735"/>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E9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6"/>
  </w:style>
  <w:style w:type="paragraph" w:styleId="Footer">
    <w:name w:val="footer"/>
    <w:basedOn w:val="Normal"/>
    <w:link w:val="FooterChar"/>
    <w:uiPriority w:val="99"/>
    <w:unhideWhenUsed/>
    <w:rsid w:val="00E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coe.nist.gov/projects/building-blocks/mobile-device-security/cloud-hybrid" TargetMode="External"/><Relationship Id="rId13" Type="http://schemas.openxmlformats.org/officeDocument/2006/relationships/hyperlink" Target="https://www.carbonblack.com/resources/definitions/what-is-fileless-malware/" TargetMode="External"/><Relationship Id="rId3" Type="http://schemas.openxmlformats.org/officeDocument/2006/relationships/hyperlink" Target="https://tickets.ijc3.doe.gov" TargetMode="External"/><Relationship Id="rId7" Type="http://schemas.openxmlformats.org/officeDocument/2006/relationships/hyperlink" Target="https://www.nccoe.nist.gov/sites/default/files/library/mtc-nistir-8144-draft.pdf" TargetMode="External"/><Relationship Id="rId12" Type="http://schemas.openxmlformats.org/officeDocument/2006/relationships/hyperlink" Target="https://www.cloudflare.com/learning/security/glossary/what-is-zero-trust/" TargetMode="External"/><Relationship Id="rId2" Type="http://schemas.openxmlformats.org/officeDocument/2006/relationships/hyperlink" Target="https://www.dhs.gov/how-do-i/report-cyber-incidents" TargetMode="External"/><Relationship Id="rId1" Type="http://schemas.openxmlformats.org/officeDocument/2006/relationships/hyperlink" Target="https://www.us-cert.gov/forms/report" TargetMode="External"/><Relationship Id="rId6" Type="http://schemas.openxmlformats.org/officeDocument/2006/relationships/hyperlink" Target="https://csrc.nist.gov/publications/detail/sp/800-124/rev-1/final" TargetMode="External"/><Relationship Id="rId11" Type="http://schemas.openxmlformats.org/officeDocument/2006/relationships/hyperlink" Target="https://www.sandia.gov/news/publications/lab_accomplishments/_assets/documents/lab_accomplish-2010.pdf" TargetMode="External"/><Relationship Id="rId5" Type="http://schemas.openxmlformats.org/officeDocument/2006/relationships/hyperlink" Target="https://www.nist.gov/topics/internet-things-iot" TargetMode="External"/><Relationship Id="rId10" Type="http://schemas.openxmlformats.org/officeDocument/2006/relationships/hyperlink" Target="https://www.sandia.gov/news/publications/lab_accomplishments/articles/2018/adv_science_and_tech.html" TargetMode="External"/><Relationship Id="rId4" Type="http://schemas.openxmlformats.org/officeDocument/2006/relationships/hyperlink" Target="https://www.nist.gov/itl/nist-cloud-computing-related-publications" TargetMode="External"/><Relationship Id="rId9" Type="http://schemas.openxmlformats.org/officeDocument/2006/relationships/hyperlink" Target="https://www.sandia.gov/emulytics/" TargetMode="External"/><Relationship Id="rId14" Type="http://schemas.openxmlformats.org/officeDocument/2006/relationships/hyperlink" Target="https://www.sans.org/security-resources/policies/application-security/pdf/web-application-securit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0F52-A2E7-4058-B33A-BD178AAD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9</cp:revision>
  <dcterms:created xsi:type="dcterms:W3CDTF">2019-08-01T22:01:00Z</dcterms:created>
  <dcterms:modified xsi:type="dcterms:W3CDTF">2019-08-06T19:43:00Z</dcterms:modified>
</cp:coreProperties>
</file>