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8E2BD" w14:textId="77777777" w:rsidR="005B095A" w:rsidRPr="005D1B94" w:rsidRDefault="005B095A" w:rsidP="005B095A">
      <w:pPr>
        <w:tabs>
          <w:tab w:val="left" w:pos="900"/>
        </w:tabs>
        <w:spacing w:after="120"/>
        <w:ind w:left="907" w:hanging="907"/>
      </w:pPr>
      <w:r w:rsidRPr="005D1B94">
        <w:rPr>
          <w:b/>
        </w:rPr>
        <w:t>TO:</w:t>
      </w:r>
      <w:r w:rsidRPr="005D1B94">
        <w:tab/>
        <w:t>All Interested Parties</w:t>
      </w:r>
    </w:p>
    <w:p w14:paraId="716F6F55" w14:textId="1AB072A4" w:rsidR="005B095A" w:rsidRPr="005D1B94" w:rsidRDefault="005B095A" w:rsidP="005B095A">
      <w:pPr>
        <w:tabs>
          <w:tab w:val="left" w:pos="900"/>
        </w:tabs>
        <w:ind w:left="907" w:hanging="907"/>
        <w:jc w:val="both"/>
        <w:rPr>
          <w:bCs/>
        </w:rPr>
      </w:pPr>
      <w:r w:rsidRPr="005D1B94">
        <w:rPr>
          <w:b/>
          <w:bCs/>
        </w:rPr>
        <w:t>FROM:</w:t>
      </w:r>
      <w:r w:rsidRPr="005D1B94">
        <w:rPr>
          <w:b/>
          <w:bCs/>
        </w:rPr>
        <w:tab/>
      </w:r>
      <w:r w:rsidRPr="005D1B94">
        <w:rPr>
          <w:b/>
          <w:bCs/>
        </w:rPr>
        <w:tab/>
      </w:r>
      <w:r w:rsidR="00F177A5">
        <w:rPr>
          <w:bCs/>
        </w:rPr>
        <w:t>Board CIC Chair and Vice Chair</w:t>
      </w:r>
    </w:p>
    <w:p w14:paraId="5B0F07B0" w14:textId="5200C54B" w:rsidR="005B095A" w:rsidRPr="002E7143" w:rsidRDefault="005B095A" w:rsidP="005B095A">
      <w:pPr>
        <w:pBdr>
          <w:bottom w:val="single" w:sz="12" w:space="1" w:color="auto"/>
        </w:pBdr>
        <w:tabs>
          <w:tab w:val="left" w:pos="900"/>
        </w:tabs>
        <w:spacing w:before="120"/>
        <w:ind w:left="900" w:hanging="900"/>
        <w:jc w:val="both"/>
        <w:rPr>
          <w:bCs/>
        </w:rPr>
      </w:pPr>
      <w:r w:rsidRPr="005D1B94">
        <w:rPr>
          <w:b/>
          <w:bCs/>
        </w:rPr>
        <w:t>RE:</w:t>
      </w:r>
      <w:r w:rsidRPr="005D1B94">
        <w:rPr>
          <w:b/>
          <w:bCs/>
        </w:rPr>
        <w:tab/>
      </w:r>
      <w:r>
        <w:rPr>
          <w:b/>
          <w:bCs/>
        </w:rPr>
        <w:t xml:space="preserve">Proposed Surety Assessment Standard Development Activities and Assignments </w:t>
      </w:r>
      <w:r w:rsidR="00F177A5">
        <w:rPr>
          <w:b/>
          <w:bCs/>
        </w:rPr>
        <w:t xml:space="preserve">Chairs’ </w:t>
      </w:r>
      <w:r>
        <w:rPr>
          <w:b/>
          <w:bCs/>
        </w:rPr>
        <w:t xml:space="preserve">Work Paper – NAESB </w:t>
      </w:r>
      <w:r w:rsidR="006B3EB0">
        <w:rPr>
          <w:b/>
          <w:bCs/>
        </w:rPr>
        <w:t>Business Operations Practices and Standards</w:t>
      </w:r>
    </w:p>
    <w:p w14:paraId="6BE0177B" w14:textId="1AC62955" w:rsidR="005B095A" w:rsidRPr="00847D64" w:rsidRDefault="005B095A" w:rsidP="005B095A">
      <w:pPr>
        <w:spacing w:before="120" w:after="120"/>
        <w:jc w:val="center"/>
        <w:rPr>
          <w:sz w:val="24"/>
          <w:szCs w:val="24"/>
          <w:u w:val="single"/>
        </w:rPr>
      </w:pPr>
      <w:r w:rsidRPr="00847D64">
        <w:rPr>
          <w:sz w:val="24"/>
          <w:szCs w:val="24"/>
          <w:u w:val="single"/>
        </w:rPr>
        <w:t>Proposed Surety Assessment Standard Development Activities and Assignments – NAESB Business Operations Practices and Standards</w:t>
      </w:r>
      <w:r w:rsidR="005375BC">
        <w:rPr>
          <w:sz w:val="24"/>
          <w:szCs w:val="24"/>
          <w:u w:val="single"/>
        </w:rPr>
        <w:t xml:space="preserve"> – DRAFT </w:t>
      </w:r>
    </w:p>
    <w:p w14:paraId="110D0D10" w14:textId="57166408" w:rsidR="002C046D" w:rsidRDefault="005B095A" w:rsidP="00B72292">
      <w:pPr>
        <w:spacing w:before="120" w:after="120"/>
        <w:jc w:val="both"/>
      </w:pPr>
      <w:r>
        <w:rPr>
          <w:szCs w:val="20"/>
        </w:rPr>
        <w:t xml:space="preserve">On July 22, 2019, Sandia National Laboratories provided NAESB with the final reports on the surety assessment: </w:t>
      </w:r>
      <w:bookmarkStart w:id="0"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0"/>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1" w:name="_Hlk15570583"/>
      <w:r>
        <w:t>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w:t>
      </w:r>
      <w:bookmarkEnd w:id="1"/>
      <w:r w:rsidR="001E0618">
        <w:t xml:space="preserve">  </w:t>
      </w:r>
    </w:p>
    <w:p w14:paraId="1108683E" w14:textId="20AA6E78" w:rsidR="001E0618" w:rsidRPr="005375BC" w:rsidRDefault="001E0618" w:rsidP="00B72292">
      <w:pPr>
        <w:spacing w:before="120" w:after="120"/>
        <w:jc w:val="both"/>
        <w:rPr>
          <w:b/>
          <w:bCs/>
          <w:u w:val="single"/>
        </w:rPr>
      </w:pPr>
      <w:r w:rsidRPr="005375BC">
        <w:rPr>
          <w:b/>
          <w:bCs/>
          <w:u w:val="single"/>
        </w:rPr>
        <w:t>Security Issues</w:t>
      </w:r>
    </w:p>
    <w:p w14:paraId="073CC40F" w14:textId="33445F12" w:rsidR="00843CD9" w:rsidRDefault="00843CD9" w:rsidP="00B72292">
      <w:pPr>
        <w:spacing w:before="120" w:after="120"/>
        <w:jc w:val="both"/>
      </w:pPr>
      <w:r>
        <w:t>The first section of this work paper</w:t>
      </w:r>
      <w:r w:rsidR="001E0618">
        <w:t xml:space="preserve"> identifies the </w:t>
      </w:r>
      <w:r w:rsidR="006D2244">
        <w:t>items</w:t>
      </w:r>
      <w:r w:rsidR="001E0618">
        <w:t xml:space="preserve"> included in Section 6.1 Security Issues </w:t>
      </w:r>
      <w:r>
        <w:t>of the Assessment Report of the NAESB Business Operations Practices and Standards</w:t>
      </w:r>
      <w:r w:rsidR="001E0618">
        <w:t xml:space="preserve"> and contains the specific </w:t>
      </w:r>
      <w:r w:rsidR="005375BC">
        <w:t>standard development efforts</w:t>
      </w:r>
      <w:r w:rsidR="006D2244">
        <w:t xml:space="preserve"> </w:t>
      </w:r>
      <w:r w:rsidR="005375BC">
        <w:t xml:space="preserve">identified by the Board Critical Infrastructure Committee that </w:t>
      </w:r>
      <w:r w:rsidR="006D2244">
        <w:t xml:space="preserve">NAESB should consider in response.  </w:t>
      </w:r>
      <w:r>
        <w:t xml:space="preserve">As indicated by Sandia National Laboratories, </w:t>
      </w:r>
      <w:r w:rsidR="006D2244">
        <w:t>Section 6.1</w:t>
      </w:r>
      <w:r>
        <w:t xml:space="preserve"> </w:t>
      </w:r>
      <w:r w:rsidR="002C046D">
        <w:t>addresses</w:t>
      </w:r>
      <w:r>
        <w:t xml:space="preserve"> “vulnerabilities that could provide an opportunity to an attacker wishing to conduct malicious activities that would affect business operations that utilize the NAESB [Internet Electronic Transport and Electronic Delivery Mechanism] Standards.</w:t>
      </w:r>
      <w:r w:rsidR="006D2244">
        <w:t xml:space="preserve">”  </w:t>
      </w:r>
      <w:r w:rsidR="00DF581A">
        <w:t xml:space="preserve">As part of Section 6.1, Sandia National Laboratories has identified two areas of vulnerability: Section </w:t>
      </w:r>
      <w:r w:rsidR="006D2244">
        <w:t xml:space="preserve">6.1.1 NAESB Standards Refer to Vulnerable Versions of Communication Protocols and </w:t>
      </w:r>
      <w:r w:rsidR="00DF581A">
        <w:t xml:space="preserve">Section </w:t>
      </w:r>
      <w:r w:rsidR="006D2244">
        <w:t xml:space="preserve">6.1.2 NAESB Standards Need Review for Unused or Unnecessary Functionality.  Within these two </w:t>
      </w:r>
      <w:r w:rsidR="004D67E3">
        <w:t>sub</w:t>
      </w:r>
      <w:r w:rsidR="006D2244">
        <w:t xml:space="preserve">sections, Sandia National Laboratories has </w:t>
      </w:r>
      <w:r w:rsidR="00D943FF">
        <w:t xml:space="preserve">provided </w:t>
      </w:r>
      <w:r w:rsidR="00DF581A">
        <w:t xml:space="preserve">five </w:t>
      </w:r>
      <w:r w:rsidR="009C4FE5">
        <w:t>recommendations to address the identified vulnerabilities.</w:t>
      </w:r>
    </w:p>
    <w:p w14:paraId="28C77535" w14:textId="4C16651C" w:rsidR="00F02102" w:rsidRDefault="006A44D6" w:rsidP="00B72292">
      <w:pPr>
        <w:spacing w:before="120" w:after="120"/>
        <w:jc w:val="both"/>
      </w:pPr>
      <w:r>
        <w:t xml:space="preserve">Sandia National Laboratories assigned a level </w:t>
      </w:r>
      <w:r w:rsidR="00DF581A">
        <w:t>of severity for each vulnerability</w:t>
      </w:r>
      <w:r>
        <w:t xml:space="preserve">: (1) High – represents a systemic weakness which could allow an adversary to directly and/or covertly conduct malicious activity; (2) Moderate – represents a weakness which could allow an adversary to conduct malicious activity and cause considerable degradation of operations; or (3) Low </w:t>
      </w:r>
      <w:r w:rsidR="00843CD9">
        <w:t>–</w:t>
      </w:r>
      <w:r>
        <w:t xml:space="preserve"> </w:t>
      </w:r>
      <w:r w:rsidR="00843CD9">
        <w:t>represents a weakness which could allow an adversary to conduct malicious activity and cause targeted or limited impact on the mission.</w:t>
      </w:r>
    </w:p>
    <w:p w14:paraId="44DAFFCB" w14:textId="14187605" w:rsidR="00843CD9" w:rsidRDefault="00843CD9" w:rsidP="00B72292">
      <w:pPr>
        <w:spacing w:before="120" w:after="120"/>
        <w:jc w:val="both"/>
      </w:pPr>
      <w:r>
        <w:t xml:space="preserve">The table below captures the </w:t>
      </w:r>
      <w:r w:rsidR="009C4FE5">
        <w:t>five recommendations</w:t>
      </w:r>
      <w:r>
        <w:t xml:space="preserve"> identified </w:t>
      </w:r>
      <w:r w:rsidR="009C4FE5">
        <w:t>within</w:t>
      </w:r>
      <w:r>
        <w:t xml:space="preserve"> Section </w:t>
      </w:r>
      <w:r w:rsidR="002C046D">
        <w:t>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805"/>
        <w:gridCol w:w="2070"/>
        <w:gridCol w:w="4910"/>
        <w:gridCol w:w="3370"/>
        <w:gridCol w:w="1795"/>
      </w:tblGrid>
      <w:tr w:rsidR="00847D64" w14:paraId="36D149F2" w14:textId="77777777" w:rsidTr="00941ED2">
        <w:trPr>
          <w:tblHeader/>
        </w:trPr>
        <w:tc>
          <w:tcPr>
            <w:tcW w:w="805" w:type="dxa"/>
          </w:tcPr>
          <w:p w14:paraId="771CF68A" w14:textId="032F112B" w:rsidR="00847D64" w:rsidRPr="00873A6C" w:rsidRDefault="00847D64" w:rsidP="001C479B">
            <w:pPr>
              <w:spacing w:before="120" w:after="120"/>
              <w:rPr>
                <w:b/>
              </w:rPr>
            </w:pPr>
            <w:r w:rsidRPr="00873A6C">
              <w:rPr>
                <w:b/>
              </w:rPr>
              <w:lastRenderedPageBreak/>
              <w:t>Issue</w:t>
            </w:r>
          </w:p>
        </w:tc>
        <w:tc>
          <w:tcPr>
            <w:tcW w:w="2070" w:type="dxa"/>
          </w:tcPr>
          <w:p w14:paraId="006DD81D" w14:textId="58662384" w:rsidR="00847D64" w:rsidRPr="00F02102" w:rsidRDefault="00847D64" w:rsidP="00941ED2">
            <w:pPr>
              <w:spacing w:before="120" w:after="120"/>
              <w:rPr>
                <w:b/>
              </w:rPr>
            </w:pPr>
            <w:r>
              <w:rPr>
                <w:b/>
              </w:rPr>
              <w:t>Report Section (Page Number)</w:t>
            </w:r>
          </w:p>
        </w:tc>
        <w:tc>
          <w:tcPr>
            <w:tcW w:w="4910" w:type="dxa"/>
          </w:tcPr>
          <w:p w14:paraId="11C7AC23" w14:textId="3A12D9F4" w:rsidR="00847D64" w:rsidRPr="00F02102" w:rsidRDefault="00847D64" w:rsidP="00CF39B4">
            <w:pPr>
              <w:spacing w:before="120" w:after="120"/>
              <w:jc w:val="both"/>
              <w:rPr>
                <w:b/>
              </w:rPr>
            </w:pPr>
            <w:r w:rsidRPr="00F02102">
              <w:rPr>
                <w:b/>
              </w:rPr>
              <w:t>Sandia Recommendation</w:t>
            </w:r>
          </w:p>
        </w:tc>
        <w:tc>
          <w:tcPr>
            <w:tcW w:w="3370" w:type="dxa"/>
          </w:tcPr>
          <w:p w14:paraId="3423796E" w14:textId="7342A0AE" w:rsidR="00847D64" w:rsidRPr="00F02102" w:rsidRDefault="00847D64" w:rsidP="00F02102">
            <w:pPr>
              <w:spacing w:before="120" w:after="120"/>
              <w:rPr>
                <w:b/>
              </w:rPr>
            </w:pPr>
            <w:r w:rsidRPr="00F02102">
              <w:rPr>
                <w:b/>
              </w:rPr>
              <w:t>Recommended Standards Development Activity</w:t>
            </w:r>
          </w:p>
        </w:tc>
        <w:tc>
          <w:tcPr>
            <w:tcW w:w="1795" w:type="dxa"/>
          </w:tcPr>
          <w:p w14:paraId="4FF64C13" w14:textId="138049C6" w:rsidR="00847D64" w:rsidRPr="00F02102" w:rsidRDefault="00847D64" w:rsidP="00F02102">
            <w:pPr>
              <w:spacing w:before="120" w:after="120"/>
              <w:rPr>
                <w:b/>
              </w:rPr>
            </w:pPr>
            <w:r w:rsidRPr="00F02102">
              <w:rPr>
                <w:b/>
              </w:rPr>
              <w:t xml:space="preserve">Recommended </w:t>
            </w:r>
            <w:r>
              <w:rPr>
                <w:b/>
              </w:rPr>
              <w:t>A</w:t>
            </w:r>
            <w:r w:rsidRPr="00F02102">
              <w:rPr>
                <w:b/>
              </w:rPr>
              <w:t>ssignment</w:t>
            </w:r>
          </w:p>
        </w:tc>
      </w:tr>
      <w:tr w:rsidR="00992E42" w14:paraId="0869E59C" w14:textId="77777777" w:rsidTr="00941ED2">
        <w:tc>
          <w:tcPr>
            <w:tcW w:w="805" w:type="dxa"/>
          </w:tcPr>
          <w:p w14:paraId="437AD2C3" w14:textId="77777777" w:rsidR="00992E42" w:rsidRDefault="00992E42" w:rsidP="00992E42">
            <w:pPr>
              <w:pStyle w:val="ListParagraph"/>
              <w:numPr>
                <w:ilvl w:val="0"/>
                <w:numId w:val="16"/>
              </w:numPr>
              <w:spacing w:before="120" w:after="120"/>
            </w:pPr>
          </w:p>
        </w:tc>
        <w:tc>
          <w:tcPr>
            <w:tcW w:w="2070" w:type="dxa"/>
          </w:tcPr>
          <w:p w14:paraId="613A1E17" w14:textId="06AAE3E2" w:rsidR="00992E42" w:rsidRDefault="00992E42" w:rsidP="00941ED2">
            <w:pPr>
              <w:spacing w:before="120" w:after="120"/>
            </w:pPr>
            <w:r>
              <w:t>Business Operations Practices and Standards Report Section 6.1.1 – NAESB Standards Refer to Vulnerable Versions of Communication Protocols (Page 10 – 11)</w:t>
            </w:r>
          </w:p>
        </w:tc>
        <w:tc>
          <w:tcPr>
            <w:tcW w:w="4910" w:type="dxa"/>
          </w:tcPr>
          <w:p w14:paraId="3DE989BE" w14:textId="3286E17E" w:rsidR="00992E42" w:rsidRDefault="00992E42" w:rsidP="00992E42">
            <w:pPr>
              <w:spacing w:before="120" w:after="120"/>
              <w:jc w:val="both"/>
              <w:rPr>
                <w:szCs w:val="20"/>
              </w:rPr>
            </w:pPr>
            <w:r>
              <w:rPr>
                <w:szCs w:val="20"/>
              </w:rPr>
              <w:t>Level: High</w:t>
            </w:r>
          </w:p>
          <w:p w14:paraId="07A57822" w14:textId="3B90D288" w:rsidR="00992E42" w:rsidRDefault="00992E42" w:rsidP="00992E42">
            <w:pPr>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370" w:type="dxa"/>
          </w:tcPr>
          <w:p w14:paraId="71FE6300" w14:textId="25E7BAD1" w:rsidR="00992E42" w:rsidRPr="00E025EB" w:rsidRDefault="00122DB3" w:rsidP="00992E42">
            <w:pPr>
              <w:spacing w:before="120" w:after="120"/>
              <w:rPr>
                <w:color w:val="FF0000"/>
              </w:rPr>
            </w:pPr>
            <w:r>
              <w:rPr>
                <w:color w:val="FF0000"/>
              </w:rPr>
              <w:t xml:space="preserve">Subcommittees should consider </w:t>
            </w:r>
            <w:r w:rsidR="00CD3B5D">
              <w:rPr>
                <w:color w:val="FF0000"/>
              </w:rPr>
              <w:t>standard(s) to require the</w:t>
            </w:r>
            <w:r w:rsidR="00C04F04">
              <w:rPr>
                <w:color w:val="FF0000"/>
              </w:rPr>
              <w:t xml:space="preserve"> implementation of fixes or patches for known vulnerabilities within 30 days of their publication as recommended.</w:t>
            </w:r>
          </w:p>
        </w:tc>
        <w:tc>
          <w:tcPr>
            <w:tcW w:w="1795" w:type="dxa"/>
          </w:tcPr>
          <w:p w14:paraId="4728EF1C" w14:textId="55D5FD8F" w:rsidR="00E025EB" w:rsidRPr="000D2D9D" w:rsidRDefault="008152E5" w:rsidP="00992E42">
            <w:pPr>
              <w:spacing w:before="120" w:after="120"/>
              <w:rPr>
                <w:color w:val="FF0000"/>
              </w:rPr>
            </w:pPr>
            <w:r>
              <w:rPr>
                <w:color w:val="FF0000"/>
              </w:rPr>
              <w:t xml:space="preserve">Jointly between </w:t>
            </w:r>
            <w:r w:rsidR="00E025EB" w:rsidRPr="00E025EB">
              <w:rPr>
                <w:color w:val="FF0000"/>
              </w:rPr>
              <w:t>WGQ EDM</w:t>
            </w:r>
            <w:r w:rsidR="00CE13AE">
              <w:rPr>
                <w:color w:val="FF0000"/>
              </w:rPr>
              <w:t xml:space="preserve"> and</w:t>
            </w:r>
            <w:r w:rsidR="000D2D9D">
              <w:rPr>
                <w:color w:val="FF0000"/>
              </w:rPr>
              <w:t xml:space="preserve"> </w:t>
            </w:r>
            <w:r w:rsidR="00E025EB" w:rsidRPr="00E025EB">
              <w:rPr>
                <w:color w:val="FF0000"/>
              </w:rPr>
              <w:t>RMQ IR/TEIS</w:t>
            </w:r>
          </w:p>
        </w:tc>
      </w:tr>
      <w:tr w:rsidR="00992E42" w14:paraId="17ED45B4" w14:textId="77777777" w:rsidTr="00941ED2">
        <w:tc>
          <w:tcPr>
            <w:tcW w:w="805" w:type="dxa"/>
          </w:tcPr>
          <w:p w14:paraId="0C442B87" w14:textId="77777777" w:rsidR="00992E42" w:rsidRDefault="00992E42" w:rsidP="00992E42">
            <w:pPr>
              <w:pStyle w:val="ListParagraph"/>
              <w:numPr>
                <w:ilvl w:val="0"/>
                <w:numId w:val="16"/>
              </w:numPr>
              <w:spacing w:before="120" w:after="120"/>
            </w:pPr>
          </w:p>
        </w:tc>
        <w:tc>
          <w:tcPr>
            <w:tcW w:w="2070" w:type="dxa"/>
          </w:tcPr>
          <w:p w14:paraId="00314A40" w14:textId="6A16C5B0" w:rsidR="00992E42" w:rsidRDefault="00992E42"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992E42" w:rsidRDefault="00992E42" w:rsidP="00992E42">
            <w:pPr>
              <w:spacing w:before="120" w:after="120"/>
              <w:jc w:val="both"/>
              <w:rPr>
                <w:szCs w:val="20"/>
              </w:rPr>
            </w:pPr>
            <w:r>
              <w:rPr>
                <w:szCs w:val="20"/>
              </w:rPr>
              <w:t>Level: High</w:t>
            </w:r>
          </w:p>
          <w:p w14:paraId="12A6376C" w14:textId="79236A4F" w:rsidR="00992E42" w:rsidRPr="00FC11D6" w:rsidRDefault="00992E42"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370" w:type="dxa"/>
          </w:tcPr>
          <w:p w14:paraId="0DA8ED86" w14:textId="6B2D2E4A" w:rsidR="00992E42" w:rsidRDefault="000D2D9D" w:rsidP="00992E42">
            <w:pPr>
              <w:spacing w:before="120" w:after="120"/>
            </w:pPr>
            <w:r>
              <w:rPr>
                <w:color w:val="FF0000"/>
              </w:rPr>
              <w:t>Subcommittees should consider standard(s) to provide notice to trading partners as recommended</w:t>
            </w:r>
          </w:p>
        </w:tc>
        <w:tc>
          <w:tcPr>
            <w:tcW w:w="1795" w:type="dxa"/>
          </w:tcPr>
          <w:p w14:paraId="24ACE581" w14:textId="09B09038" w:rsidR="009A0D0A" w:rsidRPr="000D2D9D" w:rsidRDefault="000D2D9D" w:rsidP="00992E42">
            <w:pPr>
              <w:spacing w:before="120" w:after="120"/>
              <w:rPr>
                <w:color w:val="FF0000"/>
              </w:rPr>
            </w:pPr>
            <w:r>
              <w:rPr>
                <w:color w:val="FF0000"/>
              </w:rPr>
              <w:t xml:space="preserve">Jointly between </w:t>
            </w:r>
            <w:r w:rsidR="009A0D0A" w:rsidRPr="009A0D0A">
              <w:rPr>
                <w:color w:val="FF0000"/>
              </w:rPr>
              <w:t>WGQ EDM</w:t>
            </w:r>
            <w:r w:rsidR="00CE13AE">
              <w:rPr>
                <w:color w:val="FF0000"/>
              </w:rPr>
              <w:t xml:space="preserve"> and</w:t>
            </w:r>
            <w:r>
              <w:rPr>
                <w:color w:val="FF0000"/>
              </w:rPr>
              <w:t xml:space="preserve"> </w:t>
            </w:r>
            <w:r w:rsidR="009A0D0A" w:rsidRPr="009A0D0A">
              <w:rPr>
                <w:color w:val="FF0000"/>
              </w:rPr>
              <w:t>RMQ IR/TEIS</w:t>
            </w:r>
          </w:p>
        </w:tc>
      </w:tr>
      <w:tr w:rsidR="00992E42" w14:paraId="383FBEE6" w14:textId="77777777" w:rsidTr="00941ED2">
        <w:tc>
          <w:tcPr>
            <w:tcW w:w="805" w:type="dxa"/>
          </w:tcPr>
          <w:p w14:paraId="645C713A" w14:textId="77777777" w:rsidR="00992E42" w:rsidRDefault="00992E42" w:rsidP="00992E42">
            <w:pPr>
              <w:pStyle w:val="ListParagraph"/>
              <w:numPr>
                <w:ilvl w:val="0"/>
                <w:numId w:val="16"/>
              </w:numPr>
              <w:spacing w:before="120" w:after="120"/>
            </w:pPr>
          </w:p>
        </w:tc>
        <w:tc>
          <w:tcPr>
            <w:tcW w:w="2070" w:type="dxa"/>
          </w:tcPr>
          <w:p w14:paraId="7BA21171" w14:textId="24D14471" w:rsidR="00992E42" w:rsidRDefault="00992E42" w:rsidP="00941ED2">
            <w:pPr>
              <w:spacing w:before="120" w:after="120"/>
            </w:pPr>
            <w:r>
              <w:t xml:space="preserve">Business Operations Practices and Standards Report Section 6.1.1 – NAESB Standards Refer to Vulnerable Versions of Communication </w:t>
            </w:r>
            <w:r>
              <w:lastRenderedPageBreak/>
              <w:t>Protocols (Pages 10 – 11)</w:t>
            </w:r>
          </w:p>
          <w:p w14:paraId="7E739131" w14:textId="77777777" w:rsidR="00992E42" w:rsidRDefault="00992E42" w:rsidP="00941ED2">
            <w:pPr>
              <w:spacing w:before="120" w:after="120"/>
            </w:pPr>
          </w:p>
        </w:tc>
        <w:tc>
          <w:tcPr>
            <w:tcW w:w="4910" w:type="dxa"/>
          </w:tcPr>
          <w:p w14:paraId="7FFFF8DD" w14:textId="2DB35C75" w:rsidR="00992E42" w:rsidRDefault="00992E42" w:rsidP="00992E42">
            <w:pPr>
              <w:spacing w:before="120" w:after="120"/>
              <w:jc w:val="both"/>
              <w:rPr>
                <w:szCs w:val="20"/>
              </w:rPr>
            </w:pPr>
            <w:r>
              <w:rPr>
                <w:szCs w:val="20"/>
              </w:rPr>
              <w:lastRenderedPageBreak/>
              <w:t>Level: High</w:t>
            </w:r>
          </w:p>
          <w:p w14:paraId="21B0ECA0" w14:textId="0B3B60DF" w:rsidR="00992E42" w:rsidRDefault="00992E42" w:rsidP="00992E42">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 xml:space="preserve">The assessment team recommends that the NAESB review and upgrade the minimum requirement for SSL/TLS to version 1.2 </w:t>
            </w:r>
            <w:r w:rsidRPr="008B371A">
              <w:rPr>
                <w:szCs w:val="20"/>
              </w:rPr>
              <w:lastRenderedPageBreak/>
              <w:t>configured with FIPS-based cipher suites as a minimum</w:t>
            </w:r>
            <w:r w:rsidRPr="008B371A">
              <w:rPr>
                <w:rStyle w:val="FootnoteReference"/>
              </w:rPr>
              <w:footnoteReference w:id="1"/>
            </w:r>
            <w:r w:rsidRPr="008B371A">
              <w:rPr>
                <w:szCs w:val="20"/>
              </w:rPr>
              <w:t xml:space="preserve">.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370" w:type="dxa"/>
          </w:tcPr>
          <w:p w14:paraId="1B726987" w14:textId="717D0CC4" w:rsidR="00085262" w:rsidRDefault="00085262" w:rsidP="00992E42">
            <w:pPr>
              <w:spacing w:before="120" w:after="120"/>
            </w:pPr>
            <w:r>
              <w:rPr>
                <w:color w:val="FF0000"/>
              </w:rPr>
              <w:lastRenderedPageBreak/>
              <w:t>Subcommittees should review TLS/SSL references and update the standard(s) accordingly as recommended</w:t>
            </w:r>
          </w:p>
        </w:tc>
        <w:tc>
          <w:tcPr>
            <w:tcW w:w="1795" w:type="dxa"/>
          </w:tcPr>
          <w:p w14:paraId="0F472AC0" w14:textId="3E4B8029" w:rsidR="00992E42" w:rsidRPr="000D2D9D" w:rsidRDefault="000D2D9D" w:rsidP="009A0D0A">
            <w:pPr>
              <w:spacing w:before="120" w:after="120"/>
              <w:rPr>
                <w:color w:val="FF0000"/>
              </w:rPr>
            </w:pPr>
            <w:r>
              <w:rPr>
                <w:color w:val="FF0000"/>
              </w:rPr>
              <w:t xml:space="preserve">Jointly between </w:t>
            </w:r>
            <w:r w:rsidR="009A0D0A" w:rsidRPr="009A0D0A">
              <w:rPr>
                <w:color w:val="FF0000"/>
              </w:rPr>
              <w:t>WGQ EDM</w:t>
            </w:r>
            <w:r>
              <w:rPr>
                <w:color w:val="FF0000"/>
              </w:rPr>
              <w:t xml:space="preserve"> and </w:t>
            </w:r>
            <w:r w:rsidR="009A0D0A" w:rsidRPr="009A0D0A">
              <w:rPr>
                <w:color w:val="FF0000"/>
              </w:rPr>
              <w:t>RMQ IR/TEIS</w:t>
            </w:r>
          </w:p>
        </w:tc>
      </w:tr>
      <w:tr w:rsidR="00992E42" w14:paraId="369FF87C" w14:textId="77777777" w:rsidTr="00941ED2">
        <w:tc>
          <w:tcPr>
            <w:tcW w:w="805" w:type="dxa"/>
          </w:tcPr>
          <w:p w14:paraId="029FB35E" w14:textId="77777777" w:rsidR="00992E42" w:rsidRPr="0007296C" w:rsidRDefault="00992E42" w:rsidP="00992E42">
            <w:pPr>
              <w:pStyle w:val="ListParagraph"/>
              <w:numPr>
                <w:ilvl w:val="0"/>
                <w:numId w:val="16"/>
              </w:numPr>
              <w:spacing w:before="120" w:after="120"/>
            </w:pPr>
          </w:p>
        </w:tc>
        <w:tc>
          <w:tcPr>
            <w:tcW w:w="2070" w:type="dxa"/>
          </w:tcPr>
          <w:p w14:paraId="41983A1C" w14:textId="64F4FAA4" w:rsidR="00992E42" w:rsidRPr="00C30C78" w:rsidRDefault="00992E42" w:rsidP="00941ED2">
            <w:pPr>
              <w:spacing w:before="120" w:after="120"/>
            </w:pPr>
            <w:r w:rsidRPr="00C30C78">
              <w:t>Business Operations Practices and Standards Report Section 6.1.1 – NAESB Standards Refer to Vulnerable Versions of Communication Protocols (Pages 10 – 11)</w:t>
            </w:r>
          </w:p>
        </w:tc>
        <w:tc>
          <w:tcPr>
            <w:tcW w:w="4910" w:type="dxa"/>
          </w:tcPr>
          <w:p w14:paraId="4D1641F3" w14:textId="0F993D1A" w:rsidR="00992E42" w:rsidRPr="00C30C78" w:rsidRDefault="00992E42" w:rsidP="00992E42">
            <w:pPr>
              <w:spacing w:before="120" w:after="120"/>
              <w:jc w:val="both"/>
              <w:rPr>
                <w:szCs w:val="20"/>
              </w:rPr>
            </w:pPr>
            <w:r w:rsidRPr="00C30C78">
              <w:rPr>
                <w:szCs w:val="20"/>
              </w:rPr>
              <w:t>Level: High</w:t>
            </w:r>
          </w:p>
          <w:p w14:paraId="4AE97FE1" w14:textId="4A8E3864" w:rsidR="00992E42" w:rsidRPr="00C30C78" w:rsidRDefault="00992E42" w:rsidP="00992E42">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370" w:type="dxa"/>
          </w:tcPr>
          <w:p w14:paraId="7ADBB7B9" w14:textId="128B5309" w:rsidR="00992E42" w:rsidRPr="00C30C78" w:rsidRDefault="00F5725E" w:rsidP="00992E42">
            <w:pPr>
              <w:spacing w:before="120" w:after="120"/>
            </w:pPr>
            <w:r w:rsidRPr="00C30C78">
              <w:rPr>
                <w:color w:val="FF0000"/>
              </w:rPr>
              <w:t xml:space="preserve">Subcommittees </w:t>
            </w:r>
            <w:r w:rsidR="0007296C" w:rsidRPr="00C30C78">
              <w:rPr>
                <w:color w:val="FF0000"/>
              </w:rPr>
              <w:t>should consider standard(s) with a recommended implementation window</w:t>
            </w:r>
            <w:r w:rsidR="00640891" w:rsidRPr="00C30C78">
              <w:rPr>
                <w:color w:val="FF0000"/>
              </w:rPr>
              <w:t>.</w:t>
            </w:r>
          </w:p>
        </w:tc>
        <w:tc>
          <w:tcPr>
            <w:tcW w:w="1795" w:type="dxa"/>
          </w:tcPr>
          <w:p w14:paraId="5A241E01" w14:textId="4B9EB715" w:rsidR="009A0D0A" w:rsidRPr="00C30C78" w:rsidRDefault="00C30C78" w:rsidP="00992E42">
            <w:pPr>
              <w:spacing w:before="120" w:after="120"/>
              <w:rPr>
                <w:color w:val="FF0000"/>
              </w:rPr>
            </w:pPr>
            <w:r w:rsidRPr="00C30C78">
              <w:rPr>
                <w:color w:val="FF0000"/>
              </w:rPr>
              <w:t xml:space="preserve">Jointly between </w:t>
            </w:r>
            <w:r w:rsidR="009A0D0A" w:rsidRPr="00C30C78">
              <w:rPr>
                <w:color w:val="FF0000"/>
              </w:rPr>
              <w:t>WGQ EDM</w:t>
            </w:r>
            <w:r w:rsidR="00CE13AE" w:rsidRPr="00C30C78">
              <w:rPr>
                <w:color w:val="FF0000"/>
              </w:rPr>
              <w:t xml:space="preserve"> and</w:t>
            </w:r>
            <w:r w:rsidRPr="00C30C78">
              <w:rPr>
                <w:color w:val="FF0000"/>
              </w:rPr>
              <w:t xml:space="preserve"> </w:t>
            </w:r>
            <w:r w:rsidR="009A0D0A" w:rsidRPr="00C30C78">
              <w:rPr>
                <w:color w:val="FF0000"/>
              </w:rPr>
              <w:t>RMQ IR/TEIS</w:t>
            </w:r>
          </w:p>
        </w:tc>
      </w:tr>
      <w:tr w:rsidR="00992E42" w14:paraId="08A79D9F" w14:textId="77777777" w:rsidTr="00941ED2">
        <w:tc>
          <w:tcPr>
            <w:tcW w:w="805" w:type="dxa"/>
          </w:tcPr>
          <w:p w14:paraId="71F85385" w14:textId="77777777" w:rsidR="00992E42" w:rsidRPr="00E91C95" w:rsidRDefault="00992E42" w:rsidP="00992E42">
            <w:pPr>
              <w:pStyle w:val="ListParagraph"/>
              <w:numPr>
                <w:ilvl w:val="0"/>
                <w:numId w:val="16"/>
              </w:numPr>
              <w:spacing w:before="120" w:after="120"/>
            </w:pPr>
          </w:p>
        </w:tc>
        <w:tc>
          <w:tcPr>
            <w:tcW w:w="2070" w:type="dxa"/>
          </w:tcPr>
          <w:p w14:paraId="1FB1DE09" w14:textId="707F435B" w:rsidR="00992E42" w:rsidRPr="00E91C95" w:rsidRDefault="00992E42" w:rsidP="00941ED2">
            <w:pPr>
              <w:spacing w:before="120" w:after="120"/>
            </w:pPr>
            <w:r w:rsidRPr="00E91C95">
              <w:t>Business Operations Practices and Standards Report Section 6.1.</w:t>
            </w:r>
            <w:r>
              <w:t xml:space="preserve">2 – </w:t>
            </w:r>
            <w:r w:rsidRPr="00E91C95">
              <w:t xml:space="preserve">NAESB Standards Need Review for Unused or </w:t>
            </w:r>
            <w:r w:rsidRPr="00E91C95">
              <w:lastRenderedPageBreak/>
              <w:t>Unnecessary Functionality</w:t>
            </w:r>
            <w:r>
              <w:t xml:space="preserve"> (Page 11)</w:t>
            </w:r>
          </w:p>
        </w:tc>
        <w:tc>
          <w:tcPr>
            <w:tcW w:w="4910" w:type="dxa"/>
          </w:tcPr>
          <w:p w14:paraId="2998A4D2" w14:textId="1DB66439" w:rsidR="00992E42" w:rsidRDefault="00992E42" w:rsidP="00992E42">
            <w:pPr>
              <w:spacing w:before="120" w:after="120"/>
              <w:jc w:val="both"/>
            </w:pPr>
            <w:r>
              <w:lastRenderedPageBreak/>
              <w:t>Level: Low</w:t>
            </w:r>
          </w:p>
          <w:p w14:paraId="619A3C61" w14:textId="1B794652" w:rsidR="00992E42" w:rsidRDefault="00992E42"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recommended for immediate update as required </w:t>
            </w:r>
            <w:r w:rsidRPr="008C5A1C">
              <w:rPr>
                <w:bCs/>
              </w:rPr>
              <w:lastRenderedPageBreak/>
              <w:t>by independent facility implementation based on NIST NVD, US CERT, ICS CERT or vendor mandate. The assessment team recommends any updates for these communication protocols to be considered for incorporation into standards following review as an updated minimum version</w:t>
            </w:r>
            <w:r w:rsidRPr="008C5A1C">
              <w:t xml:space="preserve"> as included in the Wholesale Gas Electronic Delivery Mechanism Related Standards and incorporated by FERC in 18 CFR 284.12</w:t>
            </w:r>
            <w:r w:rsidR="00012F6F">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370" w:type="dxa"/>
          </w:tcPr>
          <w:p w14:paraId="2E13F7DC" w14:textId="09527555" w:rsidR="00F5725E" w:rsidRDefault="002E1004" w:rsidP="00992E42">
            <w:pPr>
              <w:spacing w:before="120" w:after="120"/>
              <w:rPr>
                <w:color w:val="FF0000"/>
              </w:rPr>
            </w:pPr>
            <w:r>
              <w:rPr>
                <w:color w:val="FF0000"/>
              </w:rPr>
              <w:lastRenderedPageBreak/>
              <w:t xml:space="preserve">As part of a recurring WGQ Annual Plan Item, the WGQ EDM Subcommittee reviews and updates the technical characteristics in </w:t>
            </w:r>
            <w:r w:rsidR="001A5341" w:rsidRPr="001A5341">
              <w:rPr>
                <w:color w:val="FF0000"/>
              </w:rPr>
              <w:t>WGQ EDM Manual Appendices B – D</w:t>
            </w:r>
            <w:r>
              <w:rPr>
                <w:color w:val="FF0000"/>
              </w:rPr>
              <w:t>.</w:t>
            </w:r>
          </w:p>
          <w:p w14:paraId="39A4D908" w14:textId="59552A93" w:rsidR="00992E42" w:rsidRPr="00C83A5F" w:rsidRDefault="00B6527E" w:rsidP="00C83A5F">
            <w:pPr>
              <w:spacing w:before="120" w:after="120"/>
              <w:rPr>
                <w:color w:val="FF0000"/>
              </w:rPr>
            </w:pPr>
            <w:r>
              <w:rPr>
                <w:color w:val="FF0000"/>
              </w:rPr>
              <w:t xml:space="preserve">Subcommittees should consider adding requirement to RMQ EDM Manual </w:t>
            </w:r>
            <w:r w:rsidR="005D19FC">
              <w:rPr>
                <w:color w:val="FF0000"/>
              </w:rPr>
              <w:t xml:space="preserve">to </w:t>
            </w:r>
            <w:r w:rsidR="005D19FC">
              <w:rPr>
                <w:color w:val="FF0000"/>
              </w:rPr>
              <w:lastRenderedPageBreak/>
              <w:t xml:space="preserve">state </w:t>
            </w:r>
            <w:r w:rsidR="001A5341" w:rsidRPr="004D4E58">
              <w:rPr>
                <w:color w:val="FF0000"/>
              </w:rPr>
              <w:t>entities should seek to utilize the latest generally available version of a software/protocol within 9 months of such version becoming available</w:t>
            </w:r>
            <w:r w:rsidR="005D19FC">
              <w:rPr>
                <w:color w:val="FF0000"/>
              </w:rPr>
              <w:t xml:space="preserve"> as recommended.</w:t>
            </w:r>
          </w:p>
          <w:p w14:paraId="5F74C333" w14:textId="77777777" w:rsidR="00992E42" w:rsidRPr="00E91C95" w:rsidRDefault="00992E42" w:rsidP="00992E42"/>
          <w:p w14:paraId="24629518" w14:textId="77777777" w:rsidR="00992E42" w:rsidRPr="00E91C95" w:rsidRDefault="00992E42" w:rsidP="00992E42"/>
          <w:p w14:paraId="5FCCA78B" w14:textId="77777777" w:rsidR="00992E42" w:rsidRPr="00E91C95" w:rsidRDefault="00992E42" w:rsidP="00992E42"/>
          <w:p w14:paraId="5DA58F9A" w14:textId="77777777" w:rsidR="00992E42" w:rsidRDefault="00992E42" w:rsidP="00992E42"/>
          <w:p w14:paraId="4312615C" w14:textId="77777777" w:rsidR="00992E42" w:rsidRDefault="00992E42" w:rsidP="00992E42"/>
          <w:p w14:paraId="750B439B" w14:textId="332DD3AD" w:rsidR="00992E42" w:rsidRPr="00E91C95" w:rsidRDefault="00992E42" w:rsidP="00992E42">
            <w:pPr>
              <w:tabs>
                <w:tab w:val="left" w:pos="1333"/>
              </w:tabs>
            </w:pPr>
            <w:r>
              <w:tab/>
            </w:r>
          </w:p>
        </w:tc>
        <w:tc>
          <w:tcPr>
            <w:tcW w:w="1795" w:type="dxa"/>
          </w:tcPr>
          <w:p w14:paraId="4C2D8080" w14:textId="3CFC4A0D" w:rsidR="00992E42" w:rsidRPr="00C30C78" w:rsidRDefault="00C30C78" w:rsidP="001A5341">
            <w:pPr>
              <w:spacing w:before="120" w:after="120"/>
              <w:rPr>
                <w:color w:val="FF0000"/>
              </w:rPr>
            </w:pPr>
            <w:r>
              <w:rPr>
                <w:color w:val="FF0000"/>
              </w:rPr>
              <w:lastRenderedPageBreak/>
              <w:t xml:space="preserve">Jointly between </w:t>
            </w:r>
            <w:r w:rsidR="001A5341" w:rsidRPr="009A0D0A">
              <w:rPr>
                <w:color w:val="FF0000"/>
              </w:rPr>
              <w:t>WGQ EDM</w:t>
            </w:r>
            <w:r w:rsidR="00CE13AE">
              <w:rPr>
                <w:color w:val="FF0000"/>
              </w:rPr>
              <w:t xml:space="preserve"> and</w:t>
            </w:r>
            <w:r>
              <w:rPr>
                <w:color w:val="FF0000"/>
              </w:rPr>
              <w:t xml:space="preserve"> </w:t>
            </w:r>
            <w:r w:rsidR="001A5341" w:rsidRPr="009A0D0A">
              <w:rPr>
                <w:color w:val="FF0000"/>
              </w:rPr>
              <w:t>RMQ IR/TEIS</w:t>
            </w:r>
          </w:p>
        </w:tc>
      </w:tr>
    </w:tbl>
    <w:p w14:paraId="5B074578" w14:textId="56BBBC00" w:rsidR="00C83A5F" w:rsidRDefault="00C83A5F" w:rsidP="00F02102">
      <w:pPr>
        <w:spacing w:before="120" w:after="120"/>
      </w:pPr>
    </w:p>
    <w:p w14:paraId="7B282B01" w14:textId="77777777" w:rsidR="00C83A5F" w:rsidRDefault="00C83A5F">
      <w:r>
        <w:br w:type="page"/>
      </w:r>
    </w:p>
    <w:p w14:paraId="2E0E91ED" w14:textId="1981F139" w:rsidR="00EC6E81" w:rsidRPr="005652E9" w:rsidRDefault="005652E9" w:rsidP="00503D2F">
      <w:pPr>
        <w:spacing w:before="120" w:after="120"/>
        <w:jc w:val="both"/>
        <w:rPr>
          <w:b/>
          <w:bCs/>
          <w:u w:val="single"/>
        </w:rPr>
      </w:pPr>
      <w:r w:rsidRPr="005652E9">
        <w:rPr>
          <w:b/>
          <w:bCs/>
          <w:u w:val="single"/>
        </w:rPr>
        <w:lastRenderedPageBreak/>
        <w:t>Additional Findings and Considerations</w:t>
      </w:r>
    </w:p>
    <w:p w14:paraId="1BCE5C68" w14:textId="32B34BE3" w:rsidR="00F02102" w:rsidRDefault="002C046D" w:rsidP="00503D2F">
      <w:pPr>
        <w:spacing w:before="120" w:after="120"/>
        <w:jc w:val="both"/>
      </w:pPr>
      <w:r>
        <w:t>Th</w:t>
      </w:r>
      <w:r w:rsidR="009B3709">
        <w:t xml:space="preserve">is </w:t>
      </w:r>
      <w:r>
        <w:t xml:space="preserve">section of this work paper identifies additional </w:t>
      </w:r>
      <w:r w:rsidR="009B3709">
        <w:t>findings and considerations</w:t>
      </w:r>
      <w:r>
        <w:t xml:space="preserve"> identified by Sandia National Laboratories </w:t>
      </w:r>
      <w:r w:rsidR="00503D2F">
        <w:t>as part of Section 4 Metrics of Importance and Section 6.2 Strengths of the NAESB Business Operations Practices and Standards of the Assessment Report of the NAESB Business Operations Practices and Standards</w:t>
      </w:r>
      <w:r w:rsidR="0082606A">
        <w:t xml:space="preserve"> and </w:t>
      </w:r>
      <w:bookmarkStart w:id="2" w:name="_Hlk15988810"/>
      <w:r w:rsidR="009B3709">
        <w:t>the related</w:t>
      </w:r>
      <w:r w:rsidR="0082606A">
        <w:t xml:space="preserve"> standard development </w:t>
      </w:r>
      <w:r w:rsidR="009B3709">
        <w:t>activities identified by the Board Critical Infrastructure Committee</w:t>
      </w:r>
      <w:r w:rsidR="0082606A">
        <w:t xml:space="preserve"> </w:t>
      </w:r>
      <w:r w:rsidR="009B3709">
        <w:t>that NAESB may want to consider in response</w:t>
      </w:r>
      <w:r w:rsidR="00503D2F">
        <w:t>.</w:t>
      </w:r>
      <w:r w:rsidR="002403CE">
        <w:t xml:space="preserve">  </w:t>
      </w:r>
      <w:bookmarkEnd w:id="2"/>
      <w:r w:rsidR="002403CE">
        <w:t xml:space="preserve">As indicated by Sandia National Laboratories, these </w:t>
      </w:r>
      <w:r w:rsidR="001D4064">
        <w:t xml:space="preserve">two </w:t>
      </w:r>
      <w:r w:rsidR="002403CE">
        <w:t>sections of the report specifically address metrics and “areas the assessment team identified as practices or requirements that prevented or increased the difficulty of a successful attack or exploitation by an adversary.</w:t>
      </w:r>
      <w:r w:rsidR="00644555">
        <w:t xml:space="preserve">  Within Section 4 Metrics, there is one </w:t>
      </w:r>
      <w:r w:rsidR="006F0FE2">
        <w:t xml:space="preserve">area of </w:t>
      </w:r>
      <w:r w:rsidR="00644555">
        <w:t xml:space="preserve">consideration.  As part of Section </w:t>
      </w:r>
      <w:r w:rsidR="006F0FE2">
        <w:t>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w:t>
      </w:r>
      <w:r w:rsidR="001D4064">
        <w:t xml:space="preserve">  In total, there are eight findings or considerations from Sandia National Laboratories.</w:t>
      </w:r>
    </w:p>
    <w:p w14:paraId="455C3E0D" w14:textId="589D540C" w:rsidR="00801DD0" w:rsidRDefault="001D4064" w:rsidP="00503D2F">
      <w:pPr>
        <w:spacing w:before="120" w:after="120"/>
        <w:jc w:val="both"/>
      </w:pPr>
      <w:r>
        <w:t>The table below captures the eight findings and</w:t>
      </w:r>
      <w:r w:rsidR="000C1BE1">
        <w:t xml:space="preserve"> the related standard consideration</w:t>
      </w:r>
      <w:r w:rsidR="00016CE6">
        <w:t>s</w:t>
      </w:r>
      <w:r w:rsidR="000C1BE1">
        <w:t xml:space="preserve"> to potentially incorporate the identified concept into the standards, as applicable. </w:t>
      </w:r>
    </w:p>
    <w:tbl>
      <w:tblPr>
        <w:tblStyle w:val="TableGrid"/>
        <w:tblW w:w="0" w:type="auto"/>
        <w:tblLook w:val="04A0" w:firstRow="1" w:lastRow="0" w:firstColumn="1" w:lastColumn="0" w:noHBand="0" w:noVBand="1"/>
      </w:tblPr>
      <w:tblGrid>
        <w:gridCol w:w="895"/>
        <w:gridCol w:w="1980"/>
        <w:gridCol w:w="4895"/>
        <w:gridCol w:w="2590"/>
        <w:gridCol w:w="2590"/>
      </w:tblGrid>
      <w:tr w:rsidR="00D4005F" w14:paraId="68D44AFB" w14:textId="77777777" w:rsidTr="00022F41">
        <w:trPr>
          <w:tblHeader/>
        </w:trPr>
        <w:tc>
          <w:tcPr>
            <w:tcW w:w="895" w:type="dxa"/>
          </w:tcPr>
          <w:p w14:paraId="2ADFBF1F" w14:textId="02F29300" w:rsidR="00D4005F" w:rsidRPr="00022F41" w:rsidRDefault="00D4005F" w:rsidP="00F02102">
            <w:pPr>
              <w:spacing w:before="120" w:after="120"/>
              <w:rPr>
                <w:b/>
                <w:bCs/>
              </w:rPr>
            </w:pPr>
            <w:r w:rsidRPr="00022F41">
              <w:rPr>
                <w:b/>
                <w:bCs/>
              </w:rPr>
              <w:t>Issue</w:t>
            </w:r>
          </w:p>
        </w:tc>
        <w:tc>
          <w:tcPr>
            <w:tcW w:w="1980" w:type="dxa"/>
          </w:tcPr>
          <w:p w14:paraId="64B3D4E9" w14:textId="0E4C33B5" w:rsidR="00D4005F" w:rsidRPr="00022F41" w:rsidRDefault="00D4005F" w:rsidP="00F02102">
            <w:pPr>
              <w:spacing w:before="120" w:after="120"/>
              <w:rPr>
                <w:b/>
                <w:bCs/>
              </w:rPr>
            </w:pPr>
            <w:r w:rsidRPr="00022F41">
              <w:rPr>
                <w:b/>
                <w:bCs/>
              </w:rPr>
              <w:t>Report Section (Page Number)</w:t>
            </w:r>
          </w:p>
        </w:tc>
        <w:tc>
          <w:tcPr>
            <w:tcW w:w="4895" w:type="dxa"/>
          </w:tcPr>
          <w:p w14:paraId="61FBE7E0" w14:textId="48018CAF" w:rsidR="00D4005F" w:rsidRPr="00022F41" w:rsidRDefault="00D4005F" w:rsidP="00F02102">
            <w:pPr>
              <w:spacing w:before="120" w:after="120"/>
              <w:rPr>
                <w:b/>
                <w:bCs/>
              </w:rPr>
            </w:pPr>
            <w:r w:rsidRPr="00022F41">
              <w:rPr>
                <w:b/>
                <w:bCs/>
              </w:rPr>
              <w:t>Sandia Findin</w:t>
            </w:r>
            <w:r w:rsidR="009B3709">
              <w:rPr>
                <w:b/>
                <w:bCs/>
              </w:rPr>
              <w:t>g or Consideration</w:t>
            </w:r>
          </w:p>
        </w:tc>
        <w:tc>
          <w:tcPr>
            <w:tcW w:w="2590" w:type="dxa"/>
          </w:tcPr>
          <w:p w14:paraId="17FB7889" w14:textId="3C157C78" w:rsidR="00D4005F" w:rsidRPr="00022F41" w:rsidRDefault="00D4005F" w:rsidP="00F02102">
            <w:pPr>
              <w:spacing w:before="120" w:after="120"/>
              <w:rPr>
                <w:b/>
                <w:bCs/>
              </w:rPr>
            </w:pPr>
            <w:r w:rsidRPr="00022F41">
              <w:rPr>
                <w:b/>
                <w:bCs/>
              </w:rPr>
              <w:t>Standard Considerations</w:t>
            </w:r>
            <w:r w:rsidR="00540C35" w:rsidRPr="00022F41">
              <w:rPr>
                <w:b/>
                <w:bCs/>
              </w:rPr>
              <w:t xml:space="preserve"> (if applicable)</w:t>
            </w:r>
          </w:p>
        </w:tc>
        <w:tc>
          <w:tcPr>
            <w:tcW w:w="2590" w:type="dxa"/>
          </w:tcPr>
          <w:p w14:paraId="254BD26C" w14:textId="101C4DD8" w:rsidR="00D4005F" w:rsidRPr="00022F41" w:rsidRDefault="00D4005F" w:rsidP="00F02102">
            <w:pPr>
              <w:spacing w:before="120" w:after="120"/>
              <w:rPr>
                <w:b/>
                <w:bCs/>
              </w:rPr>
            </w:pPr>
            <w:r w:rsidRPr="00022F41">
              <w:rPr>
                <w:b/>
                <w:bCs/>
              </w:rPr>
              <w:t>Assignment (if applicable)</w:t>
            </w:r>
          </w:p>
        </w:tc>
      </w:tr>
      <w:tr w:rsidR="00191AAD" w14:paraId="58CDEA9E" w14:textId="77777777" w:rsidTr="00D4005F">
        <w:tc>
          <w:tcPr>
            <w:tcW w:w="895" w:type="dxa"/>
          </w:tcPr>
          <w:p w14:paraId="27CFE1C6" w14:textId="3BC1F914" w:rsidR="00191AAD" w:rsidRDefault="00191AAD" w:rsidP="00191AAD">
            <w:pPr>
              <w:spacing w:before="120" w:after="120"/>
              <w:jc w:val="right"/>
            </w:pPr>
            <w:r>
              <w:t>6.</w:t>
            </w:r>
          </w:p>
        </w:tc>
        <w:tc>
          <w:tcPr>
            <w:tcW w:w="1980" w:type="dxa"/>
          </w:tcPr>
          <w:p w14:paraId="6D1525C5" w14:textId="4CD3711A" w:rsidR="00191AAD" w:rsidRDefault="00191AAD" w:rsidP="00191AAD">
            <w:pPr>
              <w:spacing w:before="120" w:after="120"/>
            </w:pPr>
            <w:r>
              <w:t>Business Operations Practices and Standards Report Section 4 – Metrics of Importance (Pages 8 – 9)</w:t>
            </w:r>
          </w:p>
        </w:tc>
        <w:tc>
          <w:tcPr>
            <w:tcW w:w="4895" w:type="dxa"/>
          </w:tcPr>
          <w:p w14:paraId="05563571" w14:textId="77777777" w:rsidR="00191AAD" w:rsidRPr="00C34EE4" w:rsidRDefault="00191AAD" w:rsidP="00191AAD">
            <w:pPr>
              <w:spacing w:before="120" w:after="120"/>
              <w:jc w:val="both"/>
              <w:rPr>
                <w:szCs w:val="20"/>
              </w:rPr>
            </w:pPr>
            <w:r w:rsidRPr="00C34EE4">
              <w:rPr>
                <w:szCs w:val="20"/>
              </w:rPr>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574CEF84" w14:textId="77777777" w:rsidR="00191AAD" w:rsidRPr="00C34EE4" w:rsidRDefault="00191AAD" w:rsidP="00191AAD">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3D8D6F06" w14:textId="77777777" w:rsidR="00191AAD" w:rsidRPr="00C34EE4" w:rsidRDefault="00191AAD" w:rsidP="00191AAD">
            <w:pPr>
              <w:pStyle w:val="ListParagraph"/>
              <w:numPr>
                <w:ilvl w:val="0"/>
                <w:numId w:val="11"/>
              </w:numPr>
              <w:spacing w:before="120" w:after="120" w:line="276" w:lineRule="auto"/>
              <w:jc w:val="both"/>
            </w:pPr>
            <w:r w:rsidRPr="00C34EE4">
              <w:t>Measure the best, median, average, and worst time for a transaction to be completed</w:t>
            </w:r>
          </w:p>
          <w:p w14:paraId="75E90B60" w14:textId="77777777" w:rsidR="00191AAD" w:rsidRPr="00C34EE4" w:rsidRDefault="00191AAD" w:rsidP="00191AAD">
            <w:pPr>
              <w:pStyle w:val="ListParagraph"/>
              <w:numPr>
                <w:ilvl w:val="0"/>
                <w:numId w:val="11"/>
              </w:numPr>
              <w:spacing w:before="120" w:after="120" w:line="276" w:lineRule="auto"/>
              <w:jc w:val="both"/>
            </w:pPr>
            <w:r w:rsidRPr="00C34EE4">
              <w:t>Count the number of organizations that have established continuity of operations planning (COOP), and the number of organizations that exercise their COOP each year</w:t>
            </w:r>
          </w:p>
          <w:p w14:paraId="086645AF" w14:textId="77777777" w:rsidR="00191AAD" w:rsidRPr="00C34EE4" w:rsidRDefault="00191AAD" w:rsidP="00191AAD">
            <w:pPr>
              <w:pStyle w:val="ListParagraph"/>
              <w:numPr>
                <w:ilvl w:val="0"/>
                <w:numId w:val="11"/>
              </w:numPr>
              <w:spacing w:before="120" w:after="120" w:line="276" w:lineRule="auto"/>
              <w:jc w:val="both"/>
            </w:pPr>
            <w:r w:rsidRPr="00C34EE4">
              <w:t xml:space="preserve">Count the number of organizations that maintain alternate and 24/7 contact information for trading </w:t>
            </w:r>
            <w:r w:rsidRPr="00C34EE4">
              <w:lastRenderedPageBreak/>
              <w:t>partners, and the number that have this information stored offline (in case of a ransomware attack)</w:t>
            </w:r>
          </w:p>
          <w:p w14:paraId="568BFBF3" w14:textId="77777777" w:rsidR="00191AAD" w:rsidRPr="00C34EE4" w:rsidRDefault="00191AAD" w:rsidP="00191AAD">
            <w:pPr>
              <w:pStyle w:val="ListParagraph"/>
              <w:numPr>
                <w:ilvl w:val="0"/>
                <w:numId w:val="11"/>
              </w:numPr>
              <w:spacing w:before="120" w:after="120" w:line="276" w:lineRule="auto"/>
              <w:jc w:val="both"/>
            </w:pPr>
            <w:r w:rsidRPr="00C34EE4">
              <w:t>Count the number of times alternate methods were used for transactions (ex. phone or fax) during normal operations; and during a system outage, failure, or other issue</w:t>
            </w:r>
          </w:p>
          <w:p w14:paraId="534D8E04" w14:textId="77777777" w:rsidR="00191AAD" w:rsidRPr="00C34EE4" w:rsidRDefault="00191AAD" w:rsidP="00191AAD">
            <w:pPr>
              <w:spacing w:before="120" w:after="120"/>
              <w:jc w:val="both"/>
              <w:rPr>
                <w:szCs w:val="20"/>
              </w:rPr>
            </w:pPr>
            <w:r w:rsidRPr="00C34EE4">
              <w:rPr>
                <w:szCs w:val="20"/>
              </w:rPr>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5F56E349" w14:textId="614E0924" w:rsidR="00191AAD" w:rsidRPr="00220852" w:rsidRDefault="00191AAD" w:rsidP="00191AAD">
            <w:pPr>
              <w:spacing w:before="120" w:after="120"/>
              <w:rPr>
                <w:szCs w:val="20"/>
              </w:rPr>
            </w:pPr>
            <w:r w:rsidRPr="00C34EE4">
              <w:rPr>
                <w:szCs w:val="20"/>
              </w:rPr>
              <w:t>This data could then be used in life-cycle decisions, trading partner selection, analysis of COOP and disaster recovery plans, and determining if NAESB standards need to be upgraded or revised.</w:t>
            </w:r>
          </w:p>
        </w:tc>
        <w:tc>
          <w:tcPr>
            <w:tcW w:w="2590" w:type="dxa"/>
          </w:tcPr>
          <w:p w14:paraId="40656331" w14:textId="77777777" w:rsidR="00191AAD" w:rsidRDefault="00191AAD" w:rsidP="00191AAD">
            <w:pPr>
              <w:spacing w:before="120" w:after="120"/>
              <w:rPr>
                <w:color w:val="FF0000"/>
              </w:rPr>
            </w:pPr>
            <w:r>
              <w:rPr>
                <w:color w:val="FF0000"/>
              </w:rPr>
              <w:lastRenderedPageBreak/>
              <w:t>This is not currently a requirement of the NAESB standards nor is this a function currently provided by NAESB</w:t>
            </w:r>
          </w:p>
          <w:p w14:paraId="0C9B1DA1" w14:textId="77777777" w:rsidR="00191AAD" w:rsidRDefault="00191AAD" w:rsidP="00191AAD">
            <w:pPr>
              <w:spacing w:before="120" w:after="120"/>
              <w:rPr>
                <w:color w:val="FF0000"/>
              </w:rPr>
            </w:pPr>
          </w:p>
          <w:p w14:paraId="35CC6043" w14:textId="77777777" w:rsidR="00191AAD" w:rsidRDefault="00191AAD" w:rsidP="00191AAD">
            <w:pPr>
              <w:spacing w:before="120" w:after="120"/>
              <w:rPr>
                <w:color w:val="FF0000"/>
              </w:rPr>
            </w:pPr>
            <w:r>
              <w:rPr>
                <w:color w:val="FF0000"/>
              </w:rPr>
              <w:t>Industry may want to consider if there is a benefit to individual entities tracking information identified by the metrics.</w:t>
            </w:r>
          </w:p>
          <w:p w14:paraId="235A56F1" w14:textId="77777777" w:rsidR="00191AAD" w:rsidRDefault="00191AAD" w:rsidP="00191AAD">
            <w:pPr>
              <w:spacing w:before="120" w:after="120"/>
              <w:rPr>
                <w:color w:val="FF0000"/>
              </w:rPr>
            </w:pPr>
          </w:p>
        </w:tc>
        <w:tc>
          <w:tcPr>
            <w:tcW w:w="2590" w:type="dxa"/>
          </w:tcPr>
          <w:p w14:paraId="5BC612D9" w14:textId="507ECD6C" w:rsidR="00191AAD" w:rsidRDefault="00191AAD" w:rsidP="00191AAD">
            <w:pPr>
              <w:spacing w:before="120" w:after="120"/>
              <w:rPr>
                <w:color w:val="FF0000"/>
              </w:rPr>
            </w:pPr>
            <w:r>
              <w:rPr>
                <w:color w:val="FF0000"/>
              </w:rPr>
              <w:t>N/A</w:t>
            </w:r>
          </w:p>
        </w:tc>
      </w:tr>
      <w:tr w:rsidR="00191AAD" w14:paraId="3C4F2822" w14:textId="77777777" w:rsidTr="00D4005F">
        <w:tc>
          <w:tcPr>
            <w:tcW w:w="895" w:type="dxa"/>
          </w:tcPr>
          <w:p w14:paraId="6E201018" w14:textId="30E53696" w:rsidR="00191AAD" w:rsidRDefault="00191AAD" w:rsidP="00191AAD">
            <w:pPr>
              <w:spacing w:before="120" w:after="120"/>
              <w:jc w:val="right"/>
            </w:pPr>
            <w:r>
              <w:t>7.</w:t>
            </w:r>
          </w:p>
        </w:tc>
        <w:tc>
          <w:tcPr>
            <w:tcW w:w="1980" w:type="dxa"/>
          </w:tcPr>
          <w:p w14:paraId="10A72B01" w14:textId="77777777" w:rsidR="00191AAD" w:rsidRDefault="00191AAD" w:rsidP="00191AAD">
            <w:pPr>
              <w:spacing w:before="120" w:after="120"/>
            </w:pPr>
            <w:r>
              <w:t>Business Operations Practices and Standards Report Section 6.1.4 – Use of Human Control and Review in Operations (Page 12)</w:t>
            </w:r>
          </w:p>
          <w:p w14:paraId="5F164CBF" w14:textId="17AD3315" w:rsidR="00D9489F" w:rsidRDefault="00D9489F" w:rsidP="00191AAD">
            <w:pPr>
              <w:spacing w:before="120" w:after="120"/>
            </w:pPr>
            <w:r>
              <w:t>(Table of Contents Section 6.2.1</w:t>
            </w:r>
            <w:r w:rsidR="00012F6F">
              <w:t xml:space="preserve"> Use of Human Control and </w:t>
            </w:r>
            <w:r w:rsidR="00012F6F">
              <w:lastRenderedPageBreak/>
              <w:t>Review in Operations</w:t>
            </w:r>
            <w:r>
              <w:t>)</w:t>
            </w:r>
          </w:p>
        </w:tc>
        <w:tc>
          <w:tcPr>
            <w:tcW w:w="4895" w:type="dxa"/>
          </w:tcPr>
          <w:p w14:paraId="758B33A5" w14:textId="50DBC409" w:rsidR="00191AAD" w:rsidRDefault="00191AAD" w:rsidP="00191AAD">
            <w:pPr>
              <w:spacing w:before="120" w:after="120"/>
            </w:pPr>
            <w:bookmarkStart w:id="3" w:name="_Hlk10107157"/>
            <w:r w:rsidRPr="00220852">
              <w:rPr>
                <w:szCs w:val="20"/>
              </w:rPr>
              <w:lastRenderedPageBreak/>
              <w:t xml:space="preserve">With the current trend towards more automation and computer control, this strength should be considered when replacing human operators with autonomous </w:t>
            </w:r>
            <w:bookmarkEnd w:id="3"/>
            <w:r w:rsidRPr="00220852">
              <w:rPr>
                <w:szCs w:val="20"/>
              </w:rPr>
              <w:t xml:space="preserve">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w:t>
            </w:r>
            <w:r w:rsidRPr="00220852">
              <w:rPr>
                <w:szCs w:val="20"/>
              </w:rPr>
              <w:lastRenderedPageBreak/>
              <w:t>implementation details that may optionally be reviewed 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78492F3C" w14:textId="246A6A98" w:rsidR="00191AAD" w:rsidRDefault="00191AAD" w:rsidP="00191AAD">
            <w:pPr>
              <w:spacing w:before="120" w:after="120"/>
            </w:pPr>
            <w:r>
              <w:rPr>
                <w:color w:val="FF0000"/>
              </w:rPr>
              <w:lastRenderedPageBreak/>
              <w:t xml:space="preserve">Subcommittees should consider standard(s) to address recommended guidelines for configuration and logging, network traffic monitoring, and alerting systems as well standard(s) requiring manual continuity of operations in the event of </w:t>
            </w:r>
            <w:r>
              <w:rPr>
                <w:color w:val="FF0000"/>
              </w:rPr>
              <w:lastRenderedPageBreak/>
              <w:t>abnormal behavior or failure conditions with the system.</w:t>
            </w:r>
          </w:p>
        </w:tc>
        <w:tc>
          <w:tcPr>
            <w:tcW w:w="2590" w:type="dxa"/>
          </w:tcPr>
          <w:p w14:paraId="2AA5F906" w14:textId="71D8AF07" w:rsidR="00191AAD" w:rsidRDefault="00191AAD" w:rsidP="00191AAD">
            <w:pPr>
              <w:spacing w:before="120" w:after="120"/>
            </w:pPr>
            <w:r>
              <w:rPr>
                <w:color w:val="FF0000"/>
              </w:rPr>
              <w:lastRenderedPageBreak/>
              <w:t>Jointly between the WGQ EDM Subcommittee and RMQ IR/TEIS</w:t>
            </w:r>
          </w:p>
        </w:tc>
      </w:tr>
      <w:tr w:rsidR="00191AAD" w14:paraId="762DEAA6" w14:textId="77777777" w:rsidTr="00D4005F">
        <w:tc>
          <w:tcPr>
            <w:tcW w:w="895" w:type="dxa"/>
          </w:tcPr>
          <w:p w14:paraId="7FEBFBD4" w14:textId="7D7CD23E" w:rsidR="00191AAD" w:rsidRDefault="00191AAD" w:rsidP="00191AAD">
            <w:pPr>
              <w:spacing w:before="120" w:after="120"/>
              <w:jc w:val="right"/>
            </w:pPr>
            <w:r>
              <w:t>8.</w:t>
            </w:r>
          </w:p>
        </w:tc>
        <w:tc>
          <w:tcPr>
            <w:tcW w:w="1980" w:type="dxa"/>
          </w:tcPr>
          <w:p w14:paraId="33FE470A" w14:textId="525B370D" w:rsidR="00191AAD" w:rsidRDefault="00191AAD" w:rsidP="00191AAD">
            <w:pPr>
              <w:spacing w:before="120" w:after="120"/>
              <w:rPr>
                <w:highlight w:val="yellow"/>
              </w:rPr>
            </w:pPr>
            <w:r w:rsidRPr="0008605E">
              <w:rPr>
                <w:highlight w:val="yellow"/>
              </w:rPr>
              <w:t>Business Operations Practices and Standards Report Section 6.1.5 – Separation of Business and Control Computer Networks (Page 12 – 13)</w:t>
            </w:r>
          </w:p>
          <w:p w14:paraId="105BD44D" w14:textId="2E56C7D3" w:rsidR="00D9489F" w:rsidRPr="0008605E" w:rsidRDefault="00D9489F" w:rsidP="00191AAD">
            <w:pPr>
              <w:spacing w:before="120" w:after="120"/>
              <w:rPr>
                <w:highlight w:val="yellow"/>
              </w:rPr>
            </w:pPr>
            <w:r>
              <w:rPr>
                <w:highlight w:val="yellow"/>
              </w:rPr>
              <w:t>(Table of Contents Section 6.2.2</w:t>
            </w:r>
            <w:r w:rsidR="00012F6F">
              <w:rPr>
                <w:highlight w:val="yellow"/>
              </w:rPr>
              <w:t xml:space="preserve"> Separation of Business and Control Computer Networks</w:t>
            </w:r>
            <w:r>
              <w:rPr>
                <w:highlight w:val="yellow"/>
              </w:rPr>
              <w:t>)</w:t>
            </w:r>
          </w:p>
          <w:p w14:paraId="1B28E981" w14:textId="77777777" w:rsidR="00191AAD" w:rsidRDefault="00191AAD" w:rsidP="00191AAD">
            <w:pPr>
              <w:spacing w:before="120" w:after="120"/>
            </w:pPr>
          </w:p>
        </w:tc>
        <w:tc>
          <w:tcPr>
            <w:tcW w:w="4895" w:type="dxa"/>
          </w:tcPr>
          <w:p w14:paraId="43EECF2F" w14:textId="77777777" w:rsidR="00191AAD" w:rsidRPr="0008605E" w:rsidRDefault="00191AAD" w:rsidP="00191AAD">
            <w:pPr>
              <w:spacing w:before="120" w:after="120"/>
              <w:jc w:val="both"/>
              <w:rPr>
                <w:szCs w:val="20"/>
                <w:highlight w:val="yellow"/>
              </w:rPr>
            </w:pPr>
            <w:r w:rsidRPr="0008605E">
              <w:rPr>
                <w:szCs w:val="20"/>
                <w:highlight w:val="yellow"/>
              </w:rPr>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3B8F0E79" w14:textId="77777777" w:rsidR="00191AAD" w:rsidRPr="0008605E" w:rsidRDefault="00191AAD" w:rsidP="00191AAD">
            <w:pPr>
              <w:spacing w:before="120" w:after="120"/>
              <w:jc w:val="both"/>
              <w:rPr>
                <w:szCs w:val="20"/>
                <w:highlight w:val="yellow"/>
              </w:rPr>
            </w:pPr>
            <w:r w:rsidRPr="0008605E">
              <w:rPr>
                <w:szCs w:val="20"/>
                <w:highlight w:val="yellow"/>
              </w:rPr>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establishment of a Demilitarized Zone (DMZ) between the enterprise network and SCADA/PCN network will provide the most effective </w:t>
            </w:r>
            <w:r w:rsidRPr="0008605E">
              <w:rPr>
                <w:szCs w:val="20"/>
                <w:highlight w:val="yellow"/>
              </w:rPr>
              <w:lastRenderedPageBreak/>
              <w:t xml:space="preserve">security solution. Realize this part of defense-in-depth strategy. Here is more complete treatment </w:t>
            </w:r>
            <w:r w:rsidRPr="0008605E">
              <w:rPr>
                <w:rStyle w:val="FootnoteReference"/>
                <w:highlight w:val="yellow"/>
              </w:rPr>
              <w:footnoteReference w:id="3"/>
            </w:r>
          </w:p>
          <w:p w14:paraId="0B92CC83" w14:textId="7A2B0DF9" w:rsidR="00191AAD" w:rsidRDefault="00191AAD" w:rsidP="00191AAD">
            <w:pPr>
              <w:spacing w:before="120" w:after="120"/>
            </w:pPr>
            <w:r w:rsidRPr="0008605E">
              <w:rPr>
                <w:szCs w:val="20"/>
                <w:highlight w:val="yellow"/>
              </w:rPr>
              <w:t>Recommended Practice: Improving Industrial Control System Cybersecurity with Defense-in-Depth Strategies, Industrial Control Systems Cyber Emergency Response Team, September 2016.</w:t>
            </w:r>
            <w:r w:rsidRPr="00C26C0B">
              <w:rPr>
                <w:szCs w:val="20"/>
              </w:rPr>
              <w:t xml:space="preserve"> </w:t>
            </w:r>
          </w:p>
        </w:tc>
        <w:tc>
          <w:tcPr>
            <w:tcW w:w="2590" w:type="dxa"/>
          </w:tcPr>
          <w:p w14:paraId="19BC7E7B" w14:textId="77777777" w:rsidR="00191AAD" w:rsidRDefault="00191AAD" w:rsidP="00191AAD">
            <w:pPr>
              <w:spacing w:before="120" w:after="120"/>
            </w:pPr>
          </w:p>
        </w:tc>
        <w:tc>
          <w:tcPr>
            <w:tcW w:w="2590" w:type="dxa"/>
          </w:tcPr>
          <w:p w14:paraId="6F4CF3B2" w14:textId="77777777" w:rsidR="00191AAD" w:rsidRDefault="00191AAD" w:rsidP="00191AAD">
            <w:pPr>
              <w:spacing w:before="120" w:after="120"/>
            </w:pPr>
          </w:p>
        </w:tc>
      </w:tr>
      <w:tr w:rsidR="00191AAD" w14:paraId="64B22293" w14:textId="77777777" w:rsidTr="00D4005F">
        <w:tc>
          <w:tcPr>
            <w:tcW w:w="895" w:type="dxa"/>
          </w:tcPr>
          <w:p w14:paraId="18F6E23B" w14:textId="1D59B48B" w:rsidR="00191AAD" w:rsidRDefault="00191AAD" w:rsidP="00191AAD">
            <w:pPr>
              <w:spacing w:before="120" w:after="120"/>
              <w:jc w:val="right"/>
            </w:pPr>
            <w:r>
              <w:t>9.</w:t>
            </w:r>
          </w:p>
        </w:tc>
        <w:tc>
          <w:tcPr>
            <w:tcW w:w="1980" w:type="dxa"/>
          </w:tcPr>
          <w:p w14:paraId="0A520AD3" w14:textId="77777777" w:rsidR="00191AAD" w:rsidRDefault="00191AAD" w:rsidP="00191AAD">
            <w:pPr>
              <w:spacing w:before="120" w:after="120"/>
            </w:pPr>
            <w:r>
              <w:t>Business Operations Practices and Standards Report – Section 6.1.6 Continued Use of Different Security Paradigms (Pages 13 – 15)</w:t>
            </w:r>
          </w:p>
          <w:p w14:paraId="5251B5B1" w14:textId="439B42DB"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3B43359" w14:textId="710F698E" w:rsidR="00191AAD" w:rsidRDefault="00191AAD" w:rsidP="00191AAD">
            <w:pPr>
              <w:spacing w:before="120" w:after="120"/>
            </w:pPr>
            <w:r w:rsidRPr="00E13BE2">
              <w:rPr>
                <w:szCs w:val="20"/>
              </w:rPr>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5322B453" w14:textId="69F7F321" w:rsidR="00191AAD" w:rsidRDefault="00191AAD" w:rsidP="00191AAD">
            <w:pPr>
              <w:spacing w:before="120" w:after="120"/>
            </w:pPr>
            <w:r>
              <w:rPr>
                <w:color w:val="FF0000"/>
              </w:rPr>
              <w:t>Subcommittees should review the standards for legacy support references and remove as recommended.</w:t>
            </w:r>
          </w:p>
        </w:tc>
        <w:tc>
          <w:tcPr>
            <w:tcW w:w="2590" w:type="dxa"/>
          </w:tcPr>
          <w:p w14:paraId="756CA991" w14:textId="03FB6B3D" w:rsidR="00191AAD" w:rsidRDefault="00191AAD" w:rsidP="00191AAD">
            <w:pPr>
              <w:spacing w:before="120" w:after="120"/>
            </w:pPr>
            <w:r>
              <w:rPr>
                <w:color w:val="FF0000"/>
              </w:rPr>
              <w:t>Jointly between WGQ EDM and RMQ IR/TEIS</w:t>
            </w:r>
          </w:p>
        </w:tc>
      </w:tr>
      <w:tr w:rsidR="00191AAD" w14:paraId="5DA65173" w14:textId="77777777" w:rsidTr="00D4005F">
        <w:tc>
          <w:tcPr>
            <w:tcW w:w="895" w:type="dxa"/>
          </w:tcPr>
          <w:p w14:paraId="249F63E7" w14:textId="17AFECF8" w:rsidR="00191AAD" w:rsidRDefault="00191AAD" w:rsidP="00191AAD">
            <w:pPr>
              <w:spacing w:before="120" w:after="120"/>
              <w:jc w:val="right"/>
            </w:pPr>
            <w:r>
              <w:t>10.</w:t>
            </w:r>
          </w:p>
        </w:tc>
        <w:tc>
          <w:tcPr>
            <w:tcW w:w="1980" w:type="dxa"/>
          </w:tcPr>
          <w:p w14:paraId="61359423" w14:textId="06637108" w:rsidR="00191AAD" w:rsidRDefault="00191AAD" w:rsidP="00191AAD">
            <w:pPr>
              <w:spacing w:before="120" w:after="120"/>
            </w:pPr>
            <w:r>
              <w:t>Business Operations Practices and Standards Report – Section 6.1.6 Continued Use of Different Security Paradigms (Pages 13 – 15)</w:t>
            </w:r>
          </w:p>
          <w:p w14:paraId="2FF3E55F" w14:textId="7C6F85D1" w:rsidR="00D9489F" w:rsidRDefault="00D9489F" w:rsidP="00191AAD">
            <w:pPr>
              <w:spacing w:before="120" w:after="120"/>
            </w:pPr>
            <w:r>
              <w:lastRenderedPageBreak/>
              <w:t>(Table of Contents Section 6.2.3</w:t>
            </w:r>
            <w:r w:rsidR="00FF431B">
              <w:t xml:space="preserve"> Gas and Electric Industry Interactions</w:t>
            </w:r>
            <w:r>
              <w:t>)</w:t>
            </w:r>
          </w:p>
          <w:p w14:paraId="11C84C85" w14:textId="77777777" w:rsidR="00191AAD" w:rsidRDefault="00191AAD" w:rsidP="00191AAD">
            <w:pPr>
              <w:spacing w:before="120" w:after="120"/>
            </w:pPr>
          </w:p>
        </w:tc>
        <w:tc>
          <w:tcPr>
            <w:tcW w:w="4895" w:type="dxa"/>
          </w:tcPr>
          <w:p w14:paraId="4C2C3540" w14:textId="05146C87" w:rsidR="00191AAD" w:rsidRPr="00E13BE2" w:rsidRDefault="00191AAD" w:rsidP="00191AAD">
            <w:pPr>
              <w:spacing w:before="120" w:after="120"/>
              <w:rPr>
                <w:szCs w:val="20"/>
              </w:rPr>
            </w:pPr>
            <w:r w:rsidRPr="006A5AD7">
              <w:rPr>
                <w:szCs w:val="20"/>
              </w:rPr>
              <w:lastRenderedPageBreak/>
              <w:t xml:space="preserve">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w:t>
            </w:r>
            <w:r w:rsidRPr="006A5AD7">
              <w:rPr>
                <w:szCs w:val="20"/>
              </w:rPr>
              <w:lastRenderedPageBreak/>
              <w:t>implementation for both government and business – facing applications and as such, the assessment team recommends disallowing support for SSL version protocols and implement TLS version 1.2 as described.</w:t>
            </w:r>
          </w:p>
        </w:tc>
        <w:tc>
          <w:tcPr>
            <w:tcW w:w="2590" w:type="dxa"/>
          </w:tcPr>
          <w:p w14:paraId="2D14D32D" w14:textId="77777777" w:rsidR="00253F94" w:rsidRDefault="00253F94" w:rsidP="00191AAD">
            <w:pPr>
              <w:spacing w:before="120" w:after="120"/>
              <w:rPr>
                <w:color w:val="FF0000"/>
              </w:rPr>
            </w:pPr>
            <w:r>
              <w:rPr>
                <w:color w:val="FF0000"/>
              </w:rPr>
              <w:lastRenderedPageBreak/>
              <w:t xml:space="preserve">The subcommittees should review TLS/SSL references and update the standard(s) accordingly as recommended </w:t>
            </w:r>
          </w:p>
          <w:p w14:paraId="5703B529" w14:textId="4110658E" w:rsidR="00636C2C" w:rsidRDefault="00636C2C" w:rsidP="00191AAD">
            <w:pPr>
              <w:spacing w:before="120" w:after="120"/>
              <w:rPr>
                <w:color w:val="FF0000"/>
              </w:rPr>
            </w:pPr>
            <w:r>
              <w:rPr>
                <w:color w:val="FF0000"/>
              </w:rPr>
              <w:t>(Already addressed as part of Issue #3)</w:t>
            </w:r>
          </w:p>
        </w:tc>
        <w:tc>
          <w:tcPr>
            <w:tcW w:w="2590" w:type="dxa"/>
          </w:tcPr>
          <w:p w14:paraId="4449C8BA" w14:textId="4ACDB012" w:rsidR="00191AAD" w:rsidRDefault="00191AAD" w:rsidP="00191AAD">
            <w:pPr>
              <w:spacing w:before="120" w:after="120"/>
              <w:rPr>
                <w:color w:val="FF0000"/>
              </w:rPr>
            </w:pPr>
            <w:r>
              <w:rPr>
                <w:color w:val="FF0000"/>
              </w:rPr>
              <w:t>Jointly between WGQ EDM and RMQ IR/TEIS</w:t>
            </w:r>
          </w:p>
        </w:tc>
      </w:tr>
      <w:tr w:rsidR="00191AAD" w14:paraId="50168181" w14:textId="77777777" w:rsidTr="00D4005F">
        <w:tc>
          <w:tcPr>
            <w:tcW w:w="895" w:type="dxa"/>
          </w:tcPr>
          <w:p w14:paraId="6E6E1E71" w14:textId="7347723D" w:rsidR="00191AAD" w:rsidRDefault="00191AAD" w:rsidP="00191AAD">
            <w:pPr>
              <w:spacing w:before="120" w:after="120"/>
              <w:jc w:val="right"/>
            </w:pPr>
            <w:r>
              <w:t>11.</w:t>
            </w:r>
          </w:p>
        </w:tc>
        <w:tc>
          <w:tcPr>
            <w:tcW w:w="1980" w:type="dxa"/>
          </w:tcPr>
          <w:p w14:paraId="01879F9D" w14:textId="77777777" w:rsidR="00191AAD" w:rsidRDefault="00191AAD" w:rsidP="00191AAD">
            <w:pPr>
              <w:spacing w:before="120" w:after="120"/>
            </w:pPr>
            <w:r>
              <w:t>Business Operations Practices and Standards Report – Section 6.1.6 Continued Use of Different Security Paradigms (Pages 13 – 15)</w:t>
            </w:r>
          </w:p>
          <w:p w14:paraId="1192C213" w14:textId="0DB8E69D"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462C1178" w14:textId="3907135A" w:rsidR="00191AAD" w:rsidRPr="006A5AD7" w:rsidRDefault="00191AAD" w:rsidP="00191AAD">
            <w:pPr>
              <w:spacing w:before="120" w:after="120"/>
              <w:rPr>
                <w:szCs w:val="20"/>
              </w:rPr>
            </w:pPr>
            <w:r w:rsidRPr="006A5AD7">
              <w:rPr>
                <w:szCs w:val="20"/>
              </w:rPr>
              <w:t>An HTTPS</w:t>
            </w:r>
            <w:r w:rsidRPr="006A5AD7">
              <w:rPr>
                <w:rStyle w:val="FootnoteReference"/>
              </w:rPr>
              <w:footnoteReference w:id="4"/>
            </w:r>
            <w:r w:rsidRPr="006A5AD7">
              <w:rPr>
                <w:szCs w:val="20"/>
              </w:rPr>
              <w:t xml:space="preserve"> solution will protect information in transit, supporting overall privacy needs. Using basic authentication over HTTP is inherently insecure as username/password combinations are not encrypted in HTTP basic authentication</w:t>
            </w:r>
            <w:r w:rsidRPr="006A5AD7">
              <w:rPr>
                <w:rStyle w:val="FootnoteReference"/>
              </w:rPr>
              <w:footnoteReference w:id="5"/>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IdenTrust, Comodo, GoDaddy, GlobalSign, and DigiCert; other valid certificate authorities exist as well.</w:t>
            </w:r>
          </w:p>
        </w:tc>
        <w:tc>
          <w:tcPr>
            <w:tcW w:w="2590" w:type="dxa"/>
          </w:tcPr>
          <w:p w14:paraId="0B628F2F" w14:textId="7E71E7D8" w:rsidR="00314ABB" w:rsidRDefault="00191AAD" w:rsidP="00191AAD">
            <w:pPr>
              <w:spacing w:before="120" w:after="120"/>
              <w:rPr>
                <w:color w:val="FF0000"/>
              </w:rPr>
            </w:pPr>
            <w:r>
              <w:rPr>
                <w:color w:val="FF0000"/>
              </w:rPr>
              <w:t xml:space="preserve">Subcommittees should review standard(s) referencing HTTP/HTTPS </w:t>
            </w:r>
            <w:r w:rsidR="00314ABB">
              <w:rPr>
                <w:color w:val="FF0000"/>
              </w:rPr>
              <w:t>and modify as needed.</w:t>
            </w:r>
          </w:p>
          <w:p w14:paraId="23A6F5C6" w14:textId="61EDE4DD" w:rsidR="00191AAD" w:rsidRDefault="00314ABB" w:rsidP="00191AAD">
            <w:pPr>
              <w:spacing w:before="120" w:after="120"/>
              <w:rPr>
                <w:color w:val="FF0000"/>
              </w:rPr>
            </w:pPr>
            <w:r>
              <w:rPr>
                <w:color w:val="FF0000"/>
              </w:rPr>
              <w:t xml:space="preserve">Subcommittees should </w:t>
            </w:r>
            <w:r w:rsidR="00253F94">
              <w:rPr>
                <w:color w:val="FF0000"/>
              </w:rPr>
              <w:t xml:space="preserve">consider standard(s) </w:t>
            </w:r>
            <w:r w:rsidR="00191AAD">
              <w:rPr>
                <w:color w:val="FF0000"/>
              </w:rPr>
              <w:t>securing communications via certificates as recommended.</w:t>
            </w:r>
          </w:p>
        </w:tc>
        <w:tc>
          <w:tcPr>
            <w:tcW w:w="2590" w:type="dxa"/>
          </w:tcPr>
          <w:p w14:paraId="572F63DA" w14:textId="6ADBA86D" w:rsidR="00191AAD" w:rsidRDefault="00191AAD" w:rsidP="00191AAD">
            <w:pPr>
              <w:spacing w:before="120" w:after="120"/>
              <w:rPr>
                <w:color w:val="FF0000"/>
              </w:rPr>
            </w:pPr>
            <w:r>
              <w:rPr>
                <w:color w:val="FF0000"/>
              </w:rPr>
              <w:t>Jointly between WGQ EDM and RMQ IR/TEIS</w:t>
            </w:r>
          </w:p>
        </w:tc>
      </w:tr>
      <w:tr w:rsidR="00191AAD" w14:paraId="59313087" w14:textId="77777777" w:rsidTr="00D4005F">
        <w:tc>
          <w:tcPr>
            <w:tcW w:w="895" w:type="dxa"/>
          </w:tcPr>
          <w:p w14:paraId="2524AC90" w14:textId="17AF87E8" w:rsidR="00191AAD" w:rsidRDefault="00191AAD" w:rsidP="00191AAD">
            <w:pPr>
              <w:spacing w:before="120" w:after="120"/>
              <w:jc w:val="right"/>
            </w:pPr>
            <w:r>
              <w:t>12.</w:t>
            </w:r>
          </w:p>
        </w:tc>
        <w:tc>
          <w:tcPr>
            <w:tcW w:w="1980" w:type="dxa"/>
          </w:tcPr>
          <w:p w14:paraId="2D43FB09" w14:textId="77777777" w:rsidR="00191AAD" w:rsidRDefault="00191AAD" w:rsidP="00191AAD">
            <w:pPr>
              <w:spacing w:before="120" w:after="120"/>
            </w:pPr>
            <w:r>
              <w:t xml:space="preserve">Business Operations Practices and Standards Report – Section 6.1.6 Continued Use of </w:t>
            </w:r>
            <w:r>
              <w:lastRenderedPageBreak/>
              <w:t>Different Security Paradigms (Pages 13 – 15)</w:t>
            </w:r>
          </w:p>
          <w:p w14:paraId="0AFCD46D" w14:textId="325DA9B4"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06E1159" w14:textId="019AD862" w:rsidR="00191AAD" w:rsidRPr="006A5AD7" w:rsidRDefault="00191AAD" w:rsidP="00191AAD">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6"/>
            </w:r>
            <w:r w:rsidRPr="00A63874">
              <w:rPr>
                <w:szCs w:val="20"/>
              </w:rPr>
              <w:t xml:space="preserve">. Specifically, RSA keys must be no shorter than 2048 bits, while ECDSA keys must be no shorter than 224 bits. Hash algorithms should be from the SHA-2 or SHA-3 families. Acceptable AES key lengths </w:t>
            </w:r>
            <w:r w:rsidRPr="00A63874">
              <w:rPr>
                <w:szCs w:val="20"/>
              </w:rPr>
              <w:lastRenderedPageBreak/>
              <w:t>range from 128, to 192, to 256. In general, implementors should use the largest feasible key length consistent with implementation of current business processes. In order to 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6BBAA6F5" w14:textId="77777777" w:rsidR="00191AAD" w:rsidRPr="00CE13AE" w:rsidRDefault="00191AAD" w:rsidP="00191AAD">
            <w:pPr>
              <w:spacing w:before="120" w:after="120"/>
              <w:rPr>
                <w:color w:val="FF0000"/>
              </w:rPr>
            </w:pPr>
            <w:r w:rsidRPr="00CE13AE">
              <w:rPr>
                <w:color w:val="FF0000"/>
              </w:rPr>
              <w:lastRenderedPageBreak/>
              <w:t xml:space="preserve">The NAESB Accreditation Requirements for Certificate Authorities (Section 5.1.6 </w:t>
            </w:r>
            <w:r w:rsidRPr="00CE13AE">
              <w:rPr>
                <w:color w:val="FF0000"/>
              </w:rPr>
              <w:lastRenderedPageBreak/>
              <w:t xml:space="preserve">Key Sizes) currently specifies: </w:t>
            </w:r>
          </w:p>
          <w:p w14:paraId="72A3E390" w14:textId="77777777" w:rsidR="00191AAD" w:rsidRPr="00CE13AE" w:rsidRDefault="00191AAD" w:rsidP="00191AAD">
            <w:pPr>
              <w:pStyle w:val="ListParagraph"/>
              <w:numPr>
                <w:ilvl w:val="0"/>
                <w:numId w:val="17"/>
              </w:numPr>
              <w:spacing w:before="120" w:after="120"/>
              <w:rPr>
                <w:color w:val="FF0000"/>
              </w:rPr>
            </w:pPr>
            <w:r w:rsidRPr="00CE13AE">
              <w:rPr>
                <w:color w:val="FF0000"/>
              </w:rPr>
              <w:t>2048 bit RSA/DSA key length and 160 bit ECDSA key length</w:t>
            </w:r>
          </w:p>
          <w:p w14:paraId="145DEE25" w14:textId="77777777" w:rsidR="00191AAD" w:rsidRPr="00CE13AE" w:rsidRDefault="00191AAD" w:rsidP="00191AAD">
            <w:pPr>
              <w:pStyle w:val="ListParagraph"/>
              <w:numPr>
                <w:ilvl w:val="0"/>
                <w:numId w:val="17"/>
              </w:numPr>
              <w:spacing w:before="120" w:after="120"/>
              <w:rPr>
                <w:color w:val="FF0000"/>
              </w:rPr>
            </w:pPr>
            <w:r w:rsidRPr="00CE13AE">
              <w:rPr>
                <w:color w:val="FF0000"/>
              </w:rPr>
              <w:t>4096 bit RSA/DSA key length and 256 bit ECDSA key length for certificates expiring after 12/31/2012</w:t>
            </w:r>
          </w:p>
          <w:p w14:paraId="7285CB65" w14:textId="77777777" w:rsidR="00191AAD" w:rsidRPr="00CE13AE" w:rsidRDefault="00191AAD" w:rsidP="00191AAD">
            <w:pPr>
              <w:pStyle w:val="ListParagraph"/>
              <w:numPr>
                <w:ilvl w:val="0"/>
                <w:numId w:val="17"/>
              </w:numPr>
              <w:spacing w:before="120" w:after="120"/>
              <w:rPr>
                <w:color w:val="FF0000"/>
              </w:rPr>
            </w:pPr>
            <w:r w:rsidRPr="00CE13AE">
              <w:rPr>
                <w:color w:val="FF0000"/>
              </w:rPr>
              <w:t>3072 bit RSA/DSA for certificates expiring after 12/31/2030</w:t>
            </w:r>
          </w:p>
          <w:p w14:paraId="11D8C640" w14:textId="77777777" w:rsidR="00191AAD" w:rsidRPr="00CE13AE" w:rsidRDefault="00191AAD" w:rsidP="00191AAD">
            <w:pPr>
              <w:pStyle w:val="ListParagraph"/>
              <w:numPr>
                <w:ilvl w:val="0"/>
                <w:numId w:val="17"/>
              </w:numPr>
              <w:spacing w:before="120" w:after="120"/>
              <w:rPr>
                <w:color w:val="FF0000"/>
              </w:rPr>
            </w:pPr>
            <w:r w:rsidRPr="00CE13AE">
              <w:rPr>
                <w:color w:val="FF0000"/>
              </w:rPr>
              <w:t xml:space="preserve">SHA-1, SHA-224, SHA-256, SHA-384, or SHA-512 has algorithms </w:t>
            </w:r>
          </w:p>
          <w:p w14:paraId="443A2FBC" w14:textId="77777777" w:rsidR="00191AAD" w:rsidRPr="00CE13AE" w:rsidRDefault="00191AAD" w:rsidP="00191AAD">
            <w:pPr>
              <w:spacing w:before="120" w:after="120"/>
              <w:rPr>
                <w:color w:val="FF0000"/>
              </w:rPr>
            </w:pPr>
            <w:r w:rsidRPr="00CE13AE">
              <w:rPr>
                <w:color w:val="FF0000"/>
              </w:rPr>
              <w:t>The WGQ EDM Manual (Page 90 – Security: Login and Encryption) requires 128-bit RSA JAVA communications</w:t>
            </w:r>
          </w:p>
          <w:p w14:paraId="074618C4" w14:textId="77777777" w:rsidR="00191AAD" w:rsidRPr="00CE13AE" w:rsidRDefault="00191AAD" w:rsidP="00191AAD">
            <w:pPr>
              <w:spacing w:before="120" w:after="120"/>
              <w:rPr>
                <w:color w:val="FF0000"/>
              </w:rPr>
            </w:pPr>
            <w:r w:rsidRPr="00CE13AE">
              <w:rPr>
                <w:color w:val="FF0000"/>
              </w:rPr>
              <w:t>The RMQ EDM Manual does not specify anything RSA related</w:t>
            </w:r>
          </w:p>
          <w:p w14:paraId="2730C609" w14:textId="77777777" w:rsidR="00191AAD" w:rsidRPr="00CE13AE" w:rsidRDefault="00191AAD" w:rsidP="00191AAD">
            <w:pPr>
              <w:spacing w:before="120" w:after="120"/>
              <w:rPr>
                <w:color w:val="FF0000"/>
              </w:rPr>
            </w:pPr>
            <w:r w:rsidRPr="00CE13AE">
              <w:rPr>
                <w:color w:val="FF0000"/>
              </w:rPr>
              <w:lastRenderedPageBreak/>
              <w:t>The WGQ IET Standards require a PGP version 2.6 or greater using RSA algorithm to generate keys (WGQ 10.3.15)</w:t>
            </w:r>
          </w:p>
          <w:p w14:paraId="152A0EE7" w14:textId="77777777" w:rsidR="00191AAD" w:rsidRPr="00CE13AE" w:rsidRDefault="00191AAD" w:rsidP="00191AAD">
            <w:pPr>
              <w:spacing w:before="120" w:after="120"/>
              <w:rPr>
                <w:color w:val="FF0000"/>
              </w:rPr>
            </w:pPr>
            <w:r w:rsidRPr="00CE13AE">
              <w:rPr>
                <w:color w:val="FF0000"/>
              </w:rPr>
              <w:t>The RMQ IET Standards require a RSA algorithm to generate keys and PGP Version 2.6 or greater (RXQ 7.3.15)</w:t>
            </w:r>
          </w:p>
          <w:p w14:paraId="399C3C34" w14:textId="098A8046" w:rsidR="00191AAD" w:rsidRDefault="00191AAD" w:rsidP="00191AAD">
            <w:pPr>
              <w:spacing w:before="120" w:after="120"/>
              <w:rPr>
                <w:color w:val="FF0000"/>
              </w:rPr>
            </w:pPr>
            <w:r w:rsidRPr="00CE13AE">
              <w:rPr>
                <w:color w:val="FF0000"/>
              </w:rPr>
              <w:t xml:space="preserve">Neither the WGQ/RMQ EDM or IET Standards address specifically address hash algorithms </w:t>
            </w:r>
          </w:p>
        </w:tc>
        <w:tc>
          <w:tcPr>
            <w:tcW w:w="2590" w:type="dxa"/>
          </w:tcPr>
          <w:p w14:paraId="2F9D76EA" w14:textId="77777777" w:rsidR="00191AAD" w:rsidRDefault="00191AAD" w:rsidP="00191AAD">
            <w:pPr>
              <w:spacing w:before="120" w:after="120"/>
              <w:rPr>
                <w:color w:val="FF0000"/>
              </w:rPr>
            </w:pPr>
            <w:r>
              <w:rPr>
                <w:color w:val="FF0000"/>
              </w:rPr>
              <w:lastRenderedPageBreak/>
              <w:t>WGQ Cybersecurity Subcommittee</w:t>
            </w:r>
          </w:p>
          <w:p w14:paraId="43C94D3F" w14:textId="77777777" w:rsidR="00191AAD" w:rsidRDefault="00191AAD" w:rsidP="00191AAD">
            <w:pPr>
              <w:spacing w:before="120" w:after="120"/>
              <w:rPr>
                <w:color w:val="FF0000"/>
              </w:rPr>
            </w:pPr>
          </w:p>
          <w:p w14:paraId="0C7CF8BA" w14:textId="77777777" w:rsidR="00191AAD" w:rsidRDefault="00191AAD" w:rsidP="00191AAD">
            <w:pPr>
              <w:spacing w:before="120" w:after="120"/>
              <w:rPr>
                <w:color w:val="FF0000"/>
              </w:rPr>
            </w:pPr>
          </w:p>
          <w:p w14:paraId="18647691" w14:textId="77777777" w:rsidR="00191AAD" w:rsidRDefault="00191AAD" w:rsidP="00191AAD">
            <w:pPr>
              <w:spacing w:before="120" w:after="120"/>
              <w:rPr>
                <w:color w:val="FF0000"/>
              </w:rPr>
            </w:pPr>
          </w:p>
          <w:p w14:paraId="72739CF8" w14:textId="77777777" w:rsidR="00191AAD" w:rsidRDefault="00191AAD" w:rsidP="00191AAD">
            <w:pPr>
              <w:spacing w:before="120" w:after="120"/>
              <w:rPr>
                <w:color w:val="FF0000"/>
              </w:rPr>
            </w:pPr>
          </w:p>
          <w:p w14:paraId="09BE3084" w14:textId="77777777" w:rsidR="00191AAD" w:rsidRDefault="00191AAD" w:rsidP="00191AAD">
            <w:pPr>
              <w:spacing w:before="120" w:after="120"/>
              <w:rPr>
                <w:color w:val="FF0000"/>
              </w:rPr>
            </w:pPr>
          </w:p>
          <w:p w14:paraId="26D31970" w14:textId="77777777" w:rsidR="00191AAD" w:rsidRDefault="00191AAD" w:rsidP="00191AAD">
            <w:pPr>
              <w:spacing w:before="120" w:after="120"/>
              <w:rPr>
                <w:color w:val="FF0000"/>
              </w:rPr>
            </w:pPr>
          </w:p>
          <w:p w14:paraId="54F9C0AC" w14:textId="77777777" w:rsidR="00191AAD" w:rsidRDefault="00191AAD" w:rsidP="00191AAD">
            <w:pPr>
              <w:spacing w:before="120" w:after="120"/>
              <w:rPr>
                <w:color w:val="FF0000"/>
              </w:rPr>
            </w:pPr>
          </w:p>
          <w:p w14:paraId="12DDD21B" w14:textId="77777777" w:rsidR="00191AAD" w:rsidRDefault="00191AAD" w:rsidP="00191AAD">
            <w:pPr>
              <w:spacing w:before="120" w:after="120"/>
              <w:rPr>
                <w:color w:val="FF0000"/>
              </w:rPr>
            </w:pPr>
          </w:p>
          <w:p w14:paraId="30BD900B" w14:textId="77777777" w:rsidR="00191AAD" w:rsidRDefault="00191AAD" w:rsidP="00191AAD">
            <w:pPr>
              <w:spacing w:before="120" w:after="120"/>
              <w:rPr>
                <w:color w:val="FF0000"/>
              </w:rPr>
            </w:pPr>
          </w:p>
          <w:p w14:paraId="3D0F8652" w14:textId="77777777" w:rsidR="00191AAD" w:rsidRDefault="00191AAD" w:rsidP="00191AAD">
            <w:pPr>
              <w:spacing w:before="120" w:after="120"/>
              <w:rPr>
                <w:color w:val="FF0000"/>
              </w:rPr>
            </w:pPr>
          </w:p>
          <w:p w14:paraId="10C1D1B7" w14:textId="77777777" w:rsidR="00191AAD" w:rsidRDefault="00191AAD" w:rsidP="00191AAD">
            <w:pPr>
              <w:spacing w:before="120" w:after="120"/>
              <w:rPr>
                <w:color w:val="FF0000"/>
              </w:rPr>
            </w:pPr>
          </w:p>
          <w:p w14:paraId="1ACAB0D6" w14:textId="77777777" w:rsidR="00191AAD" w:rsidRDefault="00191AAD" w:rsidP="00191AAD">
            <w:pPr>
              <w:spacing w:before="120" w:after="120"/>
              <w:rPr>
                <w:color w:val="FF0000"/>
              </w:rPr>
            </w:pPr>
          </w:p>
          <w:p w14:paraId="1D297154" w14:textId="77777777" w:rsidR="00191AAD" w:rsidRDefault="00191AAD" w:rsidP="00191AAD">
            <w:pPr>
              <w:spacing w:before="120" w:after="120"/>
              <w:rPr>
                <w:color w:val="FF0000"/>
              </w:rPr>
            </w:pPr>
          </w:p>
          <w:p w14:paraId="02B60E5C" w14:textId="77777777" w:rsidR="00191AAD" w:rsidRDefault="00191AAD" w:rsidP="00191AAD">
            <w:pPr>
              <w:spacing w:before="120" w:after="120"/>
              <w:rPr>
                <w:color w:val="FF0000"/>
              </w:rPr>
            </w:pPr>
          </w:p>
          <w:p w14:paraId="4AFB0666" w14:textId="77777777" w:rsidR="002403CE" w:rsidRDefault="002403CE" w:rsidP="00191AAD">
            <w:pPr>
              <w:spacing w:before="120" w:after="120"/>
              <w:rPr>
                <w:color w:val="FF0000"/>
              </w:rPr>
            </w:pPr>
          </w:p>
          <w:p w14:paraId="39BE6B8F" w14:textId="08DE15E7" w:rsidR="00191AAD" w:rsidRDefault="00191AAD" w:rsidP="00191AAD">
            <w:pPr>
              <w:spacing w:before="120" w:after="120"/>
              <w:rPr>
                <w:color w:val="FF0000"/>
              </w:rPr>
            </w:pPr>
            <w:r>
              <w:rPr>
                <w:color w:val="FF0000"/>
              </w:rPr>
              <w:t>Jointly between WGQ EDM and RMQ IR/TEIS</w:t>
            </w:r>
          </w:p>
        </w:tc>
      </w:tr>
      <w:tr w:rsidR="00191AAD" w14:paraId="02EA499A" w14:textId="77777777" w:rsidTr="00D4005F">
        <w:tc>
          <w:tcPr>
            <w:tcW w:w="895" w:type="dxa"/>
          </w:tcPr>
          <w:p w14:paraId="2EBF4DF5" w14:textId="37374391" w:rsidR="00191AAD" w:rsidRDefault="00191AAD" w:rsidP="00191AAD">
            <w:pPr>
              <w:spacing w:before="120" w:after="120"/>
              <w:jc w:val="right"/>
            </w:pPr>
            <w:r>
              <w:lastRenderedPageBreak/>
              <w:t>13.</w:t>
            </w:r>
          </w:p>
        </w:tc>
        <w:tc>
          <w:tcPr>
            <w:tcW w:w="1980" w:type="dxa"/>
          </w:tcPr>
          <w:p w14:paraId="0E60390B" w14:textId="230A3002" w:rsidR="00191AAD" w:rsidRDefault="00191AAD" w:rsidP="00191AAD">
            <w:pPr>
              <w:spacing w:before="120" w:after="120"/>
              <w:rPr>
                <w:highlight w:val="yellow"/>
              </w:rPr>
            </w:pPr>
            <w:r w:rsidRPr="0007296C">
              <w:rPr>
                <w:highlight w:val="yellow"/>
              </w:rPr>
              <w:t>Business Operations Practices and Standards Report – Section 6.1.6 Continued Use of Different Security Paradigms (Pages 13 – 15)</w:t>
            </w:r>
          </w:p>
          <w:p w14:paraId="58E073F3" w14:textId="757995D2" w:rsidR="00D9489F" w:rsidRPr="0007296C" w:rsidRDefault="00D9489F" w:rsidP="00191AAD">
            <w:pPr>
              <w:spacing w:before="120" w:after="120"/>
              <w:rPr>
                <w:highlight w:val="yellow"/>
              </w:rPr>
            </w:pPr>
            <w:r>
              <w:rPr>
                <w:highlight w:val="yellow"/>
              </w:rPr>
              <w:t>(Table of Contents Section 6.2.3</w:t>
            </w:r>
            <w:r w:rsidR="007B6C13">
              <w:rPr>
                <w:highlight w:val="yellow"/>
              </w:rPr>
              <w:t xml:space="preserve"> Gas and Electric Industry Interactions</w:t>
            </w:r>
            <w:r>
              <w:rPr>
                <w:highlight w:val="yellow"/>
              </w:rPr>
              <w:t>)</w:t>
            </w:r>
            <w:bookmarkStart w:id="4" w:name="_GoBack"/>
            <w:bookmarkEnd w:id="4"/>
          </w:p>
          <w:p w14:paraId="7C1E79BB" w14:textId="77777777" w:rsidR="00191AAD" w:rsidRDefault="00191AAD" w:rsidP="00191AAD">
            <w:pPr>
              <w:spacing w:before="120" w:after="120"/>
            </w:pPr>
          </w:p>
        </w:tc>
        <w:tc>
          <w:tcPr>
            <w:tcW w:w="4895" w:type="dxa"/>
          </w:tcPr>
          <w:p w14:paraId="7A7EC68F" w14:textId="77777777" w:rsidR="00191AAD" w:rsidRPr="0007296C" w:rsidRDefault="00191AAD" w:rsidP="00191AAD">
            <w:pPr>
              <w:spacing w:before="120" w:after="120"/>
              <w:jc w:val="both"/>
              <w:rPr>
                <w:szCs w:val="20"/>
                <w:highlight w:val="yellow"/>
              </w:rPr>
            </w:pPr>
            <w:r w:rsidRPr="0007296C">
              <w:rPr>
                <w:szCs w:val="20"/>
                <w:highlight w:val="yellow"/>
              </w:rPr>
              <w:lastRenderedPageBreak/>
              <w:t>Finally, IET business process as currently implemented may be vulnerable to both replay</w:t>
            </w:r>
            <w:r w:rsidRPr="0007296C">
              <w:rPr>
                <w:rStyle w:val="FootnoteReference"/>
                <w:highlight w:val="yellow"/>
              </w:rPr>
              <w:footnoteReference w:id="8"/>
            </w:r>
            <w:r w:rsidRPr="0007296C">
              <w:rPr>
                <w:szCs w:val="20"/>
                <w:highlight w:val="yellow"/>
              </w:rPr>
              <w:t xml:space="preserve"> and amplification</w:t>
            </w:r>
            <w:r w:rsidRPr="0007296C">
              <w:rPr>
                <w:rStyle w:val="FootnoteReference"/>
                <w:highlight w:val="yellow"/>
              </w:rPr>
              <w:footnoteReference w:id="9"/>
            </w:r>
            <w:r w:rsidRPr="0007296C">
              <w:rPr>
                <w:szCs w:val="20"/>
                <w:highlight w:val="yellow"/>
              </w:rPr>
              <w:t xml:space="preserve"> attacks. Based on the assessment teams review of the transactional process these two attacks were immediately identified as attacks of concern…</w:t>
            </w:r>
          </w:p>
          <w:p w14:paraId="3830F0F2" w14:textId="6C945BC6" w:rsidR="00191AAD" w:rsidRPr="00A63874" w:rsidRDefault="00191AAD" w:rsidP="00191AAD">
            <w:pPr>
              <w:spacing w:before="120" w:after="120"/>
              <w:rPr>
                <w:szCs w:val="20"/>
              </w:rPr>
            </w:pPr>
            <w:r w:rsidRPr="0007296C">
              <w:rPr>
                <w:szCs w:val="20"/>
                <w:highlight w:val="yellow"/>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w:t>
            </w:r>
            <w:r w:rsidRPr="0007296C">
              <w:rPr>
                <w:szCs w:val="20"/>
                <w:highlight w:val="yellow"/>
              </w:rPr>
              <w:lastRenderedPageBreak/>
              <w:t>volume of data sent to a target; rather, as the response message is smaller, the overall denial-of-service risk will be correspondingly lowered. The second strategy uses rate limiting to ensure that error messages are sent at a rate that is lower than expected message processing speeds. This way, even if the responses are larger than the adversary-submitted requests, they will not be sent to the target at a rate that would strain target computational resources.</w:t>
            </w:r>
            <w:r w:rsidRPr="00A63874">
              <w:rPr>
                <w:szCs w:val="20"/>
              </w:rPr>
              <w:t xml:space="preserve"> </w:t>
            </w:r>
          </w:p>
        </w:tc>
        <w:tc>
          <w:tcPr>
            <w:tcW w:w="2590" w:type="dxa"/>
          </w:tcPr>
          <w:p w14:paraId="4898510D" w14:textId="77777777" w:rsidR="00191AAD" w:rsidRPr="00CE13AE" w:rsidRDefault="00191AAD" w:rsidP="00191AAD">
            <w:pPr>
              <w:spacing w:before="120" w:after="120"/>
              <w:rPr>
                <w:color w:val="FF0000"/>
              </w:rPr>
            </w:pPr>
          </w:p>
        </w:tc>
        <w:tc>
          <w:tcPr>
            <w:tcW w:w="2590" w:type="dxa"/>
          </w:tcPr>
          <w:p w14:paraId="166A3119" w14:textId="77777777" w:rsidR="00191AAD" w:rsidRDefault="00191AAD" w:rsidP="00191AAD">
            <w:pPr>
              <w:spacing w:before="120" w:after="120"/>
              <w:rPr>
                <w:color w:val="FF0000"/>
              </w:rPr>
            </w:pPr>
          </w:p>
        </w:tc>
      </w:tr>
    </w:tbl>
    <w:p w14:paraId="4EEB5E14" w14:textId="3684F6DD" w:rsidR="00C83A5F" w:rsidRDefault="00C83A5F" w:rsidP="00F02102">
      <w:pPr>
        <w:spacing w:before="120" w:after="120"/>
      </w:pPr>
    </w:p>
    <w:p w14:paraId="385B6151" w14:textId="77777777" w:rsidR="00C83A5F" w:rsidRDefault="00C83A5F" w:rsidP="00C83A5F">
      <w:pPr>
        <w:spacing w:before="120" w:after="120"/>
      </w:pPr>
    </w:p>
    <w:p w14:paraId="25FF4EB5" w14:textId="77777777" w:rsidR="00C83A5F" w:rsidRDefault="00C83A5F" w:rsidP="00F02102">
      <w:pPr>
        <w:spacing w:before="120" w:after="120"/>
      </w:pPr>
    </w:p>
    <w:sectPr w:rsidR="00C83A5F"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02EA" w14:textId="77777777" w:rsidR="00510A71" w:rsidRDefault="00510A71" w:rsidP="00733F0F">
      <w:r>
        <w:separator/>
      </w:r>
    </w:p>
  </w:endnote>
  <w:endnote w:type="continuationSeparator" w:id="0">
    <w:p w14:paraId="44BEF1DC" w14:textId="77777777" w:rsidR="00510A71" w:rsidRDefault="00510A71"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6ED2" w14:textId="77777777" w:rsidR="00510A71" w:rsidRDefault="00510A71" w:rsidP="00733F0F">
      <w:r>
        <w:separator/>
      </w:r>
    </w:p>
  </w:footnote>
  <w:footnote w:type="continuationSeparator" w:id="0">
    <w:p w14:paraId="2151B19C" w14:textId="77777777" w:rsidR="00510A71" w:rsidRDefault="00510A71" w:rsidP="00733F0F">
      <w:r>
        <w:continuationSeparator/>
      </w:r>
    </w:p>
  </w:footnote>
  <w:footnote w:id="1">
    <w:p w14:paraId="7870FF48" w14:textId="77777777" w:rsidR="00992E42" w:rsidRDefault="00992E42"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19FC7CEA" w14:textId="77777777" w:rsidR="00191AAD" w:rsidRDefault="00191AAD" w:rsidP="00C83A5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60C3F760" w14:textId="77777777" w:rsidR="00191AAD" w:rsidRPr="002934F5" w:rsidRDefault="00191AAD" w:rsidP="00C83A5F">
      <w:pPr>
        <w:pStyle w:val="FootnoteText"/>
        <w:rPr>
          <w:highlight w:val="yellow"/>
        </w:rPr>
      </w:pPr>
      <w:r w:rsidRPr="008404CA">
        <w:rPr>
          <w:rStyle w:val="FootnoteReference"/>
        </w:rPr>
        <w:footnoteRef/>
      </w:r>
      <w:r w:rsidRPr="008404CA">
        <w:t xml:space="preserve"> (</w:t>
      </w:r>
      <w:hyperlink r:id="rId3" w:history="1">
        <w:r w:rsidRPr="00547753">
          <w:rPr>
            <w:rStyle w:val="Hyperlink"/>
          </w:rPr>
          <w:t>https://ics-cert.us-cert.gov/sites/default/files/recommended_practices/NCCIC_ICS-CERT_Defense_in_Depth_2016_S508C.pdf</w:t>
        </w:r>
      </w:hyperlink>
      <w:r>
        <w:t>)</w:t>
      </w:r>
    </w:p>
  </w:footnote>
  <w:footnote w:id="4">
    <w:p w14:paraId="67AC4D48"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5">
    <w:p w14:paraId="581DBFFC"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6">
    <w:p w14:paraId="2C6BCFFD" w14:textId="77777777" w:rsidR="00191AAD" w:rsidRPr="00A63874" w:rsidRDefault="00191AAD" w:rsidP="00B45AA9">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3F16F314" w14:textId="77777777" w:rsidR="00191AAD" w:rsidRPr="00630A71" w:rsidRDefault="00191AAD" w:rsidP="00B45AA9">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1291B6A4"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7B1860DB" w14:textId="77777777" w:rsidR="00191AAD" w:rsidRDefault="00191AAD" w:rsidP="00C83A5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r w:rsidRPr="003019B2">
      <w:rPr>
        <w:lang w:val="fr-FR"/>
      </w:rPr>
      <w:t>Phone:  (713) 356-0060, Fax:  (713) 356-0067, E-mail: naesb@naesb.org</w:t>
    </w:r>
  </w:p>
  <w:p w14:paraId="01C48EA3" w14:textId="77777777" w:rsidR="00847D64" w:rsidRDefault="00847D64" w:rsidP="00847D64">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14:paraId="411212D0" w14:textId="77777777" w:rsidR="00847D64" w:rsidRDefault="0084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5"/>
  </w:num>
  <w:num w:numId="13">
    <w:abstractNumId w:val="2"/>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12F6F"/>
    <w:rsid w:val="00016CE6"/>
    <w:rsid w:val="00022F41"/>
    <w:rsid w:val="00034392"/>
    <w:rsid w:val="00044D5A"/>
    <w:rsid w:val="0004736A"/>
    <w:rsid w:val="0007296C"/>
    <w:rsid w:val="00085262"/>
    <w:rsid w:val="0008605E"/>
    <w:rsid w:val="000B6B37"/>
    <w:rsid w:val="000C1BE1"/>
    <w:rsid w:val="000D0A1D"/>
    <w:rsid w:val="000D2D9D"/>
    <w:rsid w:val="000F13E7"/>
    <w:rsid w:val="00102919"/>
    <w:rsid w:val="0010353E"/>
    <w:rsid w:val="00122DB3"/>
    <w:rsid w:val="001728EA"/>
    <w:rsid w:val="00176A4F"/>
    <w:rsid w:val="00191AAD"/>
    <w:rsid w:val="001A5341"/>
    <w:rsid w:val="001C479B"/>
    <w:rsid w:val="001C6C6E"/>
    <w:rsid w:val="001D4064"/>
    <w:rsid w:val="001E0618"/>
    <w:rsid w:val="001E4642"/>
    <w:rsid w:val="00224F55"/>
    <w:rsid w:val="00226E54"/>
    <w:rsid w:val="002403CE"/>
    <w:rsid w:val="00240CF8"/>
    <w:rsid w:val="00253F94"/>
    <w:rsid w:val="002B20B4"/>
    <w:rsid w:val="002C046D"/>
    <w:rsid w:val="002E1004"/>
    <w:rsid w:val="002E1F11"/>
    <w:rsid w:val="002E7AF7"/>
    <w:rsid w:val="00305CF2"/>
    <w:rsid w:val="00314ABB"/>
    <w:rsid w:val="00320B7F"/>
    <w:rsid w:val="003633AC"/>
    <w:rsid w:val="003A4041"/>
    <w:rsid w:val="003E0F72"/>
    <w:rsid w:val="00431EF8"/>
    <w:rsid w:val="004433FF"/>
    <w:rsid w:val="00454B0D"/>
    <w:rsid w:val="00457FC5"/>
    <w:rsid w:val="004C06EB"/>
    <w:rsid w:val="004D0421"/>
    <w:rsid w:val="004D67E3"/>
    <w:rsid w:val="00503D2F"/>
    <w:rsid w:val="005079F4"/>
    <w:rsid w:val="00510A71"/>
    <w:rsid w:val="00510C2F"/>
    <w:rsid w:val="005375BC"/>
    <w:rsid w:val="00540C35"/>
    <w:rsid w:val="005652E9"/>
    <w:rsid w:val="005B095A"/>
    <w:rsid w:val="005C2957"/>
    <w:rsid w:val="005C5067"/>
    <w:rsid w:val="005D19FC"/>
    <w:rsid w:val="00630A71"/>
    <w:rsid w:val="00636C2C"/>
    <w:rsid w:val="00640891"/>
    <w:rsid w:val="00644555"/>
    <w:rsid w:val="006527E8"/>
    <w:rsid w:val="006574C9"/>
    <w:rsid w:val="006A44D6"/>
    <w:rsid w:val="006B3EB0"/>
    <w:rsid w:val="006D2244"/>
    <w:rsid w:val="006E0A3A"/>
    <w:rsid w:val="006F0FE2"/>
    <w:rsid w:val="006F30EC"/>
    <w:rsid w:val="00725CF9"/>
    <w:rsid w:val="00733414"/>
    <w:rsid w:val="00733F0F"/>
    <w:rsid w:val="007357B5"/>
    <w:rsid w:val="0074414D"/>
    <w:rsid w:val="0077602C"/>
    <w:rsid w:val="00781C6B"/>
    <w:rsid w:val="00786C45"/>
    <w:rsid w:val="00795EB7"/>
    <w:rsid w:val="007B6C13"/>
    <w:rsid w:val="007E7204"/>
    <w:rsid w:val="00801DD0"/>
    <w:rsid w:val="008152E5"/>
    <w:rsid w:val="008209D5"/>
    <w:rsid w:val="00821594"/>
    <w:rsid w:val="0082606A"/>
    <w:rsid w:val="00833699"/>
    <w:rsid w:val="00843CD9"/>
    <w:rsid w:val="00847D64"/>
    <w:rsid w:val="00873A6C"/>
    <w:rsid w:val="008A7C4D"/>
    <w:rsid w:val="008B1493"/>
    <w:rsid w:val="008C3819"/>
    <w:rsid w:val="008D4FF2"/>
    <w:rsid w:val="008F1501"/>
    <w:rsid w:val="00900C74"/>
    <w:rsid w:val="00941ED2"/>
    <w:rsid w:val="00966BCF"/>
    <w:rsid w:val="00992E42"/>
    <w:rsid w:val="009A0D0A"/>
    <w:rsid w:val="009A54D3"/>
    <w:rsid w:val="009B3709"/>
    <w:rsid w:val="009B7337"/>
    <w:rsid w:val="009C2782"/>
    <w:rsid w:val="009C4FE5"/>
    <w:rsid w:val="009C55A3"/>
    <w:rsid w:val="009F5B97"/>
    <w:rsid w:val="00A40ED4"/>
    <w:rsid w:val="00A956BA"/>
    <w:rsid w:val="00AE3F06"/>
    <w:rsid w:val="00B010A6"/>
    <w:rsid w:val="00B45AA9"/>
    <w:rsid w:val="00B6527E"/>
    <w:rsid w:val="00B72292"/>
    <w:rsid w:val="00B80A02"/>
    <w:rsid w:val="00BD49FC"/>
    <w:rsid w:val="00BE39DA"/>
    <w:rsid w:val="00C04F04"/>
    <w:rsid w:val="00C30C78"/>
    <w:rsid w:val="00C533AD"/>
    <w:rsid w:val="00C83A5F"/>
    <w:rsid w:val="00CA2831"/>
    <w:rsid w:val="00CA3232"/>
    <w:rsid w:val="00CC1689"/>
    <w:rsid w:val="00CD3B5D"/>
    <w:rsid w:val="00CD6548"/>
    <w:rsid w:val="00CE13AE"/>
    <w:rsid w:val="00CF39B4"/>
    <w:rsid w:val="00CF72ED"/>
    <w:rsid w:val="00D14698"/>
    <w:rsid w:val="00D25F77"/>
    <w:rsid w:val="00D4005F"/>
    <w:rsid w:val="00D442E4"/>
    <w:rsid w:val="00D475D0"/>
    <w:rsid w:val="00D5263B"/>
    <w:rsid w:val="00D5355D"/>
    <w:rsid w:val="00D72A7C"/>
    <w:rsid w:val="00D943FF"/>
    <w:rsid w:val="00D9489F"/>
    <w:rsid w:val="00DC3277"/>
    <w:rsid w:val="00DF393E"/>
    <w:rsid w:val="00DF581A"/>
    <w:rsid w:val="00E025EB"/>
    <w:rsid w:val="00E05EA6"/>
    <w:rsid w:val="00E6146E"/>
    <w:rsid w:val="00E840CF"/>
    <w:rsid w:val="00E91C95"/>
    <w:rsid w:val="00EA3E5D"/>
    <w:rsid w:val="00EB6AFC"/>
    <w:rsid w:val="00EC6E81"/>
    <w:rsid w:val="00ED23F5"/>
    <w:rsid w:val="00EE7915"/>
    <w:rsid w:val="00EF115B"/>
    <w:rsid w:val="00F02102"/>
    <w:rsid w:val="00F177A5"/>
    <w:rsid w:val="00F5725E"/>
    <w:rsid w:val="00F60060"/>
    <w:rsid w:val="00F85576"/>
    <w:rsid w:val="00FA1848"/>
    <w:rsid w:val="00FA7359"/>
    <w:rsid w:val="00FC11D6"/>
    <w:rsid w:val="00FE55F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styleId="UnresolvedMention">
    <w:name w:val="Unresolved Mention"/>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cs-cert.us-cert.gov/sites/default/files/recommended_practices/NCCIC_ICS-CERT_Defense_in_Depth_2016_S508C.pdf" TargetMode="External"/><Relationship Id="rId7" Type="http://schemas.openxmlformats.org/officeDocument/2006/relationships/hyperlink" Target="https://www.us-cert.gov/ncas/alerts/TA13-088A"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tools.ietf.org/html/rfc2617" TargetMode="External"/><Relationship Id="rId4" Type="http://schemas.openxmlformats.org/officeDocument/2006/relationships/hyperlink" Target="https://www.w3.org/2001/tag/doc/web-http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1508-73D0-4799-8F1A-6AA19BC8F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3175</Words>
  <Characters>18102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19</cp:revision>
  <dcterms:created xsi:type="dcterms:W3CDTF">2019-08-01T21:21:00Z</dcterms:created>
  <dcterms:modified xsi:type="dcterms:W3CDTF">2019-08-06T19:42:00Z</dcterms:modified>
</cp:coreProperties>
</file>