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1724750495"/>
        <w:docPartObj>
          <w:docPartGallery w:val="Cover Pages"/>
          <w:docPartUnique/>
        </w:docPartObj>
      </w:sdtPr>
      <w:sdtEndPr/>
      <w:sdtContent>
        <w:p w14:paraId="2DDEA8BD" w14:textId="77777777" w:rsidR="0079283B" w:rsidRDefault="00B0553D">
          <w:pPr>
            <w:rPr>
              <w:noProof/>
            </w:rPr>
          </w:pPr>
          <w:r>
            <w:rPr>
              <w:noProof/>
            </w:rPr>
            <mc:AlternateContent>
              <mc:Choice Requires="wps">
                <w:drawing>
                  <wp:anchor distT="0" distB="0" distL="114300" distR="114300" simplePos="0" relativeHeight="251659264" behindDoc="0" locked="0" layoutInCell="1" allowOverlap="1" wp14:anchorId="3EF99BF8" wp14:editId="08E159DE">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14:paraId="5B3B0BCC" w14:textId="72199A0D" w:rsidR="00477EC4" w:rsidRDefault="005C41D4">
                                <w:pPr>
                                  <w:pStyle w:val="Title"/>
                                </w:pPr>
                                <w:sdt>
                                  <w:sdtPr>
                                    <w:alias w:val="Title"/>
                                    <w:tag w:val=""/>
                                    <w:id w:val="701364701"/>
                                    <w:placeholder>
                                      <w:docPart w:val="18FE4E425BA34B3AA6E7CE59631AC81D"/>
                                    </w:placeholder>
                                    <w:dataBinding w:prefixMappings="xmlns:ns0='http://purl.org/dc/elements/1.1/' xmlns:ns1='http://schemas.openxmlformats.org/package/2006/metadata/core-properties' " w:xpath="/ns1:coreProperties[1]/ns0:title[1]" w:storeItemID="{6C3C8BC8-F283-45AE-878A-BAB7291924A1}"/>
                                    <w:text/>
                                  </w:sdtPr>
                                  <w:sdtEndPr/>
                                  <w:sdtContent>
                                    <w:r w:rsidR="00477EC4">
                                      <w:t>Battery Task Force work paper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w14:anchorId="3EF99BF8" id="_x0000_t202" coordsize="21600,21600" o:spt="202" path="m,l,21600r21600,l21600,xe">
                    <v:stroke joinstyle="miter"/>
                    <v:path gradientshapeok="t" o:connecttype="rect"/>
                  </v:shapetype>
                  <v:shape id="Text Box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CQQIAAHY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" filled="f" stroked="f" strokeweight=".5pt">
                    <v:textbox inset="0,0,0,0">
                      <w:txbxContent>
                        <w:p w14:paraId="5B3B0BCC" w14:textId="72199A0D" w:rsidR="00477EC4" w:rsidRDefault="001E1B95">
                          <w:pPr>
                            <w:pStyle w:val="Title"/>
                          </w:pPr>
                          <w:sdt>
                            <w:sdtPr>
                              <w:alias w:val="Title"/>
                              <w:tag w:val=""/>
                              <w:id w:val="701364701"/>
                              <w:placeholder>
                                <w:docPart w:val="18FE4E425BA34B3AA6E7CE59631AC81D"/>
                              </w:placeholder>
                              <w:dataBinding w:prefixMappings="xmlns:ns0='http://purl.org/dc/elements/1.1/' xmlns:ns1='http://schemas.openxmlformats.org/package/2006/metadata/core-properties' " w:xpath="/ns1:coreProperties[1]/ns0:title[1]" w:storeItemID="{6C3C8BC8-F283-45AE-878A-BAB7291924A1}"/>
                              <w:text/>
                            </w:sdtPr>
                            <w:sdtEndPr/>
                            <w:sdtContent>
                              <w:r w:rsidR="00477EC4">
                                <w:t>Battery Task Force work paper</w:t>
                              </w:r>
                            </w:sdtContent>
                          </w:sdt>
                        </w:p>
                      </w:txbxContent>
                    </v:textbox>
                    <w10:wrap type="topAndBottom" anchorx="page" anchory="margin"/>
                  </v:shape>
                </w:pict>
              </mc:Fallback>
            </mc:AlternateContent>
          </w:r>
          <w:r>
            <w:rPr>
              <w:rFonts w:asciiTheme="majorHAnsi" w:eastAsiaTheme="majorEastAsia" w:hAnsiTheme="majorHAnsi" w:cstheme="majorBidi"/>
              <w:noProof/>
              <w:sz w:val="76"/>
              <w:szCs w:val="72"/>
            </w:rPr>
            <mc:AlternateContent>
              <mc:Choice Requires="wps">
                <w:drawing>
                  <wp:anchor distT="0" distB="0" distL="114300" distR="114300" simplePos="0" relativeHeight="251660288" behindDoc="0" locked="0" layoutInCell="0" allowOverlap="0" wp14:anchorId="4841507F" wp14:editId="0CB9F07B">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14:paraId="2A58BEF9" w14:textId="2DABEC16" w:rsidR="00477EC4" w:rsidRDefault="00477EC4">
                                    <w:pPr>
                                      <w:pStyle w:val="NoSpacing"/>
                                      <w:rPr>
                                        <w:kern w:val="20"/>
                                      </w:rPr>
                                    </w:pPr>
                                    <w:r>
                                      <w:rPr>
                                        <w:kern w:val="20"/>
                                      </w:rPr>
                                      <w:t>Reliable Energy Analytics LLC</w:t>
                                    </w:r>
                                  </w:p>
                                </w:sdtContent>
                              </w:sdt>
                              <w:p w14:paraId="2A02FAFB" w14:textId="6FC95591" w:rsidR="00477EC4" w:rsidRPr="00D3156E" w:rsidRDefault="00477EC4">
                                <w:pPr>
                                  <w:pStyle w:val="NoSpacing"/>
                                  <w:rPr>
                                    <w:b/>
                                    <w:bCs/>
                                  </w:rPr>
                                </w:pPr>
                                <w:r w:rsidRPr="00D3156E">
                                  <w:rPr>
                                    <w:rStyle w:val="Strong"/>
                                    <w:b w:val="0"/>
                                    <w:bCs w:val="0"/>
                                  </w:rPr>
                                  <w:t>Submitted By: Dick Brooks</w:t>
                                </w:r>
                              </w:p>
                              <w:sdt>
                                <w:sdt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14:paraId="4F633265" w14:textId="2B162563" w:rsidR="00477EC4" w:rsidRDefault="00477EC4">
                                    <w:r>
                                      <w:t>https:/reliableenergyanalytics.com</w:t>
                                    </w:r>
                                  </w:p>
                                </w:sdtContent>
                              </w:sdt>
                              <w:p w14:paraId="59796473" w14:textId="0DC86E70" w:rsidR="00477EC4" w:rsidRDefault="00477EC4">
                                <w:r>
                                  <w:t>Date: November 3, 2020</w:t>
                                </w:r>
                              </w:p>
                              <w:p w14:paraId="2B9123E9" w14:textId="77777777" w:rsidR="00477EC4" w:rsidRDefault="00477EC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4841507F"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sdt>
                          <w:sdtPr>
                            <w:rPr>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14:paraId="2A58BEF9" w14:textId="2DABEC16" w:rsidR="00477EC4" w:rsidRDefault="00477EC4">
                              <w:pPr>
                                <w:pStyle w:val="NoSpacing"/>
                                <w:rPr>
                                  <w:kern w:val="20"/>
                                </w:rPr>
                              </w:pPr>
                              <w:r>
                                <w:rPr>
                                  <w:kern w:val="20"/>
                                </w:rPr>
                                <w:t>Reliable Energy Analytics LLC</w:t>
                              </w:r>
                            </w:p>
                          </w:sdtContent>
                        </w:sdt>
                        <w:p w14:paraId="2A02FAFB" w14:textId="6FC95591" w:rsidR="00477EC4" w:rsidRPr="00D3156E" w:rsidRDefault="00477EC4">
                          <w:pPr>
                            <w:pStyle w:val="NoSpacing"/>
                            <w:rPr>
                              <w:b/>
                              <w:bCs/>
                            </w:rPr>
                          </w:pPr>
                          <w:r w:rsidRPr="00D3156E">
                            <w:rPr>
                              <w:rStyle w:val="Strong"/>
                              <w:b w:val="0"/>
                              <w:bCs w:val="0"/>
                            </w:rPr>
                            <w:t>Submitted By: Dick Brooks</w:t>
                          </w:r>
                        </w:p>
                        <w:sdt>
                          <w:sdt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14:paraId="4F633265" w14:textId="2B162563" w:rsidR="00477EC4" w:rsidRDefault="00477EC4">
                              <w:r>
                                <w:t>https:/reliableenergyanalytics.com</w:t>
                              </w:r>
                            </w:p>
                          </w:sdtContent>
                        </w:sdt>
                        <w:p w14:paraId="59796473" w14:textId="0DC86E70" w:rsidR="00477EC4" w:rsidRDefault="00477EC4">
                          <w:r>
                            <w:t>Date: November 3, 2020</w:t>
                          </w:r>
                        </w:p>
                        <w:p w14:paraId="2B9123E9" w14:textId="77777777" w:rsidR="00477EC4" w:rsidRDefault="00477EC4"/>
                      </w:txbxContent>
                    </v:textbox>
                    <w10:wrap type="topAndBottom" anchorx="page" anchory="page"/>
                  </v:shape>
                </w:pict>
              </mc:Fallback>
            </mc:AlternateContent>
          </w:r>
          <w:r>
            <w:rPr>
              <w:noProof/>
            </w:rPr>
            <w:br w:type="page"/>
          </w:r>
        </w:p>
      </w:sdtContent>
    </w:sdt>
    <w:sdt>
      <w:sdtPr>
        <w:rPr>
          <w:sz w:val="20"/>
        </w:rPr>
        <w:id w:val="1866023298"/>
        <w:docPartObj>
          <w:docPartGallery w:val="Table of Contents"/>
          <w:docPartUnique/>
        </w:docPartObj>
      </w:sdtPr>
      <w:sdtEndPr>
        <w:rPr>
          <w:b/>
          <w:bCs/>
          <w:noProof/>
        </w:rPr>
      </w:sdtEndPr>
      <w:sdtContent>
        <w:p w14:paraId="51FC333A" w14:textId="77777777" w:rsidR="0079283B" w:rsidRDefault="00B0553D">
          <w:pPr>
            <w:pStyle w:val="TOCHeading"/>
          </w:pPr>
          <w:r>
            <w:t>Contents</w:t>
          </w:r>
        </w:p>
        <w:p w14:paraId="1E341B32" w14:textId="7C254C34" w:rsidR="007F694F" w:rsidRDefault="00B0553D">
          <w:pPr>
            <w:pStyle w:val="TOC1"/>
            <w:rPr>
              <w:rFonts w:eastAsiaTheme="minorEastAsia"/>
              <w:color w:val="auto"/>
              <w:kern w:val="0"/>
              <w:szCs w:val="22"/>
              <w:lang w:eastAsia="en-US"/>
            </w:rPr>
          </w:pPr>
          <w:r>
            <w:fldChar w:fldCharType="begin"/>
          </w:r>
          <w:r>
            <w:instrText xml:space="preserve"> TOC \o "1-1" \h \z \u </w:instrText>
          </w:r>
          <w:r>
            <w:fldChar w:fldCharType="separate"/>
          </w:r>
          <w:hyperlink w:anchor="_Toc55463698" w:history="1">
            <w:r w:rsidR="007F694F" w:rsidRPr="00EB2B3A">
              <w:rPr>
                <w:rStyle w:val="Hyperlink"/>
              </w:rPr>
              <w:t>Introduction</w:t>
            </w:r>
            <w:r w:rsidR="007F694F">
              <w:rPr>
                <w:webHidden/>
              </w:rPr>
              <w:tab/>
            </w:r>
            <w:r w:rsidR="007F694F">
              <w:rPr>
                <w:webHidden/>
              </w:rPr>
              <w:fldChar w:fldCharType="begin"/>
            </w:r>
            <w:r w:rsidR="007F694F">
              <w:rPr>
                <w:webHidden/>
              </w:rPr>
              <w:instrText xml:space="preserve"> PAGEREF _Toc55463698 \h </w:instrText>
            </w:r>
            <w:r w:rsidR="007F694F">
              <w:rPr>
                <w:webHidden/>
              </w:rPr>
            </w:r>
            <w:r w:rsidR="007F694F">
              <w:rPr>
                <w:webHidden/>
              </w:rPr>
              <w:fldChar w:fldCharType="separate"/>
            </w:r>
            <w:r w:rsidR="00EB007B">
              <w:rPr>
                <w:webHidden/>
              </w:rPr>
              <w:t>1</w:t>
            </w:r>
            <w:r w:rsidR="007F694F">
              <w:rPr>
                <w:webHidden/>
              </w:rPr>
              <w:fldChar w:fldCharType="end"/>
            </w:r>
          </w:hyperlink>
        </w:p>
        <w:p w14:paraId="50041D7D" w14:textId="0530F711" w:rsidR="007F694F" w:rsidRDefault="005C41D4">
          <w:pPr>
            <w:pStyle w:val="TOC1"/>
            <w:rPr>
              <w:rFonts w:eastAsiaTheme="minorEastAsia"/>
              <w:color w:val="auto"/>
              <w:kern w:val="0"/>
              <w:szCs w:val="22"/>
              <w:lang w:eastAsia="en-US"/>
            </w:rPr>
          </w:pPr>
          <w:hyperlink w:anchor="_Toc55463699" w:history="1">
            <w:r w:rsidR="007F694F" w:rsidRPr="00EB2B3A">
              <w:rPr>
                <w:rStyle w:val="Hyperlink"/>
              </w:rPr>
              <w:t>Framework of Existing Standards</w:t>
            </w:r>
            <w:r w:rsidR="007F694F">
              <w:rPr>
                <w:webHidden/>
              </w:rPr>
              <w:tab/>
            </w:r>
            <w:r w:rsidR="007F694F">
              <w:rPr>
                <w:webHidden/>
              </w:rPr>
              <w:fldChar w:fldCharType="begin"/>
            </w:r>
            <w:r w:rsidR="007F694F">
              <w:rPr>
                <w:webHidden/>
              </w:rPr>
              <w:instrText xml:space="preserve"> PAGEREF _Toc55463699 \h </w:instrText>
            </w:r>
            <w:r w:rsidR="007F694F">
              <w:rPr>
                <w:webHidden/>
              </w:rPr>
            </w:r>
            <w:r w:rsidR="007F694F">
              <w:rPr>
                <w:webHidden/>
              </w:rPr>
              <w:fldChar w:fldCharType="separate"/>
            </w:r>
            <w:r w:rsidR="00EB007B">
              <w:rPr>
                <w:webHidden/>
              </w:rPr>
              <w:t>2</w:t>
            </w:r>
            <w:r w:rsidR="007F694F">
              <w:rPr>
                <w:webHidden/>
              </w:rPr>
              <w:fldChar w:fldCharType="end"/>
            </w:r>
          </w:hyperlink>
        </w:p>
        <w:p w14:paraId="48EC1376" w14:textId="35A8AC69" w:rsidR="007F694F" w:rsidRDefault="005C41D4">
          <w:pPr>
            <w:pStyle w:val="TOC1"/>
            <w:rPr>
              <w:rFonts w:eastAsiaTheme="minorEastAsia"/>
              <w:color w:val="auto"/>
              <w:kern w:val="0"/>
              <w:szCs w:val="22"/>
              <w:lang w:eastAsia="en-US"/>
            </w:rPr>
          </w:pPr>
          <w:hyperlink w:anchor="_Toc55463700" w:history="1">
            <w:r w:rsidR="007F694F" w:rsidRPr="00EB2B3A">
              <w:rPr>
                <w:rStyle w:val="Hyperlink"/>
              </w:rPr>
              <w:t>NERC DER Planning and Modeling Initiatives</w:t>
            </w:r>
            <w:r w:rsidR="007F694F">
              <w:rPr>
                <w:webHidden/>
              </w:rPr>
              <w:tab/>
            </w:r>
            <w:r w:rsidR="007F694F">
              <w:rPr>
                <w:webHidden/>
              </w:rPr>
              <w:fldChar w:fldCharType="begin"/>
            </w:r>
            <w:r w:rsidR="007F694F">
              <w:rPr>
                <w:webHidden/>
              </w:rPr>
              <w:instrText xml:space="preserve"> PAGEREF _Toc55463700 \h </w:instrText>
            </w:r>
            <w:r w:rsidR="007F694F">
              <w:rPr>
                <w:webHidden/>
              </w:rPr>
            </w:r>
            <w:r w:rsidR="007F694F">
              <w:rPr>
                <w:webHidden/>
              </w:rPr>
              <w:fldChar w:fldCharType="separate"/>
            </w:r>
            <w:r w:rsidR="00EB007B">
              <w:rPr>
                <w:webHidden/>
              </w:rPr>
              <w:t>3</w:t>
            </w:r>
            <w:r w:rsidR="007F694F">
              <w:rPr>
                <w:webHidden/>
              </w:rPr>
              <w:fldChar w:fldCharType="end"/>
            </w:r>
          </w:hyperlink>
        </w:p>
        <w:p w14:paraId="23B3618C" w14:textId="2D6E959E" w:rsidR="007F694F" w:rsidRDefault="005C41D4">
          <w:pPr>
            <w:pStyle w:val="TOC1"/>
            <w:rPr>
              <w:rFonts w:eastAsiaTheme="minorEastAsia"/>
              <w:color w:val="auto"/>
              <w:kern w:val="0"/>
              <w:szCs w:val="22"/>
              <w:lang w:eastAsia="en-US"/>
            </w:rPr>
          </w:pPr>
          <w:hyperlink w:anchor="_Toc55463701" w:history="1">
            <w:r w:rsidR="007F694F" w:rsidRPr="00EB2B3A">
              <w:rPr>
                <w:rStyle w:val="Hyperlink"/>
              </w:rPr>
              <w:t>Standardization Opportunities for Battery DER/IBR</w:t>
            </w:r>
            <w:r w:rsidR="007F694F">
              <w:rPr>
                <w:webHidden/>
              </w:rPr>
              <w:tab/>
            </w:r>
            <w:r w:rsidR="007F694F">
              <w:rPr>
                <w:webHidden/>
              </w:rPr>
              <w:fldChar w:fldCharType="begin"/>
            </w:r>
            <w:r w:rsidR="007F694F">
              <w:rPr>
                <w:webHidden/>
              </w:rPr>
              <w:instrText xml:space="preserve"> PAGEREF _Toc55463701 \h </w:instrText>
            </w:r>
            <w:r w:rsidR="007F694F">
              <w:rPr>
                <w:webHidden/>
              </w:rPr>
            </w:r>
            <w:r w:rsidR="007F694F">
              <w:rPr>
                <w:webHidden/>
              </w:rPr>
              <w:fldChar w:fldCharType="separate"/>
            </w:r>
            <w:r w:rsidR="00EB007B">
              <w:rPr>
                <w:webHidden/>
              </w:rPr>
              <w:t>4</w:t>
            </w:r>
            <w:r w:rsidR="007F694F">
              <w:rPr>
                <w:webHidden/>
              </w:rPr>
              <w:fldChar w:fldCharType="end"/>
            </w:r>
          </w:hyperlink>
        </w:p>
        <w:p w14:paraId="33B1FCDF" w14:textId="5ECE771B" w:rsidR="007F694F" w:rsidRDefault="005C41D4">
          <w:pPr>
            <w:pStyle w:val="TOC1"/>
            <w:rPr>
              <w:rFonts w:eastAsiaTheme="minorEastAsia"/>
              <w:color w:val="auto"/>
              <w:kern w:val="0"/>
              <w:szCs w:val="22"/>
              <w:lang w:eastAsia="en-US"/>
            </w:rPr>
          </w:pPr>
          <w:hyperlink w:anchor="_Toc55463702" w:history="1">
            <w:r w:rsidR="007F694F" w:rsidRPr="00EB2B3A">
              <w:rPr>
                <w:rStyle w:val="Hyperlink"/>
              </w:rPr>
              <w:t>Company Information</w:t>
            </w:r>
            <w:r w:rsidR="007F694F">
              <w:rPr>
                <w:webHidden/>
              </w:rPr>
              <w:tab/>
            </w:r>
            <w:r w:rsidR="007F694F">
              <w:rPr>
                <w:webHidden/>
              </w:rPr>
              <w:fldChar w:fldCharType="begin"/>
            </w:r>
            <w:r w:rsidR="007F694F">
              <w:rPr>
                <w:webHidden/>
              </w:rPr>
              <w:instrText xml:space="preserve"> PAGEREF _Toc55463702 \h </w:instrText>
            </w:r>
            <w:r w:rsidR="007F694F">
              <w:rPr>
                <w:webHidden/>
              </w:rPr>
            </w:r>
            <w:r w:rsidR="007F694F">
              <w:rPr>
                <w:webHidden/>
              </w:rPr>
              <w:fldChar w:fldCharType="separate"/>
            </w:r>
            <w:r w:rsidR="00EB007B">
              <w:rPr>
                <w:webHidden/>
              </w:rPr>
              <w:t>7</w:t>
            </w:r>
            <w:r w:rsidR="007F694F">
              <w:rPr>
                <w:webHidden/>
              </w:rPr>
              <w:fldChar w:fldCharType="end"/>
            </w:r>
          </w:hyperlink>
        </w:p>
        <w:p w14:paraId="6C48865C" w14:textId="4E3EB5A7" w:rsidR="0079283B" w:rsidRDefault="00B0553D">
          <w:pPr>
            <w:rPr>
              <w:b/>
              <w:bCs/>
              <w:noProof/>
            </w:rPr>
          </w:pPr>
          <w:r>
            <w:fldChar w:fldCharType="end"/>
          </w:r>
        </w:p>
      </w:sdtContent>
    </w:sdt>
    <w:p w14:paraId="35576318" w14:textId="77777777" w:rsidR="0079283B" w:rsidRDefault="0079283B">
      <w:pPr>
        <w:sectPr w:rsidR="0079283B">
          <w:headerReference w:type="even" r:id="rId11"/>
          <w:headerReference w:type="default" r:id="rId12"/>
          <w:footerReference w:type="default" r:id="rId13"/>
          <w:headerReference w:type="first" r:id="rId14"/>
          <w:pgSz w:w="12240" w:h="15840" w:code="1"/>
          <w:pgMar w:top="2520" w:right="1555" w:bottom="1800" w:left="1555" w:header="864" w:footer="720" w:gutter="0"/>
          <w:pgNumType w:start="0"/>
          <w:cols w:space="720"/>
          <w:titlePg/>
          <w:docGrid w:linePitch="360"/>
        </w:sectPr>
      </w:pPr>
    </w:p>
    <w:p w14:paraId="74816A4E" w14:textId="78A36831" w:rsidR="0079283B" w:rsidRDefault="00D3156E">
      <w:pPr>
        <w:pStyle w:val="Heading1"/>
      </w:pPr>
      <w:bookmarkStart w:id="0" w:name="_Toc55463698"/>
      <w:r>
        <w:lastRenderedPageBreak/>
        <w:t>Introduction</w:t>
      </w:r>
      <w:bookmarkEnd w:id="0"/>
    </w:p>
    <w:p w14:paraId="2FE11930" w14:textId="2C5AF39C" w:rsidR="00B0553D" w:rsidRPr="00672468" w:rsidRDefault="00B0553D" w:rsidP="00B0553D">
      <w:pPr>
        <w:rPr>
          <w:sz w:val="24"/>
          <w:szCs w:val="24"/>
        </w:rPr>
      </w:pPr>
      <w:r w:rsidRPr="00672468">
        <w:rPr>
          <w:sz w:val="24"/>
          <w:szCs w:val="24"/>
        </w:rPr>
        <w:t xml:space="preserve">This work paper is being submitted to NAESB in response to a call for work papers issued during the Board Battery Task Force meeting held October 30, 2020. The primary objective is to provide the Battery Task Force </w:t>
      </w:r>
      <w:r w:rsidR="00477EC4">
        <w:rPr>
          <w:sz w:val="24"/>
          <w:szCs w:val="24"/>
        </w:rPr>
        <w:t>with insights</w:t>
      </w:r>
      <w:r w:rsidRPr="00672468">
        <w:rPr>
          <w:sz w:val="24"/>
          <w:szCs w:val="24"/>
        </w:rPr>
        <w:t xml:space="preserve"> </w:t>
      </w:r>
      <w:r w:rsidR="00477EC4">
        <w:rPr>
          <w:sz w:val="24"/>
          <w:szCs w:val="24"/>
        </w:rPr>
        <w:t xml:space="preserve">into </w:t>
      </w:r>
      <w:r w:rsidRPr="00672468">
        <w:rPr>
          <w:sz w:val="24"/>
          <w:szCs w:val="24"/>
        </w:rPr>
        <w:t xml:space="preserve">some areas which may </w:t>
      </w:r>
      <w:r w:rsidR="0086440F">
        <w:rPr>
          <w:sz w:val="24"/>
          <w:szCs w:val="24"/>
        </w:rPr>
        <w:t>benefit from having</w:t>
      </w:r>
      <w:r w:rsidRPr="00672468">
        <w:rPr>
          <w:sz w:val="24"/>
          <w:szCs w:val="24"/>
        </w:rPr>
        <w:t xml:space="preserve"> NAESB develop</w:t>
      </w:r>
      <w:r w:rsidR="0086440F">
        <w:rPr>
          <w:sz w:val="24"/>
          <w:szCs w:val="24"/>
        </w:rPr>
        <w:t>ed</w:t>
      </w:r>
      <w:r w:rsidRPr="00672468">
        <w:rPr>
          <w:sz w:val="24"/>
          <w:szCs w:val="24"/>
        </w:rPr>
        <w:t xml:space="preserve"> standards </w:t>
      </w:r>
      <w:r w:rsidR="0086440F">
        <w:rPr>
          <w:sz w:val="24"/>
          <w:szCs w:val="24"/>
        </w:rPr>
        <w:t>to</w:t>
      </w:r>
      <w:r w:rsidRPr="00672468">
        <w:rPr>
          <w:sz w:val="24"/>
          <w:szCs w:val="24"/>
        </w:rPr>
        <w:t xml:space="preserve"> support battery technologies, as defined by FERC Order 841, within wholesale Electricity markets. The paper begins by introducing a framework of existing standards that are applicable to Battery storage devices used within electricity grids. This is followed by an architectural model showing key concepts and interfaces that are needed to support the participation of battery solutions across the spectrum of Markets, Planning and Operations. The paper concludes with a set of possible areas where NAESB standardization may be </w:t>
      </w:r>
      <w:r w:rsidR="00CE168C">
        <w:rPr>
          <w:sz w:val="24"/>
          <w:szCs w:val="24"/>
        </w:rPr>
        <w:t>highly beneficial</w:t>
      </w:r>
      <w:r w:rsidR="00A42864" w:rsidRPr="00672468">
        <w:rPr>
          <w:sz w:val="24"/>
          <w:szCs w:val="24"/>
        </w:rPr>
        <w:t>.</w:t>
      </w:r>
    </w:p>
    <w:p w14:paraId="35DFD42B" w14:textId="3AADE1F7" w:rsidR="0079283B" w:rsidRDefault="00B673D0">
      <w:pPr>
        <w:pStyle w:val="Heading1"/>
      </w:pPr>
      <w:bookmarkStart w:id="1" w:name="_Toc55463699"/>
      <w:r>
        <w:lastRenderedPageBreak/>
        <w:t>Framework of Existing Standards</w:t>
      </w:r>
      <w:bookmarkEnd w:id="1"/>
      <w:r>
        <w:t xml:space="preserve"> </w:t>
      </w:r>
      <w:r w:rsidR="00D3156E">
        <w:t xml:space="preserve"> </w:t>
      </w:r>
    </w:p>
    <w:p w14:paraId="0DE55974" w14:textId="62FAE1D0" w:rsidR="0079283B" w:rsidRPr="00672468" w:rsidRDefault="00B673D0" w:rsidP="00B673D0">
      <w:pPr>
        <w:rPr>
          <w:sz w:val="24"/>
          <w:szCs w:val="24"/>
        </w:rPr>
      </w:pPr>
      <w:r w:rsidRPr="00672468">
        <w:rPr>
          <w:sz w:val="24"/>
          <w:szCs w:val="24"/>
        </w:rPr>
        <w:t xml:space="preserve">The </w:t>
      </w:r>
      <w:proofErr w:type="spellStart"/>
      <w:r w:rsidRPr="00672468">
        <w:rPr>
          <w:sz w:val="24"/>
          <w:szCs w:val="24"/>
        </w:rPr>
        <w:t>OpenADR</w:t>
      </w:r>
      <w:proofErr w:type="spellEnd"/>
      <w:r w:rsidRPr="00672468">
        <w:rPr>
          <w:sz w:val="24"/>
          <w:szCs w:val="24"/>
        </w:rPr>
        <w:t xml:space="preserve"> and EPRI organizations have been engaged in studies to understand and plan for the introduction of Invert</w:t>
      </w:r>
      <w:r w:rsidR="00CE168C">
        <w:rPr>
          <w:sz w:val="24"/>
          <w:szCs w:val="24"/>
        </w:rPr>
        <w:t>er</w:t>
      </w:r>
      <w:r w:rsidRPr="00672468">
        <w:rPr>
          <w:sz w:val="24"/>
          <w:szCs w:val="24"/>
        </w:rPr>
        <w:t xml:space="preserve"> Based Devices (IBR)</w:t>
      </w:r>
      <w:r w:rsidR="00CE168C">
        <w:rPr>
          <w:sz w:val="24"/>
          <w:szCs w:val="24"/>
        </w:rPr>
        <w:t xml:space="preserve"> Distributed Energy Resources (DER)</w:t>
      </w:r>
      <w:r w:rsidRPr="00672468">
        <w:rPr>
          <w:sz w:val="24"/>
          <w:szCs w:val="24"/>
        </w:rPr>
        <w:t xml:space="preserve"> onto the electric grid, deployed primarily at the distribution level. FERC Order 841 expands on the possible use of battery technologies, also known as Bulk Electric Storage Systems (BESS), at the transmission level, </w:t>
      </w:r>
      <w:r w:rsidR="00CE168C">
        <w:rPr>
          <w:sz w:val="24"/>
          <w:szCs w:val="24"/>
        </w:rPr>
        <w:t>including their participation</w:t>
      </w:r>
      <w:r w:rsidRPr="00672468">
        <w:rPr>
          <w:sz w:val="24"/>
          <w:szCs w:val="24"/>
        </w:rPr>
        <w:t xml:space="preserve"> in wholesale electricity markets (capacity, energy, ancillary services). </w:t>
      </w:r>
      <w:r w:rsidR="00517647" w:rsidRPr="00672468">
        <w:rPr>
          <w:sz w:val="24"/>
          <w:szCs w:val="24"/>
        </w:rPr>
        <w:t>The following image shows a hierarchy of standards, pertaining to IBR</w:t>
      </w:r>
      <w:r w:rsidR="001757E6" w:rsidRPr="00672468">
        <w:rPr>
          <w:sz w:val="24"/>
          <w:szCs w:val="24"/>
        </w:rPr>
        <w:t xml:space="preserve"> </w:t>
      </w:r>
      <w:r w:rsidR="00CE168C">
        <w:rPr>
          <w:sz w:val="24"/>
          <w:szCs w:val="24"/>
        </w:rPr>
        <w:t>DER</w:t>
      </w:r>
      <w:r w:rsidR="001757E6" w:rsidRPr="00672468">
        <w:rPr>
          <w:sz w:val="24"/>
          <w:szCs w:val="24"/>
        </w:rPr>
        <w:t>,</w:t>
      </w:r>
      <w:r w:rsidR="00CE168C">
        <w:rPr>
          <w:sz w:val="24"/>
          <w:szCs w:val="24"/>
        </w:rPr>
        <w:t xml:space="preserve"> which includes battery resources,</w:t>
      </w:r>
      <w:r w:rsidR="001757E6" w:rsidRPr="00672468">
        <w:rPr>
          <w:sz w:val="24"/>
          <w:szCs w:val="24"/>
        </w:rPr>
        <w:t xml:space="preserve"> courtesy of the </w:t>
      </w:r>
      <w:proofErr w:type="spellStart"/>
      <w:r w:rsidR="001757E6" w:rsidRPr="00672468">
        <w:rPr>
          <w:sz w:val="24"/>
          <w:szCs w:val="24"/>
        </w:rPr>
        <w:t>OpenADR</w:t>
      </w:r>
      <w:proofErr w:type="spellEnd"/>
      <w:r w:rsidR="001757E6" w:rsidRPr="00672468">
        <w:rPr>
          <w:sz w:val="24"/>
          <w:szCs w:val="24"/>
        </w:rPr>
        <w:t xml:space="preserve"> organization</w:t>
      </w:r>
      <w:r w:rsidR="00517647" w:rsidRPr="00672468">
        <w:rPr>
          <w:sz w:val="24"/>
          <w:szCs w:val="24"/>
        </w:rPr>
        <w:t>:</w:t>
      </w:r>
    </w:p>
    <w:p w14:paraId="736BED83" w14:textId="25D5C023" w:rsidR="001757E6" w:rsidRDefault="001757E6" w:rsidP="00B673D0">
      <w:r w:rsidRPr="001757E6">
        <w:rPr>
          <w:noProof/>
        </w:rPr>
        <w:drawing>
          <wp:inline distT="0" distB="0" distL="0" distR="0" wp14:anchorId="1438C633" wp14:editId="52B01F4C">
            <wp:extent cx="5797550" cy="327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7550" cy="3271520"/>
                    </a:xfrm>
                    <a:prstGeom prst="rect">
                      <a:avLst/>
                    </a:prstGeom>
                  </pic:spPr>
                </pic:pic>
              </a:graphicData>
            </a:graphic>
          </wp:inline>
        </w:drawing>
      </w:r>
    </w:p>
    <w:p w14:paraId="56F06BA4" w14:textId="431E4B01" w:rsidR="00517647" w:rsidRPr="00672468" w:rsidRDefault="001757E6" w:rsidP="00B673D0">
      <w:pPr>
        <w:rPr>
          <w:sz w:val="24"/>
          <w:szCs w:val="24"/>
        </w:rPr>
      </w:pPr>
      <w:r w:rsidRPr="00672468">
        <w:rPr>
          <w:sz w:val="24"/>
          <w:szCs w:val="24"/>
        </w:rPr>
        <w:t>As shown above, there are a number of existing standards in place for IBR DER devices at an operational level that are provided by some highly credible standards organizations, such as IEEE and IEC.</w:t>
      </w:r>
    </w:p>
    <w:p w14:paraId="7C304A37" w14:textId="53CF638D" w:rsidR="001757E6" w:rsidRPr="00672468" w:rsidRDefault="001757E6" w:rsidP="00B673D0">
      <w:pPr>
        <w:rPr>
          <w:sz w:val="24"/>
          <w:szCs w:val="24"/>
        </w:rPr>
      </w:pPr>
      <w:r w:rsidRPr="00672468">
        <w:rPr>
          <w:sz w:val="24"/>
          <w:szCs w:val="24"/>
        </w:rPr>
        <w:t xml:space="preserve">A similar picture is emerging on the planning/modeling front, with work currently underway within NERC </w:t>
      </w:r>
    </w:p>
    <w:p w14:paraId="01FD3A3C" w14:textId="0BA10C46" w:rsidR="00B673D0" w:rsidRDefault="00B673D0"/>
    <w:p w14:paraId="1EB29204" w14:textId="77A4DFAE" w:rsidR="00B673D0" w:rsidRDefault="001757E6" w:rsidP="00B673D0">
      <w:pPr>
        <w:pStyle w:val="Heading1"/>
      </w:pPr>
      <w:bookmarkStart w:id="2" w:name="_Toc55463700"/>
      <w:r>
        <w:lastRenderedPageBreak/>
        <w:t>NERC DER Planning and Modeling Initiatives</w:t>
      </w:r>
      <w:bookmarkEnd w:id="2"/>
    </w:p>
    <w:p w14:paraId="184C2286" w14:textId="1DF60022" w:rsidR="00F230FD" w:rsidRDefault="00F230FD" w:rsidP="00F230FD">
      <w:pPr>
        <w:pStyle w:val="Default"/>
        <w:rPr>
          <w:sz w:val="23"/>
          <w:szCs w:val="23"/>
        </w:rPr>
      </w:pPr>
      <w:r>
        <w:t xml:space="preserve">A Standards Authorization Request (SAR) has been submitted to NERC by the SPIDRWG, a work group focusing on the </w:t>
      </w:r>
      <w:r w:rsidR="005742C9">
        <w:t xml:space="preserve">planning and modeling requirement </w:t>
      </w:r>
      <w:r>
        <w:t xml:space="preserve">of DER within the Transmission Grid, titled </w:t>
      </w:r>
      <w:r w:rsidR="005742C9" w:rsidRPr="005742C9">
        <w:rPr>
          <w:b/>
          <w:bCs/>
        </w:rPr>
        <w:t>M</w:t>
      </w:r>
      <w:r w:rsidR="005742C9" w:rsidRPr="005742C9">
        <w:rPr>
          <w:b/>
          <w:bCs/>
          <w:sz w:val="23"/>
          <w:szCs w:val="23"/>
        </w:rPr>
        <w:t>OD-032-1 Data for Power System Modeling and Analysis</w:t>
      </w:r>
      <w:r w:rsidR="005742C9">
        <w:rPr>
          <w:b/>
          <w:bCs/>
          <w:sz w:val="23"/>
          <w:szCs w:val="23"/>
        </w:rPr>
        <w:t xml:space="preserve">. </w:t>
      </w:r>
      <w:r w:rsidR="005742C9" w:rsidRPr="005742C9">
        <w:rPr>
          <w:sz w:val="23"/>
          <w:szCs w:val="23"/>
        </w:rPr>
        <w:t>This stan</w:t>
      </w:r>
      <w:r w:rsidR="005742C9">
        <w:rPr>
          <w:sz w:val="23"/>
          <w:szCs w:val="23"/>
        </w:rPr>
        <w:t>d</w:t>
      </w:r>
      <w:r w:rsidR="005742C9" w:rsidRPr="005742C9">
        <w:rPr>
          <w:sz w:val="23"/>
          <w:szCs w:val="23"/>
        </w:rPr>
        <w:t>ards</w:t>
      </w:r>
      <w:r w:rsidR="005742C9">
        <w:rPr>
          <w:sz w:val="23"/>
          <w:szCs w:val="23"/>
        </w:rPr>
        <w:t xml:space="preserve"> initiative aims to achieve the following:</w:t>
      </w:r>
    </w:p>
    <w:p w14:paraId="0AED2EF9" w14:textId="325090C9" w:rsidR="005742C9" w:rsidRDefault="005742C9" w:rsidP="00F230FD">
      <w:pPr>
        <w:pStyle w:val="Default"/>
        <w:rPr>
          <w:sz w:val="23"/>
          <w:szCs w:val="23"/>
        </w:rPr>
      </w:pPr>
    </w:p>
    <w:p w14:paraId="17BC312E" w14:textId="77777777" w:rsidR="005742C9" w:rsidRDefault="005742C9" w:rsidP="005742C9">
      <w:pPr>
        <w:pStyle w:val="Default"/>
      </w:pPr>
    </w:p>
    <w:tbl>
      <w:tblPr>
        <w:tblW w:w="9360" w:type="dxa"/>
        <w:tblInd w:w="-108" w:type="dxa"/>
        <w:tblBorders>
          <w:top w:val="nil"/>
          <w:left w:val="nil"/>
          <w:bottom w:val="nil"/>
          <w:right w:val="nil"/>
        </w:tblBorders>
        <w:tblLayout w:type="fixed"/>
        <w:tblLook w:val="0000" w:firstRow="0" w:lastRow="0" w:firstColumn="0" w:lastColumn="0" w:noHBand="0" w:noVBand="0"/>
      </w:tblPr>
      <w:tblGrid>
        <w:gridCol w:w="9360"/>
      </w:tblGrid>
      <w:tr w:rsidR="005742C9" w14:paraId="7D2A432A" w14:textId="77777777" w:rsidTr="005742C9">
        <w:trPr>
          <w:trHeight w:val="1040"/>
        </w:trPr>
        <w:tc>
          <w:tcPr>
            <w:tcW w:w="12240" w:type="dxa"/>
          </w:tcPr>
          <w:p w14:paraId="166A9457" w14:textId="77777777" w:rsidR="005742C9" w:rsidRPr="0086440F" w:rsidRDefault="005742C9" w:rsidP="005742C9">
            <w:pPr>
              <w:pStyle w:val="Default"/>
              <w:rPr>
                <w:i/>
                <w:iCs/>
              </w:rPr>
            </w:pPr>
            <w:r w:rsidRPr="0086440F">
              <w:rPr>
                <w:i/>
                <w:iCs/>
              </w:rPr>
              <w:t xml:space="preserve">As the penetration of distributed energy resources (DER) continues to increase across the North American bulk power system (BPS), it is necessary to account for DER in the planning, operation, and design of the BPS. The NERC System Planning Impacts of Distributed Energy Resources Working Group (SPIDERWG) has identified the need for improved modeling of aggregate DER </w:t>
            </w:r>
            <w:proofErr w:type="gramStart"/>
            <w:r w:rsidRPr="0086440F">
              <w:rPr>
                <w:i/>
                <w:iCs/>
              </w:rPr>
              <w:t>for planning</w:t>
            </w:r>
            <w:proofErr w:type="gramEnd"/>
            <w:r w:rsidRPr="0086440F">
              <w:rPr>
                <w:i/>
                <w:iCs/>
              </w:rPr>
              <w:t xml:space="preserve"> studies (including both utility-scale and retail-scale DER). MOD-032-1 addresses the gathering of modeling data to build interconnection-wide base cases for the planning horizon but the standard currently has no specific reference to DER data. This SAR proposes to update MOD-032-1 to: (1) include “data requirements and reporting procedures” for DER that are necessary to support the development of accurate interconnection-wide models, (2) replace Load-Serving Entity (LSE) with Distribution Provider (DP) because of the removal of LSEs from the NERC registry criteria, (3) enable the SDT to review any additional gaps in DER data collection with the de-registration of LSE.</w:t>
            </w:r>
          </w:p>
          <w:p w14:paraId="140251B3" w14:textId="77777777" w:rsidR="005742C9" w:rsidRPr="0086440F" w:rsidRDefault="005742C9" w:rsidP="005742C9">
            <w:pPr>
              <w:pStyle w:val="Default"/>
              <w:rPr>
                <w:i/>
                <w:iCs/>
              </w:rPr>
            </w:pPr>
          </w:p>
          <w:p w14:paraId="29B76F01" w14:textId="2D035B80" w:rsidR="005742C9" w:rsidRDefault="005742C9" w:rsidP="005742C9">
            <w:pPr>
              <w:pStyle w:val="Default"/>
              <w:rPr>
                <w:sz w:val="23"/>
                <w:szCs w:val="23"/>
              </w:rPr>
            </w:pPr>
            <w:r w:rsidRPr="0086440F">
              <w:rPr>
                <w:i/>
                <w:iCs/>
              </w:rPr>
              <w:t>This SAR proposes to revise MOD-032-1 to address gaps in data collection for the purposes of modeling and interconnection-wide case creation regarding DER. The goal is to provide clarity and consistency for data collection across Planning Coordinators (PCs) and Transmission Planners (TPs) when coordinating with the DP to gather aggregate load and DER data.</w:t>
            </w:r>
          </w:p>
        </w:tc>
      </w:tr>
    </w:tbl>
    <w:p w14:paraId="57CF44BD" w14:textId="77777777" w:rsidR="005742C9" w:rsidRDefault="005742C9" w:rsidP="00F230FD">
      <w:pPr>
        <w:pStyle w:val="Default"/>
        <w:rPr>
          <w:sz w:val="23"/>
          <w:szCs w:val="23"/>
        </w:rPr>
      </w:pPr>
    </w:p>
    <w:p w14:paraId="4F99B513" w14:textId="77777777" w:rsidR="005742C9" w:rsidRDefault="005742C9" w:rsidP="00F230FD">
      <w:pPr>
        <w:pStyle w:val="Default"/>
      </w:pPr>
    </w:p>
    <w:p w14:paraId="071626D5" w14:textId="6A6E1E26" w:rsidR="00B673D0" w:rsidRDefault="00B673D0" w:rsidP="00B673D0"/>
    <w:p w14:paraId="15A934BA" w14:textId="01560559" w:rsidR="00B673D0" w:rsidRDefault="00B673D0" w:rsidP="00B673D0">
      <w:pPr>
        <w:pStyle w:val="Heading1"/>
      </w:pPr>
      <w:bookmarkStart w:id="3" w:name="_Toc55463701"/>
      <w:r>
        <w:lastRenderedPageBreak/>
        <w:t xml:space="preserve">Standardization Opportunities </w:t>
      </w:r>
      <w:r w:rsidR="005742C9">
        <w:t>for Battery DER/IBR</w:t>
      </w:r>
      <w:bookmarkEnd w:id="3"/>
    </w:p>
    <w:p w14:paraId="73DDE94F" w14:textId="66975EFB" w:rsidR="005742C9" w:rsidRDefault="00221ACC" w:rsidP="00BE3F0B">
      <w:pPr>
        <w:pStyle w:val="Default"/>
      </w:pPr>
      <w:r>
        <w:t xml:space="preserve">Presently, there seems to be </w:t>
      </w:r>
      <w:r w:rsidR="00BE3F0B">
        <w:t xml:space="preserve">relatively little, if any, activity within standards development communities to address standards for DER/IBR participation </w:t>
      </w:r>
      <w:r w:rsidR="00BE3F0B" w:rsidRPr="0086440F">
        <w:rPr>
          <w:u w:val="single"/>
        </w:rPr>
        <w:t>in wholesale electricity markets</w:t>
      </w:r>
      <w:r w:rsidR="00BE3F0B">
        <w:t xml:space="preserve"> to satisfy FERC Order 841 requirements, shown below: </w:t>
      </w:r>
    </w:p>
    <w:p w14:paraId="1790B09A" w14:textId="77777777" w:rsidR="00BE3F0B" w:rsidRPr="00BE3F0B" w:rsidRDefault="00BE3F0B" w:rsidP="00BE3F0B">
      <w:pPr>
        <w:pStyle w:val="Default"/>
        <w:ind w:left="720"/>
        <w:rPr>
          <w:i/>
          <w:iCs/>
        </w:rPr>
      </w:pPr>
      <w:r w:rsidRPr="00BE3F0B">
        <w:rPr>
          <w:i/>
          <w:iCs/>
        </w:rPr>
        <w:t>The Federal Energy Regulatory Commission (Commission) is amending its</w:t>
      </w:r>
    </w:p>
    <w:p w14:paraId="7E93E377" w14:textId="296B2D98" w:rsidR="00BE3F0B" w:rsidRPr="00BE3F0B" w:rsidRDefault="00BE3F0B" w:rsidP="00BE3F0B">
      <w:pPr>
        <w:pStyle w:val="Default"/>
        <w:ind w:left="720"/>
        <w:rPr>
          <w:i/>
          <w:iCs/>
        </w:rPr>
      </w:pPr>
      <w:r w:rsidRPr="00BE3F0B">
        <w:rPr>
          <w:i/>
          <w:iCs/>
        </w:rPr>
        <w:t>regulations under the Federal Power Act (FPA) to remove barriers to the participation of</w:t>
      </w:r>
      <w:r>
        <w:rPr>
          <w:i/>
          <w:iCs/>
        </w:rPr>
        <w:t xml:space="preserve"> </w:t>
      </w:r>
      <w:r w:rsidRPr="00BE3F0B">
        <w:rPr>
          <w:i/>
          <w:iCs/>
        </w:rPr>
        <w:t>electric storage resources in the capacity, energy, and ancillary service markets op</w:t>
      </w:r>
      <w:r>
        <w:rPr>
          <w:i/>
          <w:iCs/>
        </w:rPr>
        <w:t>e</w:t>
      </w:r>
      <w:r w:rsidRPr="00BE3F0B">
        <w:rPr>
          <w:i/>
          <w:iCs/>
        </w:rPr>
        <w:t>rated</w:t>
      </w:r>
      <w:r>
        <w:rPr>
          <w:i/>
          <w:iCs/>
        </w:rPr>
        <w:t xml:space="preserve"> </w:t>
      </w:r>
      <w:r w:rsidRPr="00BE3F0B">
        <w:rPr>
          <w:i/>
          <w:iCs/>
        </w:rPr>
        <w:t>by Regional Transmission Organizations (RTO) and Independent System Operators</w:t>
      </w:r>
      <w:r>
        <w:rPr>
          <w:i/>
          <w:iCs/>
        </w:rPr>
        <w:t xml:space="preserve"> </w:t>
      </w:r>
      <w:r w:rsidRPr="00BE3F0B">
        <w:rPr>
          <w:i/>
          <w:iCs/>
        </w:rPr>
        <w:t>(ISO) (RTO/ISO markets).</w:t>
      </w:r>
      <w:r>
        <w:rPr>
          <w:rStyle w:val="FootnoteReference"/>
          <w:i/>
          <w:iCs/>
        </w:rPr>
        <w:footnoteReference w:id="1"/>
      </w:r>
    </w:p>
    <w:p w14:paraId="3396BCB1" w14:textId="77777777" w:rsidR="008E2494" w:rsidRDefault="008E2494" w:rsidP="005742C9">
      <w:pPr>
        <w:rPr>
          <w:rFonts w:ascii="Calibri" w:hAnsi="Calibri" w:cs="Calibri"/>
          <w:color w:val="000000"/>
          <w:kern w:val="0"/>
          <w:sz w:val="24"/>
          <w:szCs w:val="24"/>
        </w:rPr>
      </w:pPr>
    </w:p>
    <w:p w14:paraId="4A7360B1" w14:textId="6C17265E" w:rsidR="005742C9" w:rsidRDefault="008E2494" w:rsidP="005742C9">
      <w:pPr>
        <w:rPr>
          <w:rFonts w:ascii="Calibri" w:hAnsi="Calibri" w:cs="Calibri"/>
          <w:color w:val="000000"/>
          <w:kern w:val="0"/>
          <w:sz w:val="24"/>
          <w:szCs w:val="24"/>
        </w:rPr>
      </w:pPr>
      <w:r>
        <w:rPr>
          <w:rFonts w:ascii="Calibri" w:hAnsi="Calibri" w:cs="Calibri"/>
          <w:color w:val="000000"/>
          <w:kern w:val="0"/>
          <w:sz w:val="24"/>
          <w:szCs w:val="24"/>
        </w:rPr>
        <w:t xml:space="preserve">It appears that </w:t>
      </w:r>
      <w:r w:rsidRPr="008E2494">
        <w:rPr>
          <w:rFonts w:ascii="Calibri" w:hAnsi="Calibri" w:cs="Calibri"/>
          <w:color w:val="000000"/>
          <w:kern w:val="0"/>
          <w:sz w:val="24"/>
          <w:szCs w:val="24"/>
        </w:rPr>
        <w:t>ISO/RTO organizations are each working on tariff filings to address FERC Order 841 requirements</w:t>
      </w:r>
      <w:r w:rsidR="00452CD2">
        <w:rPr>
          <w:rFonts w:ascii="Calibri" w:hAnsi="Calibri" w:cs="Calibri"/>
          <w:color w:val="000000"/>
          <w:kern w:val="0"/>
          <w:sz w:val="24"/>
          <w:szCs w:val="24"/>
        </w:rPr>
        <w:t xml:space="preserve"> and there are considerable differences across markets</w:t>
      </w:r>
      <w:r w:rsidR="00D331C1">
        <w:rPr>
          <w:rFonts w:ascii="Calibri" w:hAnsi="Calibri" w:cs="Calibri"/>
          <w:color w:val="000000"/>
          <w:kern w:val="0"/>
          <w:sz w:val="24"/>
          <w:szCs w:val="24"/>
        </w:rPr>
        <w:t>.</w:t>
      </w:r>
      <w:r w:rsidR="00452CD2">
        <w:rPr>
          <w:rFonts w:ascii="Calibri" w:hAnsi="Calibri" w:cs="Calibri"/>
          <w:color w:val="000000"/>
          <w:kern w:val="0"/>
          <w:sz w:val="24"/>
          <w:szCs w:val="24"/>
        </w:rPr>
        <w:t xml:space="preserve"> </w:t>
      </w:r>
      <w:r w:rsidR="0086440F">
        <w:rPr>
          <w:rFonts w:ascii="Calibri" w:hAnsi="Calibri" w:cs="Calibri"/>
          <w:color w:val="000000"/>
          <w:kern w:val="0"/>
          <w:sz w:val="24"/>
          <w:szCs w:val="24"/>
        </w:rPr>
        <w:t xml:space="preserve">This </w:t>
      </w:r>
      <w:r w:rsidR="00452CD2">
        <w:rPr>
          <w:rFonts w:ascii="Calibri" w:hAnsi="Calibri" w:cs="Calibri"/>
          <w:color w:val="000000"/>
          <w:kern w:val="0"/>
          <w:sz w:val="24"/>
          <w:szCs w:val="24"/>
        </w:rPr>
        <w:t>creat</w:t>
      </w:r>
      <w:r w:rsidR="0086440F">
        <w:rPr>
          <w:rFonts w:ascii="Calibri" w:hAnsi="Calibri" w:cs="Calibri"/>
          <w:color w:val="000000"/>
          <w:kern w:val="0"/>
          <w:sz w:val="24"/>
          <w:szCs w:val="24"/>
        </w:rPr>
        <w:t>es</w:t>
      </w:r>
      <w:r w:rsidR="00452CD2">
        <w:rPr>
          <w:rFonts w:ascii="Calibri" w:hAnsi="Calibri" w:cs="Calibri"/>
          <w:color w:val="000000"/>
          <w:kern w:val="0"/>
          <w:sz w:val="24"/>
          <w:szCs w:val="24"/>
        </w:rPr>
        <w:t xml:space="preserve"> seams issues for battery developers, making it difficult for them to participate in multiple markets, because of the need to understand these differences </w:t>
      </w:r>
      <w:r w:rsidR="0086440F">
        <w:rPr>
          <w:rFonts w:ascii="Calibri" w:hAnsi="Calibri" w:cs="Calibri"/>
          <w:color w:val="000000"/>
          <w:kern w:val="0"/>
          <w:sz w:val="24"/>
          <w:szCs w:val="24"/>
        </w:rPr>
        <w:t xml:space="preserve">within each market structure </w:t>
      </w:r>
      <w:r w:rsidR="00452CD2">
        <w:rPr>
          <w:rFonts w:ascii="Calibri" w:hAnsi="Calibri" w:cs="Calibri"/>
          <w:color w:val="000000"/>
          <w:kern w:val="0"/>
          <w:sz w:val="24"/>
          <w:szCs w:val="24"/>
        </w:rPr>
        <w:t xml:space="preserve">in order to assess investment risk. </w:t>
      </w:r>
      <w:r>
        <w:rPr>
          <w:rFonts w:ascii="Calibri" w:hAnsi="Calibri" w:cs="Calibri"/>
          <w:color w:val="000000"/>
          <w:kern w:val="0"/>
          <w:sz w:val="24"/>
          <w:szCs w:val="24"/>
        </w:rPr>
        <w:t xml:space="preserve"> FERC Order 2222 </w:t>
      </w:r>
      <w:r w:rsidR="003D751F">
        <w:rPr>
          <w:rFonts w:ascii="Calibri" w:hAnsi="Calibri" w:cs="Calibri"/>
          <w:color w:val="000000"/>
          <w:kern w:val="0"/>
          <w:sz w:val="24"/>
          <w:szCs w:val="24"/>
        </w:rPr>
        <w:t xml:space="preserve">further </w:t>
      </w:r>
      <w:r>
        <w:rPr>
          <w:rFonts w:ascii="Calibri" w:hAnsi="Calibri" w:cs="Calibri"/>
          <w:color w:val="000000"/>
          <w:kern w:val="0"/>
          <w:sz w:val="24"/>
          <w:szCs w:val="24"/>
        </w:rPr>
        <w:t xml:space="preserve">expands on Order 841 by enabling </w:t>
      </w:r>
      <w:r w:rsidR="003D751F">
        <w:rPr>
          <w:rFonts w:ascii="Calibri" w:hAnsi="Calibri" w:cs="Calibri"/>
          <w:color w:val="000000"/>
          <w:kern w:val="0"/>
          <w:sz w:val="24"/>
          <w:szCs w:val="24"/>
        </w:rPr>
        <w:t xml:space="preserve">technology neutral </w:t>
      </w:r>
      <w:r>
        <w:rPr>
          <w:rFonts w:ascii="Calibri" w:hAnsi="Calibri" w:cs="Calibri"/>
          <w:color w:val="000000"/>
          <w:kern w:val="0"/>
          <w:sz w:val="24"/>
          <w:szCs w:val="24"/>
        </w:rPr>
        <w:t>DER participation by DER Aggregators to sell “grid services” within existing wholesale markets</w:t>
      </w:r>
      <w:r w:rsidR="003D751F">
        <w:rPr>
          <w:rFonts w:ascii="Calibri" w:hAnsi="Calibri" w:cs="Calibri"/>
          <w:color w:val="000000"/>
          <w:kern w:val="0"/>
          <w:sz w:val="24"/>
          <w:szCs w:val="24"/>
        </w:rPr>
        <w:t>, as show below:</w:t>
      </w:r>
    </w:p>
    <w:p w14:paraId="627E45CA" w14:textId="00944DD5" w:rsidR="003D751F" w:rsidRPr="008E2494" w:rsidRDefault="003D751F" w:rsidP="003D751F">
      <w:pPr>
        <w:ind w:left="720"/>
        <w:rPr>
          <w:rFonts w:ascii="Calibri" w:hAnsi="Calibri" w:cs="Calibri"/>
          <w:color w:val="000000"/>
          <w:kern w:val="0"/>
          <w:sz w:val="24"/>
          <w:szCs w:val="24"/>
        </w:rPr>
      </w:pPr>
      <w:r w:rsidRPr="00672468">
        <w:rPr>
          <w:rFonts w:ascii="Calibri" w:hAnsi="Calibri" w:cs="Calibri"/>
          <w:i/>
          <w:iCs/>
          <w:color w:val="000000"/>
          <w:kern w:val="0"/>
          <w:sz w:val="24"/>
          <w:szCs w:val="24"/>
        </w:rPr>
        <w:t>“</w:t>
      </w:r>
      <w:r w:rsidRPr="00672468">
        <w:rPr>
          <w:i/>
          <w:iCs/>
          <w:sz w:val="24"/>
          <w:szCs w:val="24"/>
        </w:rPr>
        <w:t>27 (stating that distributed energy resource aggregations can provide new grid services and enhance competition in wholesale markets as new market participants), 29 (finding that the reforms in this final rule will enhance the competitiveness, and in turn the efficiency, of RTO/ISO markets); see, e.g., infra PP 114 (explaining that the revised definition of distributed energy resource adopted in this final rule is technology-neutral, thereby ensuring that any resource that is technically capable of providing wholesale services through aggregation is eligible to do so, which enhances competition in the RTO/ISO markets)</w:t>
      </w:r>
      <w:r w:rsidRPr="00672468">
        <w:rPr>
          <w:sz w:val="24"/>
          <w:szCs w:val="24"/>
        </w:rPr>
        <w:t xml:space="preserve"> “</w:t>
      </w:r>
      <w:r>
        <w:rPr>
          <w:rStyle w:val="FootnoteReference"/>
          <w:rFonts w:ascii="Calibri" w:hAnsi="Calibri" w:cs="Calibri"/>
          <w:color w:val="000000"/>
          <w:kern w:val="0"/>
          <w:sz w:val="24"/>
          <w:szCs w:val="24"/>
        </w:rPr>
        <w:footnoteReference w:id="2"/>
      </w:r>
    </w:p>
    <w:p w14:paraId="225DAB26" w14:textId="4C6CCE05" w:rsidR="00B673D0" w:rsidRDefault="003D751F" w:rsidP="00B673D0">
      <w:pPr>
        <w:rPr>
          <w:rFonts w:ascii="Calibri" w:hAnsi="Calibri" w:cs="Calibri"/>
          <w:color w:val="000000"/>
          <w:kern w:val="0"/>
          <w:sz w:val="24"/>
          <w:szCs w:val="24"/>
        </w:rPr>
      </w:pPr>
      <w:r w:rsidRPr="000756A8">
        <w:rPr>
          <w:rFonts w:ascii="Calibri" w:hAnsi="Calibri" w:cs="Calibri"/>
          <w:color w:val="000000"/>
          <w:kern w:val="0"/>
          <w:sz w:val="24"/>
          <w:szCs w:val="24"/>
        </w:rPr>
        <w:lastRenderedPageBreak/>
        <w:t>FERC Order 222</w:t>
      </w:r>
      <w:r w:rsidR="0086440F">
        <w:rPr>
          <w:rFonts w:ascii="Calibri" w:hAnsi="Calibri" w:cs="Calibri"/>
          <w:color w:val="000000"/>
          <w:kern w:val="0"/>
          <w:sz w:val="24"/>
          <w:szCs w:val="24"/>
        </w:rPr>
        <w:t>2</w:t>
      </w:r>
      <w:r w:rsidRPr="000756A8">
        <w:rPr>
          <w:rFonts w:ascii="Calibri" w:hAnsi="Calibri" w:cs="Calibri"/>
          <w:color w:val="000000"/>
          <w:kern w:val="0"/>
          <w:sz w:val="24"/>
          <w:szCs w:val="24"/>
        </w:rPr>
        <w:t xml:space="preserve"> uses the phrase “grid services” to describe the potential offerings that a DER Aggregator may submit for sale within wholesale electricity markets. The exact definition of </w:t>
      </w:r>
      <w:r w:rsidR="000756A8">
        <w:rPr>
          <w:rFonts w:ascii="Calibri" w:hAnsi="Calibri" w:cs="Calibri"/>
          <w:color w:val="000000"/>
          <w:kern w:val="0"/>
          <w:sz w:val="24"/>
          <w:szCs w:val="24"/>
        </w:rPr>
        <w:t xml:space="preserve">what exactly constitutes a </w:t>
      </w:r>
      <w:r w:rsidRPr="000756A8">
        <w:rPr>
          <w:rFonts w:ascii="Calibri" w:hAnsi="Calibri" w:cs="Calibri"/>
          <w:color w:val="000000"/>
          <w:kern w:val="0"/>
          <w:sz w:val="24"/>
          <w:szCs w:val="24"/>
        </w:rPr>
        <w:t xml:space="preserve">“grid service” is not widely agreed upon, leaving open </w:t>
      </w:r>
      <w:r w:rsidRPr="00D331C1">
        <w:rPr>
          <w:rFonts w:ascii="Calibri" w:hAnsi="Calibri" w:cs="Calibri"/>
          <w:color w:val="000000"/>
          <w:kern w:val="0"/>
          <w:sz w:val="24"/>
          <w:szCs w:val="24"/>
          <w:u w:val="single"/>
        </w:rPr>
        <w:t xml:space="preserve">the </w:t>
      </w:r>
      <w:r w:rsidR="0086440F" w:rsidRPr="00D331C1">
        <w:rPr>
          <w:rFonts w:ascii="Calibri" w:hAnsi="Calibri" w:cs="Calibri"/>
          <w:color w:val="000000"/>
          <w:kern w:val="0"/>
          <w:sz w:val="24"/>
          <w:szCs w:val="24"/>
          <w:u w:val="single"/>
        </w:rPr>
        <w:t>need</w:t>
      </w:r>
      <w:r w:rsidRPr="00D331C1">
        <w:rPr>
          <w:rFonts w:ascii="Calibri" w:hAnsi="Calibri" w:cs="Calibri"/>
          <w:color w:val="000000"/>
          <w:kern w:val="0"/>
          <w:sz w:val="24"/>
          <w:szCs w:val="24"/>
          <w:u w:val="single"/>
        </w:rPr>
        <w:t xml:space="preserve"> for standardization work in defining </w:t>
      </w:r>
      <w:r w:rsidR="00D331C1">
        <w:rPr>
          <w:rFonts w:ascii="Calibri" w:hAnsi="Calibri" w:cs="Calibri"/>
          <w:color w:val="000000"/>
          <w:kern w:val="0"/>
          <w:sz w:val="24"/>
          <w:szCs w:val="24"/>
          <w:u w:val="single"/>
        </w:rPr>
        <w:t>the</w:t>
      </w:r>
      <w:r w:rsidRPr="00D331C1">
        <w:rPr>
          <w:rFonts w:ascii="Calibri" w:hAnsi="Calibri" w:cs="Calibri"/>
          <w:color w:val="000000"/>
          <w:kern w:val="0"/>
          <w:sz w:val="24"/>
          <w:szCs w:val="24"/>
          <w:u w:val="single"/>
        </w:rPr>
        <w:t xml:space="preserve"> “grid services” </w:t>
      </w:r>
      <w:r w:rsidR="00D331C1">
        <w:rPr>
          <w:rFonts w:ascii="Calibri" w:hAnsi="Calibri" w:cs="Calibri"/>
          <w:color w:val="000000"/>
          <w:kern w:val="0"/>
          <w:sz w:val="24"/>
          <w:szCs w:val="24"/>
          <w:u w:val="single"/>
        </w:rPr>
        <w:t xml:space="preserve">that will be available through wholesale markets </w:t>
      </w:r>
      <w:r w:rsidR="00D331C1" w:rsidRPr="00D331C1">
        <w:rPr>
          <w:rFonts w:ascii="Calibri" w:hAnsi="Calibri" w:cs="Calibri"/>
          <w:color w:val="000000"/>
          <w:kern w:val="0"/>
          <w:sz w:val="24"/>
          <w:szCs w:val="24"/>
          <w:u w:val="single"/>
        </w:rPr>
        <w:t>nationally</w:t>
      </w:r>
      <w:r w:rsidRPr="00D331C1">
        <w:rPr>
          <w:rFonts w:ascii="Calibri" w:hAnsi="Calibri" w:cs="Calibri"/>
          <w:color w:val="000000"/>
          <w:kern w:val="0"/>
          <w:sz w:val="24"/>
          <w:szCs w:val="24"/>
          <w:u w:val="single"/>
        </w:rPr>
        <w:t xml:space="preserve"> and how each </w:t>
      </w:r>
      <w:r w:rsidR="00D331C1" w:rsidRPr="00D331C1">
        <w:rPr>
          <w:rFonts w:ascii="Calibri" w:hAnsi="Calibri" w:cs="Calibri"/>
          <w:color w:val="000000"/>
          <w:kern w:val="0"/>
          <w:sz w:val="24"/>
          <w:szCs w:val="24"/>
          <w:u w:val="single"/>
        </w:rPr>
        <w:t xml:space="preserve">service </w:t>
      </w:r>
      <w:r w:rsidRPr="00D331C1">
        <w:rPr>
          <w:rFonts w:ascii="Calibri" w:hAnsi="Calibri" w:cs="Calibri"/>
          <w:color w:val="000000"/>
          <w:kern w:val="0"/>
          <w:sz w:val="24"/>
          <w:szCs w:val="24"/>
          <w:u w:val="single"/>
        </w:rPr>
        <w:t xml:space="preserve">is </w:t>
      </w:r>
      <w:r w:rsidR="00D331C1" w:rsidRPr="00D331C1">
        <w:rPr>
          <w:rFonts w:ascii="Calibri" w:hAnsi="Calibri" w:cs="Calibri"/>
          <w:color w:val="000000"/>
          <w:kern w:val="0"/>
          <w:sz w:val="24"/>
          <w:szCs w:val="24"/>
          <w:u w:val="single"/>
        </w:rPr>
        <w:t>characterized</w:t>
      </w:r>
      <w:r w:rsidR="0086440F" w:rsidRPr="00D331C1">
        <w:rPr>
          <w:rFonts w:ascii="Calibri" w:hAnsi="Calibri" w:cs="Calibri"/>
          <w:color w:val="000000"/>
          <w:kern w:val="0"/>
          <w:sz w:val="24"/>
          <w:szCs w:val="24"/>
          <w:u w:val="single"/>
        </w:rPr>
        <w:t xml:space="preserve">, </w:t>
      </w:r>
      <w:r w:rsidR="00D331C1" w:rsidRPr="00D331C1">
        <w:rPr>
          <w:rFonts w:ascii="Calibri" w:hAnsi="Calibri" w:cs="Calibri"/>
          <w:color w:val="000000"/>
          <w:kern w:val="0"/>
          <w:sz w:val="24"/>
          <w:szCs w:val="24"/>
          <w:u w:val="single"/>
        </w:rPr>
        <w:t>consistently</w:t>
      </w:r>
      <w:r w:rsidR="0086440F" w:rsidRPr="00D331C1">
        <w:rPr>
          <w:rFonts w:ascii="Calibri" w:hAnsi="Calibri" w:cs="Calibri"/>
          <w:color w:val="000000"/>
          <w:kern w:val="0"/>
          <w:sz w:val="24"/>
          <w:szCs w:val="24"/>
          <w:u w:val="single"/>
        </w:rPr>
        <w:t xml:space="preserve"> – within each wholesale market</w:t>
      </w:r>
      <w:r w:rsidRPr="00D331C1">
        <w:rPr>
          <w:rFonts w:ascii="Calibri" w:hAnsi="Calibri" w:cs="Calibri"/>
          <w:color w:val="000000"/>
          <w:kern w:val="0"/>
          <w:sz w:val="24"/>
          <w:szCs w:val="24"/>
          <w:u w:val="single"/>
        </w:rPr>
        <w:t xml:space="preserve">. </w:t>
      </w:r>
      <w:r w:rsidRPr="000756A8">
        <w:rPr>
          <w:rFonts w:ascii="Calibri" w:hAnsi="Calibri" w:cs="Calibri"/>
          <w:color w:val="000000"/>
          <w:kern w:val="0"/>
          <w:sz w:val="24"/>
          <w:szCs w:val="24"/>
        </w:rPr>
        <w:t xml:space="preserve">There are some efforts </w:t>
      </w:r>
      <w:r w:rsidR="000756A8">
        <w:rPr>
          <w:rFonts w:ascii="Calibri" w:hAnsi="Calibri" w:cs="Calibri"/>
          <w:color w:val="000000"/>
          <w:kern w:val="0"/>
          <w:sz w:val="24"/>
          <w:szCs w:val="24"/>
        </w:rPr>
        <w:t xml:space="preserve">presently </w:t>
      </w:r>
      <w:r w:rsidRPr="000756A8">
        <w:rPr>
          <w:rFonts w:ascii="Calibri" w:hAnsi="Calibri" w:cs="Calibri"/>
          <w:color w:val="000000"/>
          <w:kern w:val="0"/>
          <w:sz w:val="24"/>
          <w:szCs w:val="24"/>
        </w:rPr>
        <w:t xml:space="preserve">underway in Hawaii to address the </w:t>
      </w:r>
      <w:r w:rsidR="000756A8">
        <w:rPr>
          <w:rFonts w:ascii="Calibri" w:hAnsi="Calibri" w:cs="Calibri"/>
          <w:color w:val="000000"/>
          <w:kern w:val="0"/>
          <w:sz w:val="24"/>
          <w:szCs w:val="24"/>
        </w:rPr>
        <w:t xml:space="preserve">need for </w:t>
      </w:r>
      <w:r w:rsidR="0086440F">
        <w:rPr>
          <w:rFonts w:ascii="Calibri" w:hAnsi="Calibri" w:cs="Calibri"/>
          <w:color w:val="000000"/>
          <w:kern w:val="0"/>
          <w:sz w:val="24"/>
          <w:szCs w:val="24"/>
        </w:rPr>
        <w:t xml:space="preserve">standard/common </w:t>
      </w:r>
      <w:r w:rsidRPr="000756A8">
        <w:rPr>
          <w:rFonts w:ascii="Calibri" w:hAnsi="Calibri" w:cs="Calibri"/>
          <w:color w:val="000000"/>
          <w:kern w:val="0"/>
          <w:sz w:val="24"/>
          <w:szCs w:val="24"/>
        </w:rPr>
        <w:t>definition</w:t>
      </w:r>
      <w:r w:rsidR="0086440F">
        <w:rPr>
          <w:rFonts w:ascii="Calibri" w:hAnsi="Calibri" w:cs="Calibri"/>
          <w:color w:val="000000"/>
          <w:kern w:val="0"/>
          <w:sz w:val="24"/>
          <w:szCs w:val="24"/>
        </w:rPr>
        <w:t>s</w:t>
      </w:r>
      <w:r w:rsidRPr="000756A8">
        <w:rPr>
          <w:rFonts w:ascii="Calibri" w:hAnsi="Calibri" w:cs="Calibri"/>
          <w:color w:val="000000"/>
          <w:kern w:val="0"/>
          <w:sz w:val="24"/>
          <w:szCs w:val="24"/>
        </w:rPr>
        <w:t xml:space="preserve"> </w:t>
      </w:r>
      <w:r w:rsidR="000756A8">
        <w:rPr>
          <w:rFonts w:ascii="Calibri" w:hAnsi="Calibri" w:cs="Calibri"/>
          <w:color w:val="000000"/>
          <w:kern w:val="0"/>
          <w:sz w:val="24"/>
          <w:szCs w:val="24"/>
        </w:rPr>
        <w:t>and characterization</w:t>
      </w:r>
      <w:r w:rsidR="0086440F">
        <w:rPr>
          <w:rFonts w:ascii="Calibri" w:hAnsi="Calibri" w:cs="Calibri"/>
          <w:color w:val="000000"/>
          <w:kern w:val="0"/>
          <w:sz w:val="24"/>
          <w:szCs w:val="24"/>
        </w:rPr>
        <w:t>s</w:t>
      </w:r>
      <w:r w:rsidR="000756A8">
        <w:rPr>
          <w:rFonts w:ascii="Calibri" w:hAnsi="Calibri" w:cs="Calibri"/>
          <w:color w:val="000000"/>
          <w:kern w:val="0"/>
          <w:sz w:val="24"/>
          <w:szCs w:val="24"/>
        </w:rPr>
        <w:t xml:space="preserve"> </w:t>
      </w:r>
      <w:r w:rsidRPr="000756A8">
        <w:rPr>
          <w:rFonts w:ascii="Calibri" w:hAnsi="Calibri" w:cs="Calibri"/>
          <w:color w:val="000000"/>
          <w:kern w:val="0"/>
          <w:sz w:val="24"/>
          <w:szCs w:val="24"/>
        </w:rPr>
        <w:t>of grid services</w:t>
      </w:r>
      <w:r w:rsidR="0086440F">
        <w:rPr>
          <w:rFonts w:ascii="Calibri" w:hAnsi="Calibri" w:cs="Calibri"/>
          <w:color w:val="000000"/>
          <w:kern w:val="0"/>
          <w:sz w:val="24"/>
          <w:szCs w:val="24"/>
        </w:rPr>
        <w:t xml:space="preserve"> for DER</w:t>
      </w:r>
      <w:r w:rsidR="00D331C1">
        <w:rPr>
          <w:rFonts w:ascii="Calibri" w:hAnsi="Calibri" w:cs="Calibri"/>
          <w:color w:val="000000"/>
          <w:kern w:val="0"/>
          <w:sz w:val="24"/>
          <w:szCs w:val="24"/>
        </w:rPr>
        <w:t>, but this work is just beginning.</w:t>
      </w:r>
    </w:p>
    <w:p w14:paraId="01FA754E" w14:textId="4126E076" w:rsidR="0039064C" w:rsidRDefault="0039064C" w:rsidP="00B673D0">
      <w:pPr>
        <w:rPr>
          <w:rFonts w:ascii="Calibri" w:hAnsi="Calibri" w:cs="Calibri"/>
          <w:color w:val="000000"/>
          <w:kern w:val="0"/>
          <w:sz w:val="24"/>
          <w:szCs w:val="24"/>
        </w:rPr>
      </w:pPr>
      <w:r>
        <w:rPr>
          <w:rFonts w:ascii="Calibri" w:hAnsi="Calibri" w:cs="Calibri"/>
          <w:color w:val="000000"/>
          <w:kern w:val="0"/>
          <w:sz w:val="24"/>
          <w:szCs w:val="24"/>
        </w:rPr>
        <w:t>FERC Order 2222 specifically identifies the need for ISO/RTO organization</w:t>
      </w:r>
      <w:r w:rsidR="005B3784">
        <w:rPr>
          <w:rFonts w:ascii="Calibri" w:hAnsi="Calibri" w:cs="Calibri"/>
          <w:color w:val="000000"/>
          <w:kern w:val="0"/>
          <w:sz w:val="24"/>
          <w:szCs w:val="24"/>
        </w:rPr>
        <w:t>s</w:t>
      </w:r>
      <w:r>
        <w:rPr>
          <w:rFonts w:ascii="Calibri" w:hAnsi="Calibri" w:cs="Calibri"/>
          <w:color w:val="000000"/>
          <w:kern w:val="0"/>
          <w:sz w:val="24"/>
          <w:szCs w:val="24"/>
        </w:rPr>
        <w:t xml:space="preserve"> to exchange data with DER Aggregators</w:t>
      </w:r>
      <w:r w:rsidR="005B3784">
        <w:rPr>
          <w:rFonts w:ascii="Calibri" w:hAnsi="Calibri" w:cs="Calibri"/>
          <w:color w:val="000000"/>
          <w:kern w:val="0"/>
          <w:sz w:val="24"/>
          <w:szCs w:val="24"/>
        </w:rPr>
        <w:t xml:space="preserve"> for participation in wholesale markets</w:t>
      </w:r>
      <w:r>
        <w:rPr>
          <w:rFonts w:ascii="Calibri" w:hAnsi="Calibri" w:cs="Calibri"/>
          <w:color w:val="000000"/>
          <w:kern w:val="0"/>
          <w:sz w:val="24"/>
          <w:szCs w:val="24"/>
        </w:rPr>
        <w:t>, this is referred to in the diagram below as the “Commercial Interface”:</w:t>
      </w:r>
    </w:p>
    <w:p w14:paraId="1359A742" w14:textId="59D7BC19" w:rsidR="0039064C" w:rsidRDefault="0039064C" w:rsidP="005B3784">
      <w:pPr>
        <w:autoSpaceDE w:val="0"/>
        <w:autoSpaceDN w:val="0"/>
        <w:adjustRightInd w:val="0"/>
        <w:spacing w:before="0" w:after="0" w:line="240" w:lineRule="auto"/>
        <w:ind w:left="720"/>
        <w:rPr>
          <w:rFonts w:ascii="Times New Roman" w:hAnsi="Times New Roman" w:cs="Times New Roman"/>
          <w:i/>
          <w:iCs/>
          <w:color w:val="000000"/>
          <w:kern w:val="0"/>
          <w:sz w:val="26"/>
          <w:szCs w:val="26"/>
        </w:rPr>
      </w:pPr>
      <w:r w:rsidRPr="0039064C">
        <w:rPr>
          <w:rFonts w:ascii="Times New Roman" w:hAnsi="Times New Roman" w:cs="Times New Roman"/>
          <w:i/>
          <w:iCs/>
          <w:color w:val="000000"/>
          <w:kern w:val="0"/>
          <w:sz w:val="26"/>
          <w:szCs w:val="26"/>
        </w:rPr>
        <w:t xml:space="preserve">add § 35.28(g)(12)(ii)(d) to the Commission’s regulations to require each RTO/ISO to establish market rules that address information requirements and data requirements for distributed energy resource aggregations. Specifically, we require each RTO/ISO to revise its tariff to (1) include any requirements for distributed energy resource aggregators that establish the information and data that a distributed energy resource aggregator must provide about the physical and operational characteristics of its aggregation; </w:t>
      </w:r>
    </w:p>
    <w:p w14:paraId="75EE97DE" w14:textId="77777777" w:rsidR="005B3784" w:rsidRDefault="005B3784" w:rsidP="005B3784">
      <w:pPr>
        <w:autoSpaceDE w:val="0"/>
        <w:autoSpaceDN w:val="0"/>
        <w:adjustRightInd w:val="0"/>
        <w:spacing w:before="0" w:after="0" w:line="240" w:lineRule="auto"/>
        <w:rPr>
          <w:rFonts w:ascii="Times New Roman" w:hAnsi="Times New Roman" w:cs="Times New Roman"/>
          <w:color w:val="000000"/>
          <w:kern w:val="0"/>
          <w:sz w:val="26"/>
          <w:szCs w:val="26"/>
        </w:rPr>
      </w:pPr>
    </w:p>
    <w:p w14:paraId="4457E166" w14:textId="39D37AD1" w:rsidR="005B3784" w:rsidRPr="00672468" w:rsidRDefault="005B3784" w:rsidP="005B3784">
      <w:pPr>
        <w:autoSpaceDE w:val="0"/>
        <w:autoSpaceDN w:val="0"/>
        <w:adjustRightInd w:val="0"/>
        <w:spacing w:before="0" w:after="0" w:line="240" w:lineRule="auto"/>
        <w:rPr>
          <w:rFonts w:ascii="Calibri" w:hAnsi="Calibri" w:cs="Calibri"/>
          <w:color w:val="000000"/>
          <w:kern w:val="0"/>
          <w:sz w:val="24"/>
          <w:szCs w:val="24"/>
        </w:rPr>
      </w:pPr>
      <w:r w:rsidRPr="00672468">
        <w:rPr>
          <w:rFonts w:ascii="Calibri" w:hAnsi="Calibri" w:cs="Calibri"/>
          <w:color w:val="000000"/>
          <w:kern w:val="0"/>
          <w:sz w:val="24"/>
          <w:szCs w:val="24"/>
        </w:rPr>
        <w:t>The diagram below shows areas open to standardization, in order to support Battery DER participation in wholesale markets:</w:t>
      </w:r>
    </w:p>
    <w:p w14:paraId="77A59581" w14:textId="6366C56D" w:rsidR="008E08A3" w:rsidRDefault="008E08A3" w:rsidP="005B3784">
      <w:pPr>
        <w:autoSpaceDE w:val="0"/>
        <w:autoSpaceDN w:val="0"/>
        <w:adjustRightInd w:val="0"/>
        <w:spacing w:before="0" w:after="0" w:line="240" w:lineRule="auto"/>
        <w:rPr>
          <w:rFonts w:ascii="Times New Roman" w:hAnsi="Times New Roman" w:cs="Times New Roman"/>
          <w:color w:val="000000"/>
          <w:kern w:val="0"/>
          <w:sz w:val="26"/>
          <w:szCs w:val="26"/>
        </w:rPr>
      </w:pPr>
      <w:r w:rsidRPr="005B3784">
        <w:rPr>
          <w:rFonts w:ascii="Times New Roman" w:hAnsi="Times New Roman" w:cs="Times New Roman"/>
          <w:noProof/>
          <w:color w:val="000000"/>
          <w:kern w:val="0"/>
          <w:sz w:val="26"/>
          <w:szCs w:val="26"/>
        </w:rPr>
        <w:lastRenderedPageBreak/>
        <w:drawing>
          <wp:inline distT="0" distB="0" distL="0" distR="0" wp14:anchorId="78B0C8AD" wp14:editId="2E8B642D">
            <wp:extent cx="5797550" cy="3101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7550" cy="3101975"/>
                    </a:xfrm>
                    <a:prstGeom prst="rect">
                      <a:avLst/>
                    </a:prstGeom>
                  </pic:spPr>
                </pic:pic>
              </a:graphicData>
            </a:graphic>
          </wp:inline>
        </w:drawing>
      </w:r>
    </w:p>
    <w:p w14:paraId="1708162D" w14:textId="66BCD312" w:rsidR="005B3784" w:rsidRDefault="00452CD2" w:rsidP="005B3784">
      <w:pPr>
        <w:autoSpaceDE w:val="0"/>
        <w:autoSpaceDN w:val="0"/>
        <w:adjustRightInd w:val="0"/>
        <w:spacing w:before="0"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Enabling </w:t>
      </w:r>
      <w:r w:rsidRPr="00672468">
        <w:rPr>
          <w:rFonts w:ascii="Calibri" w:hAnsi="Calibri" w:cs="Calibri"/>
          <w:color w:val="000000"/>
          <w:kern w:val="0"/>
          <w:sz w:val="24"/>
          <w:szCs w:val="24"/>
        </w:rPr>
        <w:t xml:space="preserve">Battery DER </w:t>
      </w:r>
      <w:r>
        <w:rPr>
          <w:rFonts w:ascii="Calibri" w:hAnsi="Calibri" w:cs="Calibri"/>
          <w:color w:val="000000"/>
          <w:kern w:val="0"/>
          <w:sz w:val="24"/>
          <w:szCs w:val="24"/>
        </w:rPr>
        <w:t xml:space="preserve">to offer </w:t>
      </w:r>
      <w:r w:rsidR="0002608F">
        <w:rPr>
          <w:rFonts w:ascii="Calibri" w:hAnsi="Calibri" w:cs="Calibri"/>
          <w:color w:val="000000"/>
          <w:kern w:val="0"/>
          <w:sz w:val="24"/>
          <w:szCs w:val="24"/>
        </w:rPr>
        <w:t>standardized</w:t>
      </w:r>
      <w:r>
        <w:rPr>
          <w:rFonts w:ascii="Calibri" w:hAnsi="Calibri" w:cs="Calibri"/>
          <w:color w:val="000000"/>
          <w:kern w:val="0"/>
          <w:sz w:val="24"/>
          <w:szCs w:val="24"/>
        </w:rPr>
        <w:t xml:space="preserve"> Grid Services </w:t>
      </w:r>
      <w:r w:rsidR="00747F6D">
        <w:rPr>
          <w:rFonts w:ascii="Calibri" w:hAnsi="Calibri" w:cs="Calibri"/>
          <w:color w:val="000000"/>
          <w:kern w:val="0"/>
          <w:sz w:val="24"/>
          <w:szCs w:val="24"/>
        </w:rPr>
        <w:t>into wholesale markets (capacity</w:t>
      </w:r>
      <w:r w:rsidR="00440E88">
        <w:rPr>
          <w:rFonts w:ascii="Calibri" w:hAnsi="Calibri" w:cs="Calibri"/>
          <w:color w:val="000000"/>
          <w:kern w:val="0"/>
          <w:sz w:val="24"/>
          <w:szCs w:val="24"/>
        </w:rPr>
        <w:t>,</w:t>
      </w:r>
      <w:r w:rsidR="00747F6D">
        <w:rPr>
          <w:rFonts w:ascii="Calibri" w:hAnsi="Calibri" w:cs="Calibri"/>
          <w:color w:val="000000"/>
          <w:kern w:val="0"/>
          <w:sz w:val="24"/>
          <w:szCs w:val="24"/>
        </w:rPr>
        <w:t xml:space="preserve"> energy</w:t>
      </w:r>
      <w:r w:rsidR="00440E88">
        <w:rPr>
          <w:rFonts w:ascii="Calibri" w:hAnsi="Calibri" w:cs="Calibri"/>
          <w:color w:val="000000"/>
          <w:kern w:val="0"/>
          <w:sz w:val="24"/>
          <w:szCs w:val="24"/>
        </w:rPr>
        <w:t xml:space="preserve"> and ancillary services</w:t>
      </w:r>
      <w:r w:rsidR="00747F6D">
        <w:rPr>
          <w:rFonts w:ascii="Calibri" w:hAnsi="Calibri" w:cs="Calibri"/>
          <w:color w:val="000000"/>
          <w:kern w:val="0"/>
          <w:sz w:val="24"/>
          <w:szCs w:val="24"/>
        </w:rPr>
        <w:t>)</w:t>
      </w:r>
      <w:r w:rsidR="0002608F">
        <w:rPr>
          <w:rFonts w:ascii="Calibri" w:hAnsi="Calibri" w:cs="Calibri"/>
          <w:color w:val="000000"/>
          <w:kern w:val="0"/>
          <w:sz w:val="24"/>
          <w:szCs w:val="24"/>
        </w:rPr>
        <w:t xml:space="preserve"> </w:t>
      </w:r>
      <w:r>
        <w:rPr>
          <w:rFonts w:ascii="Calibri" w:hAnsi="Calibri" w:cs="Calibri"/>
          <w:color w:val="000000"/>
          <w:kern w:val="0"/>
          <w:sz w:val="24"/>
          <w:szCs w:val="24"/>
        </w:rPr>
        <w:t>will ensure that these batter</w:t>
      </w:r>
      <w:r w:rsidR="00747F6D">
        <w:rPr>
          <w:rFonts w:ascii="Calibri" w:hAnsi="Calibri" w:cs="Calibri"/>
          <w:color w:val="000000"/>
          <w:kern w:val="0"/>
          <w:sz w:val="24"/>
          <w:szCs w:val="24"/>
        </w:rPr>
        <w:t>y</w:t>
      </w:r>
      <w:r>
        <w:rPr>
          <w:rFonts w:ascii="Calibri" w:hAnsi="Calibri" w:cs="Calibri"/>
          <w:color w:val="000000"/>
          <w:kern w:val="0"/>
          <w:sz w:val="24"/>
          <w:szCs w:val="24"/>
        </w:rPr>
        <w:t xml:space="preserve"> resources are receiving appropriate compensation for the valuable</w:t>
      </w:r>
      <w:r w:rsidR="00747F6D">
        <w:rPr>
          <w:rFonts w:ascii="Calibri" w:hAnsi="Calibri" w:cs="Calibri"/>
          <w:color w:val="000000"/>
          <w:kern w:val="0"/>
          <w:sz w:val="24"/>
          <w:szCs w:val="24"/>
        </w:rPr>
        <w:t xml:space="preserve"> services</w:t>
      </w:r>
      <w:r>
        <w:rPr>
          <w:rFonts w:ascii="Calibri" w:hAnsi="Calibri" w:cs="Calibri"/>
          <w:color w:val="000000"/>
          <w:kern w:val="0"/>
          <w:sz w:val="24"/>
          <w:szCs w:val="24"/>
        </w:rPr>
        <w:t xml:space="preserve"> they provide to a grid operator,</w:t>
      </w:r>
      <w:r w:rsidR="00747F6D">
        <w:rPr>
          <w:rFonts w:ascii="Calibri" w:hAnsi="Calibri" w:cs="Calibri"/>
          <w:color w:val="000000"/>
          <w:kern w:val="0"/>
          <w:sz w:val="24"/>
          <w:szCs w:val="24"/>
        </w:rPr>
        <w:t xml:space="preserve"> and a grid operator will have access to</w:t>
      </w:r>
      <w:r w:rsidR="00440E88">
        <w:rPr>
          <w:rFonts w:ascii="Calibri" w:hAnsi="Calibri" w:cs="Calibri"/>
          <w:color w:val="000000"/>
          <w:kern w:val="0"/>
          <w:sz w:val="24"/>
          <w:szCs w:val="24"/>
        </w:rPr>
        <w:t xml:space="preserve"> </w:t>
      </w:r>
      <w:r w:rsidR="00747F6D">
        <w:rPr>
          <w:rFonts w:ascii="Calibri" w:hAnsi="Calibri" w:cs="Calibri"/>
          <w:color w:val="000000"/>
          <w:kern w:val="0"/>
          <w:sz w:val="24"/>
          <w:szCs w:val="24"/>
        </w:rPr>
        <w:t>reliable, fast performing resource</w:t>
      </w:r>
      <w:r w:rsidR="00440E88">
        <w:rPr>
          <w:rFonts w:ascii="Calibri" w:hAnsi="Calibri" w:cs="Calibri"/>
          <w:color w:val="000000"/>
          <w:kern w:val="0"/>
          <w:sz w:val="24"/>
          <w:szCs w:val="24"/>
        </w:rPr>
        <w:t>s</w:t>
      </w:r>
      <w:r w:rsidR="00747F6D">
        <w:rPr>
          <w:rFonts w:ascii="Calibri" w:hAnsi="Calibri" w:cs="Calibri"/>
          <w:color w:val="000000"/>
          <w:kern w:val="0"/>
          <w:sz w:val="24"/>
          <w:szCs w:val="24"/>
        </w:rPr>
        <w:t xml:space="preserve"> to address</w:t>
      </w:r>
      <w:r>
        <w:rPr>
          <w:rFonts w:ascii="Calibri" w:hAnsi="Calibri" w:cs="Calibri"/>
          <w:color w:val="000000"/>
          <w:kern w:val="0"/>
          <w:sz w:val="24"/>
          <w:szCs w:val="24"/>
        </w:rPr>
        <w:t xml:space="preserve"> </w:t>
      </w:r>
      <w:r w:rsidR="00747F6D">
        <w:rPr>
          <w:rFonts w:ascii="Calibri" w:hAnsi="Calibri" w:cs="Calibri"/>
          <w:color w:val="000000"/>
          <w:kern w:val="0"/>
          <w:sz w:val="24"/>
          <w:szCs w:val="24"/>
        </w:rPr>
        <w:t xml:space="preserve">challenging operating conditions, </w:t>
      </w:r>
      <w:r>
        <w:rPr>
          <w:rFonts w:ascii="Calibri" w:hAnsi="Calibri" w:cs="Calibri"/>
          <w:color w:val="000000"/>
          <w:kern w:val="0"/>
          <w:sz w:val="24"/>
          <w:szCs w:val="24"/>
        </w:rPr>
        <w:t>for example:</w:t>
      </w:r>
    </w:p>
    <w:p w14:paraId="1C389375" w14:textId="3DCD1656" w:rsidR="00452CD2" w:rsidRPr="0002608F" w:rsidRDefault="00452CD2" w:rsidP="00452CD2">
      <w:pPr>
        <w:pStyle w:val="ListParagraph"/>
        <w:numPr>
          <w:ilvl w:val="0"/>
          <w:numId w:val="24"/>
        </w:numPr>
        <w:autoSpaceDE w:val="0"/>
        <w:autoSpaceDN w:val="0"/>
        <w:adjustRightInd w:val="0"/>
        <w:spacing w:before="0" w:after="0" w:line="240" w:lineRule="auto"/>
        <w:rPr>
          <w:rFonts w:ascii="Calibri" w:hAnsi="Calibri" w:cs="Calibri"/>
          <w:color w:val="000000"/>
          <w:kern w:val="0"/>
          <w:sz w:val="24"/>
          <w:szCs w:val="24"/>
        </w:rPr>
      </w:pPr>
      <w:r w:rsidRPr="0002608F">
        <w:rPr>
          <w:rFonts w:ascii="Calibri" w:hAnsi="Calibri" w:cs="Calibri"/>
          <w:color w:val="000000"/>
          <w:kern w:val="0"/>
          <w:sz w:val="24"/>
          <w:szCs w:val="24"/>
        </w:rPr>
        <w:t>Fast ramping, both up and down</w:t>
      </w:r>
    </w:p>
    <w:p w14:paraId="7FDEA75F" w14:textId="25553788" w:rsidR="00452CD2" w:rsidRPr="0002608F" w:rsidRDefault="00452CD2" w:rsidP="00452CD2">
      <w:pPr>
        <w:pStyle w:val="ListParagraph"/>
        <w:numPr>
          <w:ilvl w:val="0"/>
          <w:numId w:val="24"/>
        </w:numPr>
        <w:autoSpaceDE w:val="0"/>
        <w:autoSpaceDN w:val="0"/>
        <w:adjustRightInd w:val="0"/>
        <w:spacing w:before="0" w:after="0" w:line="240" w:lineRule="auto"/>
        <w:rPr>
          <w:rFonts w:ascii="Calibri" w:hAnsi="Calibri" w:cs="Calibri"/>
          <w:color w:val="000000"/>
          <w:kern w:val="0"/>
          <w:sz w:val="24"/>
          <w:szCs w:val="24"/>
        </w:rPr>
      </w:pPr>
      <w:r w:rsidRPr="0002608F">
        <w:rPr>
          <w:rFonts w:ascii="Calibri" w:hAnsi="Calibri" w:cs="Calibri"/>
          <w:color w:val="000000"/>
          <w:kern w:val="0"/>
          <w:sz w:val="24"/>
          <w:szCs w:val="24"/>
        </w:rPr>
        <w:t>Super-peak response</w:t>
      </w:r>
    </w:p>
    <w:p w14:paraId="51401EA4" w14:textId="68B79A05" w:rsidR="00452CD2" w:rsidRPr="0002608F" w:rsidRDefault="00452CD2" w:rsidP="00452CD2">
      <w:pPr>
        <w:pStyle w:val="ListParagraph"/>
        <w:numPr>
          <w:ilvl w:val="0"/>
          <w:numId w:val="24"/>
        </w:numPr>
        <w:autoSpaceDE w:val="0"/>
        <w:autoSpaceDN w:val="0"/>
        <w:adjustRightInd w:val="0"/>
        <w:spacing w:before="0" w:after="0" w:line="240" w:lineRule="auto"/>
        <w:rPr>
          <w:rFonts w:ascii="Calibri" w:hAnsi="Calibri" w:cs="Calibri"/>
          <w:color w:val="000000"/>
          <w:kern w:val="0"/>
          <w:sz w:val="24"/>
          <w:szCs w:val="24"/>
        </w:rPr>
      </w:pPr>
      <w:r w:rsidRPr="0002608F">
        <w:rPr>
          <w:rFonts w:ascii="Calibri" w:hAnsi="Calibri" w:cs="Calibri"/>
          <w:color w:val="000000"/>
          <w:kern w:val="0"/>
          <w:sz w:val="24"/>
          <w:szCs w:val="24"/>
        </w:rPr>
        <w:t>Frequency response</w:t>
      </w:r>
    </w:p>
    <w:p w14:paraId="669CA61A" w14:textId="1F457AA1" w:rsidR="00452CD2" w:rsidRPr="0002608F" w:rsidRDefault="00452CD2" w:rsidP="00452CD2">
      <w:pPr>
        <w:pStyle w:val="ListParagraph"/>
        <w:numPr>
          <w:ilvl w:val="0"/>
          <w:numId w:val="24"/>
        </w:numPr>
        <w:autoSpaceDE w:val="0"/>
        <w:autoSpaceDN w:val="0"/>
        <w:adjustRightInd w:val="0"/>
        <w:spacing w:before="0" w:after="0" w:line="240" w:lineRule="auto"/>
        <w:rPr>
          <w:rFonts w:ascii="Calibri" w:hAnsi="Calibri" w:cs="Calibri"/>
          <w:color w:val="000000"/>
          <w:kern w:val="0"/>
          <w:sz w:val="24"/>
          <w:szCs w:val="24"/>
        </w:rPr>
      </w:pPr>
      <w:r w:rsidRPr="0002608F">
        <w:rPr>
          <w:rFonts w:ascii="Calibri" w:hAnsi="Calibri" w:cs="Calibri"/>
          <w:color w:val="000000"/>
          <w:kern w:val="0"/>
          <w:sz w:val="24"/>
          <w:szCs w:val="24"/>
        </w:rPr>
        <w:t>Ultra-fast start capability</w:t>
      </w:r>
    </w:p>
    <w:p w14:paraId="477E2477" w14:textId="51FB6E85" w:rsidR="00452CD2" w:rsidRDefault="00452CD2" w:rsidP="00452CD2">
      <w:pPr>
        <w:pStyle w:val="ListParagraph"/>
        <w:numPr>
          <w:ilvl w:val="0"/>
          <w:numId w:val="24"/>
        </w:numPr>
        <w:autoSpaceDE w:val="0"/>
        <w:autoSpaceDN w:val="0"/>
        <w:adjustRightInd w:val="0"/>
        <w:spacing w:before="0" w:after="0" w:line="240" w:lineRule="auto"/>
        <w:rPr>
          <w:rFonts w:ascii="Times New Roman" w:hAnsi="Times New Roman" w:cs="Times New Roman"/>
          <w:color w:val="000000"/>
          <w:kern w:val="0"/>
          <w:sz w:val="26"/>
          <w:szCs w:val="26"/>
        </w:rPr>
      </w:pPr>
      <w:r w:rsidRPr="0002608F">
        <w:rPr>
          <w:rFonts w:ascii="Calibri" w:hAnsi="Calibri" w:cs="Calibri"/>
          <w:color w:val="000000"/>
          <w:kern w:val="0"/>
          <w:sz w:val="24"/>
          <w:szCs w:val="24"/>
        </w:rPr>
        <w:t>Dispatchability for intermittent resources, such as wind and solar</w:t>
      </w:r>
    </w:p>
    <w:p w14:paraId="35CBC43A" w14:textId="77777777" w:rsidR="00452CD2" w:rsidRPr="00452CD2" w:rsidRDefault="00452CD2" w:rsidP="00452CD2">
      <w:pPr>
        <w:autoSpaceDE w:val="0"/>
        <w:autoSpaceDN w:val="0"/>
        <w:adjustRightInd w:val="0"/>
        <w:spacing w:before="0" w:after="0" w:line="240" w:lineRule="auto"/>
        <w:rPr>
          <w:rFonts w:ascii="Times New Roman" w:hAnsi="Times New Roman" w:cs="Times New Roman"/>
          <w:color w:val="000000"/>
          <w:kern w:val="0"/>
          <w:sz w:val="26"/>
          <w:szCs w:val="26"/>
        </w:rPr>
      </w:pPr>
    </w:p>
    <w:p w14:paraId="699EF7D1" w14:textId="73253C05" w:rsidR="005B3784" w:rsidRDefault="00747F6D" w:rsidP="005B3784">
      <w:pPr>
        <w:autoSpaceDE w:val="0"/>
        <w:autoSpaceDN w:val="0"/>
        <w:adjustRightInd w:val="0"/>
        <w:spacing w:before="0" w:after="0" w:line="240" w:lineRule="auto"/>
        <w:rPr>
          <w:rFonts w:ascii="Calibri" w:hAnsi="Calibri" w:cs="Calibri"/>
          <w:color w:val="000000"/>
          <w:kern w:val="0"/>
          <w:sz w:val="24"/>
          <w:szCs w:val="24"/>
        </w:rPr>
      </w:pPr>
      <w:r w:rsidRPr="00747F6D">
        <w:rPr>
          <w:rFonts w:ascii="Calibri" w:hAnsi="Calibri" w:cs="Calibri"/>
          <w:color w:val="000000"/>
          <w:kern w:val="0"/>
          <w:sz w:val="24"/>
          <w:szCs w:val="24"/>
        </w:rPr>
        <w:t>Other seams issues continue to inhibit battery developers from participating in other service areas</w:t>
      </w:r>
      <w:r>
        <w:rPr>
          <w:rFonts w:ascii="Calibri" w:hAnsi="Calibri" w:cs="Calibri"/>
          <w:color w:val="000000"/>
          <w:kern w:val="0"/>
          <w:sz w:val="24"/>
          <w:szCs w:val="24"/>
        </w:rPr>
        <w:t xml:space="preserve"> nationally</w:t>
      </w:r>
      <w:r w:rsidR="0002608F">
        <w:rPr>
          <w:rFonts w:ascii="Calibri" w:hAnsi="Calibri" w:cs="Calibri"/>
          <w:color w:val="000000"/>
          <w:kern w:val="0"/>
          <w:sz w:val="24"/>
          <w:szCs w:val="24"/>
        </w:rPr>
        <w:t>;</w:t>
      </w:r>
      <w:r w:rsidRPr="00747F6D">
        <w:rPr>
          <w:rFonts w:ascii="Calibri" w:hAnsi="Calibri" w:cs="Calibri"/>
          <w:color w:val="000000"/>
          <w:kern w:val="0"/>
          <w:sz w:val="24"/>
          <w:szCs w:val="24"/>
        </w:rPr>
        <w:t xml:space="preserve"> one</w:t>
      </w:r>
      <w:r>
        <w:rPr>
          <w:rFonts w:ascii="Calibri" w:hAnsi="Calibri" w:cs="Calibri"/>
          <w:color w:val="000000"/>
          <w:kern w:val="0"/>
          <w:sz w:val="24"/>
          <w:szCs w:val="24"/>
        </w:rPr>
        <w:t xml:space="preserve"> </w:t>
      </w:r>
      <w:r w:rsidR="0002608F">
        <w:rPr>
          <w:rFonts w:ascii="Calibri" w:hAnsi="Calibri" w:cs="Calibri"/>
          <w:color w:val="000000"/>
          <w:kern w:val="0"/>
          <w:sz w:val="24"/>
          <w:szCs w:val="24"/>
        </w:rPr>
        <w:t xml:space="preserve">difficult </w:t>
      </w:r>
      <w:r>
        <w:rPr>
          <w:rFonts w:ascii="Calibri" w:hAnsi="Calibri" w:cs="Calibri"/>
          <w:color w:val="000000"/>
          <w:kern w:val="0"/>
          <w:sz w:val="24"/>
          <w:szCs w:val="24"/>
        </w:rPr>
        <w:t>issue</w:t>
      </w:r>
      <w:r w:rsidRPr="00747F6D">
        <w:rPr>
          <w:rFonts w:ascii="Calibri" w:hAnsi="Calibri" w:cs="Calibri"/>
          <w:color w:val="000000"/>
          <w:kern w:val="0"/>
          <w:sz w:val="24"/>
          <w:szCs w:val="24"/>
        </w:rPr>
        <w:t xml:space="preserve"> in particular is the varying interconnection requirements that exist across State jurisdictions. A standard set of interconnection requirements for Battery DER that has national support with regulators, e.g. NARUC, would provide additional support for broad industry adoption of Battery Resources to provide valuable grid services nationwide.</w:t>
      </w:r>
      <w:r w:rsidR="00440E88">
        <w:rPr>
          <w:rFonts w:ascii="Calibri" w:hAnsi="Calibri" w:cs="Calibri"/>
          <w:color w:val="000000"/>
          <w:kern w:val="0"/>
          <w:sz w:val="24"/>
          <w:szCs w:val="24"/>
        </w:rPr>
        <w:t xml:space="preserve"> </w:t>
      </w:r>
      <w:r w:rsidR="001D1378">
        <w:rPr>
          <w:rFonts w:ascii="Calibri" w:hAnsi="Calibri" w:cs="Calibri"/>
          <w:color w:val="000000"/>
          <w:kern w:val="0"/>
          <w:sz w:val="24"/>
          <w:szCs w:val="24"/>
        </w:rPr>
        <w:t xml:space="preserve">This may present an opportunity for close collaboration between NERC and NAESB to ensure harmony across planning and market interfaces/standards. </w:t>
      </w:r>
    </w:p>
    <w:p w14:paraId="1CAAF55B" w14:textId="4614E162" w:rsidR="0086440F" w:rsidRDefault="0086440F" w:rsidP="005B3784">
      <w:pPr>
        <w:autoSpaceDE w:val="0"/>
        <w:autoSpaceDN w:val="0"/>
        <w:adjustRightInd w:val="0"/>
        <w:spacing w:before="0" w:after="0" w:line="240" w:lineRule="auto"/>
        <w:rPr>
          <w:rFonts w:ascii="Calibri" w:hAnsi="Calibri" w:cs="Calibri"/>
          <w:color w:val="000000"/>
          <w:kern w:val="0"/>
          <w:sz w:val="24"/>
          <w:szCs w:val="24"/>
        </w:rPr>
      </w:pPr>
    </w:p>
    <w:p w14:paraId="2A174E3C" w14:textId="77777777" w:rsidR="0086440F" w:rsidRPr="00747F6D" w:rsidRDefault="0086440F" w:rsidP="005B3784">
      <w:pPr>
        <w:autoSpaceDE w:val="0"/>
        <w:autoSpaceDN w:val="0"/>
        <w:adjustRightInd w:val="0"/>
        <w:spacing w:before="0" w:after="0" w:line="240" w:lineRule="auto"/>
        <w:rPr>
          <w:rFonts w:ascii="Calibri" w:hAnsi="Calibri" w:cs="Calibri"/>
          <w:color w:val="000000"/>
          <w:kern w:val="0"/>
          <w:sz w:val="24"/>
          <w:szCs w:val="24"/>
        </w:rPr>
      </w:pPr>
    </w:p>
    <w:p w14:paraId="11A49710" w14:textId="77777777" w:rsidR="0079283B" w:rsidRDefault="00B0553D">
      <w:pPr>
        <w:pStyle w:val="Heading1"/>
        <w:pageBreakBefore w:val="0"/>
        <w:spacing w:before="720"/>
      </w:pPr>
      <w:bookmarkStart w:id="4" w:name="_Toc55463702"/>
      <w:r>
        <w:lastRenderedPageBreak/>
        <w:t>Company Information</w:t>
      </w:r>
      <w:bookmarkEnd w:id="4"/>
    </w:p>
    <w:p w14:paraId="7243E97F" w14:textId="3A13DCF5" w:rsidR="0079283B" w:rsidRDefault="005C41D4">
      <w:pPr>
        <w:pStyle w:val="TableText"/>
      </w:pPr>
      <w:sdt>
        <w:sdtPr>
          <w:alias w:val="Company"/>
          <w:tag w:val=""/>
          <w:id w:val="1877888041"/>
          <w:placeholder>
            <w:docPart w:val="3F9D4589B26042F5B1802949269903C6"/>
          </w:placeholder>
          <w:dataBinding w:prefixMappings="xmlns:ns0='http://schemas.openxmlformats.org/officeDocument/2006/extended-properties' " w:xpath="/ns0:Properties[1]/ns0:Company[1]" w:storeItemID="{6668398D-A668-4E3E-A5EB-62B293D839F1}"/>
          <w:text/>
        </w:sdtPr>
        <w:sdtEndPr/>
        <w:sdtContent>
          <w:r w:rsidR="00D3156E">
            <w:t>Reliable Energy Analytics LLC</w:t>
          </w:r>
        </w:sdtContent>
      </w:sdt>
    </w:p>
    <w:p w14:paraId="32619F2E" w14:textId="1E6F243D" w:rsidR="0079283B" w:rsidRDefault="005C41D4">
      <w:pPr>
        <w:pStyle w:val="TableText"/>
      </w:pPr>
      <w:sdt>
        <w:sdtPr>
          <w:alias w:val="Street Address"/>
          <w:tag w:val="Street Address"/>
          <w:id w:val="84583310"/>
          <w:placeholder>
            <w:docPart w:val="78DB481CA00441C0A7227CED38B4B4F1"/>
          </w:placeholder>
          <w:dataBinding w:prefixMappings="xmlns:ns0='http://schemas.microsoft.com/office/2006/coverPageProps' " w:xpath="/ns0:CoverPageProperties[1]/ns0:CompanyAddress[1]" w:storeItemID="{55AF091B-3C7A-41E3-B477-F2FDAA23CFDA}"/>
          <w:text w:multiLine="1"/>
        </w:sdtPr>
        <w:sdtEndPr/>
        <w:sdtContent>
          <w:r w:rsidR="00D3156E">
            <w:t>Dick Brooks</w:t>
          </w:r>
        </w:sdtContent>
      </w:sdt>
    </w:p>
    <w:p w14:paraId="016C33C3" w14:textId="57E59C25" w:rsidR="0079283B" w:rsidRDefault="005C41D4">
      <w:pPr>
        <w:pStyle w:val="TableText"/>
      </w:pPr>
      <w:sdt>
        <w:sdtPr>
          <w:alias w:val="Website"/>
          <w:tag w:val="Website"/>
          <w:id w:val="211319655"/>
          <w:placeholder>
            <w:docPart w:val="55884968C6BC438D82E77BE653C92CB4"/>
          </w:placeholder>
          <w:dataBinding w:prefixMappings="xmlns:ns0='http://purl.org/dc/elements/1.1/' xmlns:ns1='http://schemas.openxmlformats.org/package/2006/metadata/core-properties' " w:xpath="/ns1:coreProperties[1]/ns1:keywords[1]" w:storeItemID="{6C3C8BC8-F283-45AE-878A-BAB7291924A1}"/>
          <w:text/>
        </w:sdtPr>
        <w:sdtEndPr/>
        <w:sdtContent>
          <w:r w:rsidR="00D3156E">
            <w:t>https:/reliableenergyanalytics.com</w:t>
          </w:r>
        </w:sdtContent>
      </w:sdt>
    </w:p>
    <w:p w14:paraId="2F0A7364" w14:textId="5010D7AD" w:rsidR="0079283B" w:rsidRDefault="00D3156E">
      <w:pPr>
        <w:pStyle w:val="TableText"/>
        <w:spacing w:before="480"/>
      </w:pPr>
      <w:r>
        <w:rPr>
          <w:noProof/>
        </w:rPr>
        <w:drawing>
          <wp:inline distT="0" distB="0" distL="0" distR="0" wp14:anchorId="312EE3C9" wp14:editId="1FF776E7">
            <wp:extent cx="2233448"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2254676" cy="480777"/>
                    </a:xfrm>
                    <a:prstGeom prst="rect">
                      <a:avLst/>
                    </a:prstGeom>
                  </pic:spPr>
                </pic:pic>
              </a:graphicData>
            </a:graphic>
          </wp:inline>
        </w:drawing>
      </w:r>
    </w:p>
    <w:sectPr w:rsidR="0079283B">
      <w:headerReference w:type="even" r:id="rId18"/>
      <w:headerReference w:type="default" r:id="rId19"/>
      <w:footerReference w:type="default" r:id="rId20"/>
      <w:headerReference w:type="first" r:id="rId21"/>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8BB9" w14:textId="77777777" w:rsidR="005C41D4" w:rsidRDefault="005C41D4">
      <w:pPr>
        <w:spacing w:after="0" w:line="240" w:lineRule="auto"/>
      </w:pPr>
      <w:r>
        <w:separator/>
      </w:r>
    </w:p>
  </w:endnote>
  <w:endnote w:type="continuationSeparator" w:id="0">
    <w:p w14:paraId="12B828F5" w14:textId="77777777" w:rsidR="005C41D4" w:rsidRDefault="005C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900731"/>
      <w:docPartObj>
        <w:docPartGallery w:val="Page Numbers (Bottom of Page)"/>
        <w:docPartUnique/>
      </w:docPartObj>
    </w:sdtPr>
    <w:sdtEndPr>
      <w:rPr>
        <w:noProof/>
      </w:rPr>
    </w:sdtEndPr>
    <w:sdtContent>
      <w:p w14:paraId="540B434F" w14:textId="666E577A" w:rsidR="00D93166" w:rsidRDefault="00D93166">
        <w:pPr>
          <w:pStyle w:val="Footer"/>
        </w:pPr>
        <w:r>
          <w:fldChar w:fldCharType="begin"/>
        </w:r>
        <w:r>
          <w:instrText xml:space="preserve"> PAGE   \* MERGEFORMAT </w:instrText>
        </w:r>
        <w:r>
          <w:fldChar w:fldCharType="separate"/>
        </w:r>
        <w:r>
          <w:rPr>
            <w:noProof/>
          </w:rPr>
          <w:t>2</w:t>
        </w:r>
        <w:r>
          <w:rPr>
            <w:noProof/>
          </w:rPr>
          <w:fldChar w:fldCharType="end"/>
        </w:r>
      </w:p>
    </w:sdtContent>
  </w:sdt>
  <w:p w14:paraId="0A200120" w14:textId="77777777" w:rsidR="00477EC4" w:rsidRDefault="00477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398A" w14:textId="4BF4CE69" w:rsidR="00BF3953" w:rsidRDefault="00BF3953">
    <w:pPr>
      <w:pStyle w:val="Footer"/>
      <w:jc w:val="center"/>
    </w:pPr>
    <w:r>
      <w:t>Copyright and all other rights reserved 2020 CONFIDENTIAL PROPERTY OF Reliable Energy Analytics LLC</w:t>
    </w:r>
  </w:p>
  <w:sdt>
    <w:sdtPr>
      <w:id w:val="-145520099"/>
      <w:docPartObj>
        <w:docPartGallery w:val="Page Numbers (Bottom of Page)"/>
        <w:docPartUnique/>
      </w:docPartObj>
    </w:sdtPr>
    <w:sdtEndPr>
      <w:rPr>
        <w:noProof/>
      </w:rPr>
    </w:sdtEndPr>
    <w:sdtContent>
      <w:p w14:paraId="0F88B95D" w14:textId="70C638B4" w:rsidR="00D93166" w:rsidRDefault="00D931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F7FD4" w14:textId="18FBC9F1" w:rsidR="00477EC4" w:rsidRDefault="00477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0662" w14:textId="77777777" w:rsidR="005C41D4" w:rsidRDefault="005C41D4">
      <w:pPr>
        <w:spacing w:after="0" w:line="240" w:lineRule="auto"/>
      </w:pPr>
      <w:r>
        <w:separator/>
      </w:r>
    </w:p>
  </w:footnote>
  <w:footnote w:type="continuationSeparator" w:id="0">
    <w:p w14:paraId="0FB5C14E" w14:textId="77777777" w:rsidR="005C41D4" w:rsidRDefault="005C41D4">
      <w:pPr>
        <w:spacing w:after="0" w:line="240" w:lineRule="auto"/>
      </w:pPr>
      <w:r>
        <w:continuationSeparator/>
      </w:r>
    </w:p>
  </w:footnote>
  <w:footnote w:id="1">
    <w:p w14:paraId="3F67BED0" w14:textId="345EF880" w:rsidR="00477EC4" w:rsidRDefault="00477EC4" w:rsidP="00BE3F0B">
      <w:pPr>
        <w:autoSpaceDE w:val="0"/>
        <w:autoSpaceDN w:val="0"/>
        <w:adjustRightInd w:val="0"/>
        <w:spacing w:before="0" w:after="0" w:line="240" w:lineRule="auto"/>
        <w:rPr>
          <w:rFonts w:ascii="Times New Roman" w:hAnsi="Times New Roman" w:cs="Times New Roman"/>
          <w:kern w:val="0"/>
          <w:sz w:val="26"/>
          <w:szCs w:val="26"/>
        </w:rPr>
      </w:pPr>
      <w:r>
        <w:rPr>
          <w:rStyle w:val="FootnoteReference"/>
        </w:rPr>
        <w:footnoteRef/>
      </w:r>
      <w:r>
        <w:t xml:space="preserve"> </w:t>
      </w:r>
      <w:r>
        <w:rPr>
          <w:rFonts w:ascii="Times New Roman" w:hAnsi="Times New Roman" w:cs="Times New Roman"/>
          <w:kern w:val="0"/>
          <w:sz w:val="26"/>
          <w:szCs w:val="26"/>
        </w:rPr>
        <w:t>18 CFR Part 35 [Docket Nos. RM16-23-000; AD16-20-000; Order No. 841]</w:t>
      </w:r>
    </w:p>
    <w:p w14:paraId="0A100ACE" w14:textId="77777777" w:rsidR="00477EC4" w:rsidRDefault="00477EC4" w:rsidP="00BE3F0B">
      <w:pPr>
        <w:autoSpaceDE w:val="0"/>
        <w:autoSpaceDN w:val="0"/>
        <w:adjustRightInd w:val="0"/>
        <w:spacing w:before="0" w:after="0" w:line="240" w:lineRule="auto"/>
        <w:rPr>
          <w:rFonts w:ascii="Times New Roman" w:hAnsi="Times New Roman" w:cs="Times New Roman"/>
          <w:kern w:val="0"/>
          <w:sz w:val="26"/>
          <w:szCs w:val="26"/>
        </w:rPr>
      </w:pPr>
      <w:r>
        <w:rPr>
          <w:rFonts w:ascii="Times New Roman" w:hAnsi="Times New Roman" w:cs="Times New Roman"/>
          <w:kern w:val="0"/>
          <w:sz w:val="26"/>
          <w:szCs w:val="26"/>
        </w:rPr>
        <w:t>Electric Storage Participation in Markets Operated by Regional Transmission</w:t>
      </w:r>
    </w:p>
    <w:p w14:paraId="0FC0E2FC" w14:textId="5A46DA8A" w:rsidR="00477EC4" w:rsidRDefault="00477EC4" w:rsidP="00BE3F0B">
      <w:pPr>
        <w:autoSpaceDE w:val="0"/>
        <w:autoSpaceDN w:val="0"/>
        <w:adjustRightInd w:val="0"/>
        <w:spacing w:before="0" w:after="0" w:line="240" w:lineRule="auto"/>
      </w:pPr>
      <w:r>
        <w:rPr>
          <w:rFonts w:ascii="Times New Roman" w:hAnsi="Times New Roman" w:cs="Times New Roman"/>
          <w:kern w:val="0"/>
          <w:sz w:val="26"/>
          <w:szCs w:val="26"/>
        </w:rPr>
        <w:t>Organizations and Independent System Operators (Issued February 15, 2018)</w:t>
      </w:r>
    </w:p>
  </w:footnote>
  <w:footnote w:id="2">
    <w:p w14:paraId="463762D5" w14:textId="5D67C501" w:rsidR="00477EC4" w:rsidRPr="003D751F" w:rsidRDefault="00477EC4" w:rsidP="003D751F">
      <w:pPr>
        <w:pStyle w:val="Default"/>
        <w:rPr>
          <w:rFonts w:ascii="Times New Roman" w:hAnsi="Times New Roman" w:cs="Times New Roman"/>
          <w:sz w:val="26"/>
          <w:szCs w:val="26"/>
        </w:rPr>
      </w:pPr>
      <w:r>
        <w:rPr>
          <w:rStyle w:val="FootnoteReference"/>
        </w:rPr>
        <w:footnoteRef/>
      </w:r>
      <w:r>
        <w:t xml:space="preserve"> </w:t>
      </w:r>
      <w:r w:rsidRPr="003D751F">
        <w:rPr>
          <w:rFonts w:ascii="Times New Roman" w:hAnsi="Times New Roman" w:cs="Times New Roman"/>
          <w:sz w:val="26"/>
          <w:szCs w:val="26"/>
        </w:rPr>
        <w:t xml:space="preserve">18 CFR Part 35 [Docket No. RM18-9-000; Order No. 2222] Participation of Distributed Energy Resource Aggregations in Markets Operated by Regional </w:t>
      </w:r>
    </w:p>
    <w:p w14:paraId="547A8306" w14:textId="55E919AB" w:rsidR="00477EC4" w:rsidRDefault="00477EC4" w:rsidP="003D751F">
      <w:pPr>
        <w:autoSpaceDE w:val="0"/>
        <w:autoSpaceDN w:val="0"/>
        <w:adjustRightInd w:val="0"/>
        <w:spacing w:before="0" w:after="0" w:line="240" w:lineRule="auto"/>
      </w:pPr>
      <w:r w:rsidRPr="003D751F">
        <w:rPr>
          <w:rFonts w:ascii="Times New Roman" w:hAnsi="Times New Roman" w:cs="Times New Roman"/>
          <w:color w:val="000000"/>
          <w:kern w:val="0"/>
          <w:sz w:val="26"/>
          <w:szCs w:val="26"/>
        </w:rPr>
        <w:t>Transmission Organizations and Independent System Operators (September 17,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F1E4" w14:textId="434C34AF" w:rsidR="00477EC4" w:rsidRDefault="00477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6F53" w14:textId="5D8DE74D" w:rsidR="00477EC4" w:rsidRDefault="00477EC4">
    <w:pPr>
      <w:pStyle w:val="HeaderShaded"/>
      <w:tabs>
        <w:tab w:val="left" w:pos="5032"/>
      </w:tabs>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AE7F" w14:textId="0688A5C5" w:rsidR="00477EC4" w:rsidRDefault="00477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7F52" w14:textId="26E8229C" w:rsidR="00477EC4" w:rsidRDefault="00477E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A1A9" w14:textId="54EAE150" w:rsidR="00477EC4" w:rsidRDefault="00477EC4">
    <w:pPr>
      <w:pStyle w:val="HeaderShaded"/>
    </w:pPr>
    <w:r>
      <w:fldChar w:fldCharType="begin"/>
    </w:r>
    <w:r>
      <w:instrText xml:space="preserve"> If </w:instrText>
    </w:r>
    <w:r w:rsidR="005C41D4">
      <w:fldChar w:fldCharType="begin"/>
    </w:r>
    <w:r w:rsidR="005C41D4">
      <w:instrText xml:space="preserve"> STYLEREF “Heading 1”  </w:instrText>
    </w:r>
    <w:r w:rsidR="005C41D4">
      <w:fldChar w:fldCharType="separate"/>
    </w:r>
    <w:r w:rsidR="009D6272">
      <w:rPr>
        <w:noProof/>
      </w:rPr>
      <w:instrText>Company Information</w:instrText>
    </w:r>
    <w:r w:rsidR="005C41D4">
      <w:rPr>
        <w:noProof/>
      </w:rPr>
      <w:fldChar w:fldCharType="end"/>
    </w:r>
    <w:r>
      <w:instrText>&lt;&gt; “Error*” “</w:instrText>
    </w:r>
    <w:r>
      <w:fldChar w:fldCharType="begin"/>
    </w:r>
    <w:r>
      <w:instrText xml:space="preserve"> STYLEREF “Heading 1”</w:instrText>
    </w:r>
    <w:r>
      <w:fldChar w:fldCharType="separate"/>
    </w:r>
    <w:r w:rsidR="009D6272">
      <w:rPr>
        <w:noProof/>
      </w:rPr>
      <w:instrText>Company Information</w:instrText>
    </w:r>
    <w:r>
      <w:rPr>
        <w:noProof/>
      </w:rPr>
      <w:fldChar w:fldCharType="end"/>
    </w:r>
    <w:r>
      <w:fldChar w:fldCharType="separate"/>
    </w:r>
    <w:r w:rsidR="009D6272">
      <w:rPr>
        <w:noProof/>
      </w:rPr>
      <w:t>Company Information</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F8F0" w14:textId="27EF6AFD" w:rsidR="00477EC4" w:rsidRDefault="0047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7E7688"/>
    <w:multiLevelType w:val="hybridMultilevel"/>
    <w:tmpl w:val="0BF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6E"/>
    <w:rsid w:val="0002608F"/>
    <w:rsid w:val="00062A36"/>
    <w:rsid w:val="000756A8"/>
    <w:rsid w:val="001757E6"/>
    <w:rsid w:val="0018639A"/>
    <w:rsid w:val="001D1378"/>
    <w:rsid w:val="001E1B95"/>
    <w:rsid w:val="002070BD"/>
    <w:rsid w:val="00221ACC"/>
    <w:rsid w:val="00262C8D"/>
    <w:rsid w:val="002705EF"/>
    <w:rsid w:val="002D5CDE"/>
    <w:rsid w:val="00303F6B"/>
    <w:rsid w:val="00351BFB"/>
    <w:rsid w:val="003852D9"/>
    <w:rsid w:val="0039064C"/>
    <w:rsid w:val="003D751F"/>
    <w:rsid w:val="00440E88"/>
    <w:rsid w:val="00452CD2"/>
    <w:rsid w:val="00477EC4"/>
    <w:rsid w:val="00487ACA"/>
    <w:rsid w:val="00517647"/>
    <w:rsid w:val="005742C9"/>
    <w:rsid w:val="005B3784"/>
    <w:rsid w:val="005C41D4"/>
    <w:rsid w:val="00672468"/>
    <w:rsid w:val="00747F6D"/>
    <w:rsid w:val="00782FA9"/>
    <w:rsid w:val="0079283B"/>
    <w:rsid w:val="007D1EFE"/>
    <w:rsid w:val="007F694F"/>
    <w:rsid w:val="0086440F"/>
    <w:rsid w:val="008675D6"/>
    <w:rsid w:val="008E08A3"/>
    <w:rsid w:val="008E2494"/>
    <w:rsid w:val="009D6272"/>
    <w:rsid w:val="00A42864"/>
    <w:rsid w:val="00AD4CD6"/>
    <w:rsid w:val="00AF70C7"/>
    <w:rsid w:val="00B0553D"/>
    <w:rsid w:val="00B32ECB"/>
    <w:rsid w:val="00B673D0"/>
    <w:rsid w:val="00BE3F0B"/>
    <w:rsid w:val="00BF3953"/>
    <w:rsid w:val="00C83346"/>
    <w:rsid w:val="00CE168C"/>
    <w:rsid w:val="00D3156E"/>
    <w:rsid w:val="00D331C1"/>
    <w:rsid w:val="00D93166"/>
    <w:rsid w:val="00EB007B"/>
    <w:rsid w:val="00F230FD"/>
    <w:rsid w:val="00FD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DC98F"/>
  <w15:docId w15:val="{9F0700A8-AB3A-4265-AE96-40907A1B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Default">
    <w:name w:val="Default"/>
    <w:rsid w:val="00F230FD"/>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9D4589B26042F5B1802949269903C6"/>
        <w:category>
          <w:name w:val="General"/>
          <w:gallery w:val="placeholder"/>
        </w:category>
        <w:types>
          <w:type w:val="bbPlcHdr"/>
        </w:types>
        <w:behaviors>
          <w:behavior w:val="content"/>
        </w:behaviors>
        <w:guid w:val="{86A93E03-09F4-498E-875E-906797E48F31}"/>
      </w:docPartPr>
      <w:docPartBody>
        <w:p w:rsidR="005F11F3" w:rsidRDefault="0082085D">
          <w:pPr>
            <w:pStyle w:val="3F9D4589B26042F5B1802949269903C6"/>
          </w:pPr>
          <w:r>
            <w:t>[Company]</w:t>
          </w:r>
        </w:p>
      </w:docPartBody>
    </w:docPart>
    <w:docPart>
      <w:docPartPr>
        <w:name w:val="78DB481CA00441C0A7227CED38B4B4F1"/>
        <w:category>
          <w:name w:val="General"/>
          <w:gallery w:val="placeholder"/>
        </w:category>
        <w:types>
          <w:type w:val="bbPlcHdr"/>
        </w:types>
        <w:behaviors>
          <w:behavior w:val="content"/>
        </w:behaviors>
        <w:guid w:val="{1023759B-0368-4501-8BB3-F5F91A65C96F}"/>
      </w:docPartPr>
      <w:docPartBody>
        <w:p w:rsidR="005F11F3" w:rsidRDefault="0082085D">
          <w:pPr>
            <w:pStyle w:val="78DB481CA00441C0A7227CED38B4B4F1"/>
          </w:pPr>
          <w:r>
            <w:t>[Street Address, City, ST ZIP Code]</w:t>
          </w:r>
        </w:p>
      </w:docPartBody>
    </w:docPart>
    <w:docPart>
      <w:docPartPr>
        <w:name w:val="55884968C6BC438D82E77BE653C92CB4"/>
        <w:category>
          <w:name w:val="General"/>
          <w:gallery w:val="placeholder"/>
        </w:category>
        <w:types>
          <w:type w:val="bbPlcHdr"/>
        </w:types>
        <w:behaviors>
          <w:behavior w:val="content"/>
        </w:behaviors>
        <w:guid w:val="{36B7078E-3CAF-4B17-8685-D425605CA519}"/>
      </w:docPartPr>
      <w:docPartBody>
        <w:p w:rsidR="005F11F3" w:rsidRDefault="0082085D">
          <w:pPr>
            <w:pStyle w:val="55884968C6BC438D82E77BE653C92CB4"/>
          </w:pPr>
          <w:r>
            <w:t>[Website]</w:t>
          </w:r>
        </w:p>
      </w:docPartBody>
    </w:docPart>
    <w:docPart>
      <w:docPartPr>
        <w:name w:val="18FE4E425BA34B3AA6E7CE59631AC81D"/>
        <w:category>
          <w:name w:val="General"/>
          <w:gallery w:val="placeholder"/>
        </w:category>
        <w:types>
          <w:type w:val="bbPlcHdr"/>
        </w:types>
        <w:behaviors>
          <w:behavior w:val="content"/>
        </w:behaviors>
        <w:guid w:val="{16FA0EA7-B638-475F-BB37-FE8E2A00B8AF}"/>
      </w:docPartPr>
      <w:docPartBody>
        <w:p w:rsidR="005F11F3" w:rsidRDefault="0082085D">
          <w:pPr>
            <w:pStyle w:val="18FE4E425BA34B3AA6E7CE59631AC81D"/>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12"/>
    <w:rsid w:val="00035412"/>
    <w:rsid w:val="00167127"/>
    <w:rsid w:val="00186602"/>
    <w:rsid w:val="00212B00"/>
    <w:rsid w:val="005F11F3"/>
    <w:rsid w:val="0082085D"/>
    <w:rsid w:val="00C15007"/>
    <w:rsid w:val="00CA631B"/>
    <w:rsid w:val="00D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3F9D4589B26042F5B1802949269903C6">
    <w:name w:val="3F9D4589B26042F5B1802949269903C6"/>
  </w:style>
  <w:style w:type="paragraph" w:customStyle="1" w:styleId="78DB481CA00441C0A7227CED38B4B4F1">
    <w:name w:val="78DB481CA00441C0A7227CED38B4B4F1"/>
  </w:style>
  <w:style w:type="paragraph" w:customStyle="1" w:styleId="55884968C6BC438D82E77BE653C92CB4">
    <w:name w:val="55884968C6BC438D82E77BE653C92CB4"/>
  </w:style>
  <w:style w:type="paragraph" w:customStyle="1" w:styleId="18FE4E425BA34B3AA6E7CE59631AC81D">
    <w:name w:val="18FE4E425BA34B3AA6E7CE59631AC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Dick Brooks</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09B524DA-A575-46BB-8E6F-20F5F8EC39A1}">
  <ds:schemaRefs>
    <ds:schemaRef ds:uri="http://schemas.openxmlformats.org/officeDocument/2006/bibliography"/>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TimelessReport</Template>
  <TotalTime>110</TotalTime>
  <Pages>9</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Battery Task Force work paper</vt:lpstr>
    </vt:vector>
  </TitlesOfParts>
  <Company>Reliable Energy Analytics LLC</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 Task Force work paper</dc:title>
  <dc:creator>Dick Brooks</dc:creator>
  <cp:keywords>https:/reliableenergyanalytics.com</cp:keywords>
  <cp:lastModifiedBy>Richard Brooks</cp:lastModifiedBy>
  <cp:revision>16</cp:revision>
  <cp:lastPrinted>2020-11-05T15:16:00Z</cp:lastPrinted>
  <dcterms:created xsi:type="dcterms:W3CDTF">2020-11-04T22:47:00Z</dcterms:created>
  <dcterms:modified xsi:type="dcterms:W3CDTF">2020-11-07T14:12:00Z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