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AE" w:rsidRDefault="00A81B65">
      <w:r>
        <w:t>Battery Index Standard</w:t>
      </w:r>
    </w:p>
    <w:p w:rsidR="00A81B65" w:rsidRDefault="0067592C">
      <w:r>
        <w:t>The proposed standards related to the Battery Index are a parallel index to that which applies to the Interstate pipelines and storage companies.  It is intended t</w:t>
      </w:r>
      <w:r w:rsidR="00A81B65">
        <w:t>o facilitate transparency and reliable information for planning, assessment and contracting purposes, there should be an index of battery facilities that are wholesale electric market participants (hereafter referred to as Battery-WEMPs).</w:t>
      </w:r>
    </w:p>
    <w:p w:rsidR="0067592C" w:rsidRDefault="0067592C">
      <w:r>
        <w:t>To be effective, the index has to constructs.  First an index of the location, owner/operator and facility’s physical attributes.  Second would be a contractual index outlining the contractual attributes associated with the facility’s Facility Attributes of the B-WEMPs (set forth below).</w:t>
      </w:r>
    </w:p>
    <w:p w:rsidR="00A81B65" w:rsidRDefault="0067592C">
      <w:r>
        <w:t>The combination of such indexes</w:t>
      </w:r>
      <w:r w:rsidR="00A81B65">
        <w:t xml:space="preserve"> would provide the ability to present pertinent contract performance attributes associated with Battery-WEMPs.  Standardized attributes will promote contracting, </w:t>
      </w:r>
      <w:r>
        <w:t xml:space="preserve">of such attributes and facilitate </w:t>
      </w:r>
      <w:r w:rsidR="00A81B65">
        <w:t>development and associated financing of Battery WEMPs. [detailed benefits to follow and be provided through the record developed in the standards development process]</w:t>
      </w:r>
    </w:p>
    <w:p w:rsidR="00A81B65" w:rsidRDefault="00A81B65">
      <w:r>
        <w:t>Examples of useful data elements setting forth Battery facility physical attributes</w:t>
      </w:r>
      <w:r w:rsidR="0067592C">
        <w:t xml:space="preserve"> are set forth below.  Once fully vetted and determined, it will be a natural </w:t>
      </w:r>
      <w:r w:rsidR="00761BC7">
        <w:t xml:space="preserve">progression to identifying the contractual attributes </w:t>
      </w:r>
      <w:r>
        <w:t>that can be referred to, in whole or in part in contracts for service(s) from such Battery facilities.</w:t>
      </w:r>
      <w:r w:rsidR="00761BC7">
        <w:t xml:space="preserve">  Note such contractual attributes should be kept in mind when developing the physical attributes, and would necessarily follow Facility Attribute determinations.</w:t>
      </w:r>
    </w:p>
    <w:p w:rsidR="00761BC7" w:rsidRDefault="00761BC7">
      <w:r>
        <w:t>Facility Attribute sample data elements: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75139" w:rsidTr="00475139">
        <w:tc>
          <w:tcPr>
            <w:tcW w:w="3192" w:type="dxa"/>
          </w:tcPr>
          <w:p w:rsidR="00475139" w:rsidRDefault="00475139">
            <w:r>
              <w:t>Data Element Type</w:t>
            </w:r>
          </w:p>
        </w:tc>
        <w:tc>
          <w:tcPr>
            <w:tcW w:w="3192" w:type="dxa"/>
          </w:tcPr>
          <w:p w:rsidR="00475139" w:rsidRDefault="00475139" w:rsidP="00475139">
            <w:r>
              <w:t xml:space="preserve">Related Data Element Component </w:t>
            </w:r>
          </w:p>
        </w:tc>
        <w:tc>
          <w:tcPr>
            <w:tcW w:w="3192" w:type="dxa"/>
          </w:tcPr>
          <w:p w:rsidR="00475139" w:rsidRDefault="00475139">
            <w:r>
              <w:t>Sample Definition/Description</w:t>
            </w:r>
          </w:p>
        </w:tc>
      </w:tr>
      <w:tr w:rsidR="00475139" w:rsidTr="00475139">
        <w:tc>
          <w:tcPr>
            <w:tcW w:w="3192" w:type="dxa"/>
          </w:tcPr>
          <w:p w:rsidR="00475139" w:rsidRDefault="00475139">
            <w:r>
              <w:t>Location</w:t>
            </w:r>
          </w:p>
        </w:tc>
        <w:tc>
          <w:tcPr>
            <w:tcW w:w="3192" w:type="dxa"/>
          </w:tcPr>
          <w:p w:rsidR="00475139" w:rsidRDefault="00475139">
            <w:r>
              <w:t>Location Name</w:t>
            </w:r>
          </w:p>
        </w:tc>
        <w:tc>
          <w:tcPr>
            <w:tcW w:w="3192" w:type="dxa"/>
          </w:tcPr>
          <w:p w:rsidR="00475139" w:rsidRDefault="00475139" w:rsidP="00475139">
            <w:r>
              <w:t>A unique location name assigned by the Location owner</w:t>
            </w:r>
          </w:p>
        </w:tc>
      </w:tr>
      <w:tr w:rsidR="00475139" w:rsidTr="00475139">
        <w:tc>
          <w:tcPr>
            <w:tcW w:w="3192" w:type="dxa"/>
          </w:tcPr>
          <w:p w:rsidR="00475139" w:rsidRDefault="00475139">
            <w:r>
              <w:t>Location</w:t>
            </w:r>
          </w:p>
        </w:tc>
        <w:tc>
          <w:tcPr>
            <w:tcW w:w="3192" w:type="dxa"/>
          </w:tcPr>
          <w:p w:rsidR="00475139" w:rsidRDefault="00475139">
            <w:r>
              <w:t>State, County</w:t>
            </w:r>
          </w:p>
        </w:tc>
        <w:tc>
          <w:tcPr>
            <w:tcW w:w="3192" w:type="dxa"/>
          </w:tcPr>
          <w:p w:rsidR="00475139" w:rsidRDefault="00475139">
            <w:r>
              <w:t>Code or standardized text</w:t>
            </w:r>
          </w:p>
        </w:tc>
      </w:tr>
      <w:tr w:rsidR="00475139" w:rsidTr="00475139">
        <w:tc>
          <w:tcPr>
            <w:tcW w:w="3192" w:type="dxa"/>
          </w:tcPr>
          <w:p w:rsidR="00475139" w:rsidRDefault="00475139">
            <w:r>
              <w:t>Location</w:t>
            </w:r>
          </w:p>
        </w:tc>
        <w:tc>
          <w:tcPr>
            <w:tcW w:w="3192" w:type="dxa"/>
          </w:tcPr>
          <w:p w:rsidR="00475139" w:rsidRDefault="00475139" w:rsidP="00475139">
            <w:r>
              <w:t>OASIS code</w:t>
            </w:r>
          </w:p>
        </w:tc>
        <w:tc>
          <w:tcPr>
            <w:tcW w:w="3192" w:type="dxa"/>
          </w:tcPr>
          <w:p w:rsidR="00475139" w:rsidRDefault="00475139"/>
        </w:tc>
      </w:tr>
      <w:tr w:rsidR="00475139" w:rsidTr="00475139">
        <w:tc>
          <w:tcPr>
            <w:tcW w:w="3192" w:type="dxa"/>
          </w:tcPr>
          <w:p w:rsidR="00475139" w:rsidRDefault="00475139">
            <w:r>
              <w:t>Location</w:t>
            </w:r>
          </w:p>
        </w:tc>
        <w:tc>
          <w:tcPr>
            <w:tcW w:w="3192" w:type="dxa"/>
          </w:tcPr>
          <w:p w:rsidR="00475139" w:rsidRDefault="00475139">
            <w:r>
              <w:t>ISO and Balancing Authority</w:t>
            </w:r>
          </w:p>
        </w:tc>
        <w:tc>
          <w:tcPr>
            <w:tcW w:w="3192" w:type="dxa"/>
          </w:tcPr>
          <w:p w:rsidR="00475139" w:rsidRDefault="00475139">
            <w:r>
              <w:t>Code(s) or standardized text</w:t>
            </w:r>
          </w:p>
        </w:tc>
      </w:tr>
      <w:tr w:rsidR="00475139" w:rsidTr="00475139">
        <w:tc>
          <w:tcPr>
            <w:tcW w:w="3192" w:type="dxa"/>
          </w:tcPr>
          <w:p w:rsidR="00475139" w:rsidRDefault="00475139">
            <w:r>
              <w:t>Location</w:t>
            </w:r>
          </w:p>
        </w:tc>
        <w:tc>
          <w:tcPr>
            <w:tcW w:w="3192" w:type="dxa"/>
          </w:tcPr>
          <w:p w:rsidR="00475139" w:rsidRDefault="00475139" w:rsidP="00475139">
            <w:r>
              <w:t>Unique Facility Code</w:t>
            </w:r>
          </w:p>
        </w:tc>
        <w:tc>
          <w:tcPr>
            <w:tcW w:w="3192" w:type="dxa"/>
          </w:tcPr>
          <w:p w:rsidR="00475139" w:rsidRDefault="00475139">
            <w:r>
              <w:t>A unique code</w:t>
            </w:r>
          </w:p>
        </w:tc>
      </w:tr>
      <w:tr w:rsidR="00475139" w:rsidTr="00475139">
        <w:tc>
          <w:tcPr>
            <w:tcW w:w="3192" w:type="dxa"/>
          </w:tcPr>
          <w:p w:rsidR="00475139" w:rsidRDefault="00475139">
            <w:r>
              <w:t>Location Operator</w:t>
            </w:r>
          </w:p>
        </w:tc>
        <w:tc>
          <w:tcPr>
            <w:tcW w:w="3192" w:type="dxa"/>
          </w:tcPr>
          <w:p w:rsidR="00475139" w:rsidRDefault="00475139">
            <w:r>
              <w:t>Identity of Location Operator name</w:t>
            </w:r>
          </w:p>
        </w:tc>
        <w:tc>
          <w:tcPr>
            <w:tcW w:w="3192" w:type="dxa"/>
          </w:tcPr>
          <w:p w:rsidR="00475139" w:rsidRDefault="00475139">
            <w:r>
              <w:t>Entity responsible for operational coordination with ISO/Balancing Authority</w:t>
            </w:r>
          </w:p>
        </w:tc>
      </w:tr>
      <w:tr w:rsidR="00475139" w:rsidTr="00475139">
        <w:tc>
          <w:tcPr>
            <w:tcW w:w="3192" w:type="dxa"/>
          </w:tcPr>
          <w:p w:rsidR="00475139" w:rsidRDefault="00DE1AD7">
            <w:r>
              <w:t>Facility Entity Attributes</w:t>
            </w:r>
          </w:p>
        </w:tc>
        <w:tc>
          <w:tcPr>
            <w:tcW w:w="3192" w:type="dxa"/>
          </w:tcPr>
          <w:p w:rsidR="00475139" w:rsidRDefault="00DE1AD7">
            <w:r>
              <w:t>Contract Entity</w:t>
            </w:r>
          </w:p>
        </w:tc>
        <w:tc>
          <w:tcPr>
            <w:tcW w:w="3192" w:type="dxa"/>
          </w:tcPr>
          <w:p w:rsidR="00475139" w:rsidRDefault="00DE1AD7">
            <w:r>
              <w:t>Identity of Location Owner or Entity designated by Location Owner with which contracts are administered</w:t>
            </w:r>
          </w:p>
        </w:tc>
      </w:tr>
      <w:tr w:rsidR="00DE1AD7" w:rsidTr="00475139">
        <w:tc>
          <w:tcPr>
            <w:tcW w:w="3192" w:type="dxa"/>
          </w:tcPr>
          <w:p w:rsidR="00DE1AD7" w:rsidRDefault="00DE1AD7" w:rsidP="00DE1AD7">
            <w:r>
              <w:t>Facility Attributes</w:t>
            </w:r>
          </w:p>
        </w:tc>
        <w:tc>
          <w:tcPr>
            <w:tcW w:w="3192" w:type="dxa"/>
          </w:tcPr>
          <w:p w:rsidR="00DE1AD7" w:rsidRDefault="00DE1AD7">
            <w:r>
              <w:t>Facility Storage Capacity</w:t>
            </w:r>
          </w:p>
        </w:tc>
        <w:tc>
          <w:tcPr>
            <w:tcW w:w="3192" w:type="dxa"/>
          </w:tcPr>
          <w:p w:rsidR="00DE1AD7" w:rsidRDefault="00DE1AD7">
            <w:r>
              <w:t>Total Energy in MWH which can be discharged and recharged and contractually committed to the Wholesale Electric Market (WEM)</w:t>
            </w:r>
          </w:p>
        </w:tc>
      </w:tr>
      <w:tr w:rsidR="00DE1AD7" w:rsidTr="00475139">
        <w:tc>
          <w:tcPr>
            <w:tcW w:w="3192" w:type="dxa"/>
          </w:tcPr>
          <w:p w:rsidR="00DE1AD7" w:rsidRDefault="00DE1AD7" w:rsidP="00DE1AD7">
            <w:r>
              <w:t>Facility Attributes</w:t>
            </w:r>
          </w:p>
        </w:tc>
        <w:tc>
          <w:tcPr>
            <w:tcW w:w="3192" w:type="dxa"/>
          </w:tcPr>
          <w:p w:rsidR="00DE1AD7" w:rsidRDefault="00DE1AD7">
            <w:r>
              <w:t>Maximum Discharge Capacity</w:t>
            </w:r>
          </w:p>
        </w:tc>
        <w:tc>
          <w:tcPr>
            <w:tcW w:w="3192" w:type="dxa"/>
          </w:tcPr>
          <w:p w:rsidR="00DE1AD7" w:rsidRDefault="00DE1AD7">
            <w:r>
              <w:t>The Maximum MW of instantaneous discharge the</w:t>
            </w:r>
            <w:r w:rsidR="002C634E">
              <w:t xml:space="preserve"> Facility can output</w:t>
            </w:r>
          </w:p>
        </w:tc>
      </w:tr>
      <w:tr w:rsidR="00DE1AD7" w:rsidTr="00475139">
        <w:tc>
          <w:tcPr>
            <w:tcW w:w="3192" w:type="dxa"/>
          </w:tcPr>
          <w:p w:rsidR="00DE1AD7" w:rsidRDefault="00DE1AD7" w:rsidP="00DE1AD7">
            <w:r>
              <w:t>Facility Attributes</w:t>
            </w:r>
          </w:p>
        </w:tc>
        <w:tc>
          <w:tcPr>
            <w:tcW w:w="3192" w:type="dxa"/>
          </w:tcPr>
          <w:p w:rsidR="00DE1AD7" w:rsidRDefault="00DE1AD7">
            <w:r>
              <w:t>Maximum Continuous Discharge Duration</w:t>
            </w:r>
            <w:r w:rsidR="002C634E">
              <w:t xml:space="preserve"> to Full Discharge</w:t>
            </w:r>
          </w:p>
        </w:tc>
        <w:tc>
          <w:tcPr>
            <w:tcW w:w="3192" w:type="dxa"/>
          </w:tcPr>
          <w:p w:rsidR="00DE1AD7" w:rsidRDefault="00DE1AD7" w:rsidP="002C634E">
            <w:r>
              <w:t xml:space="preserve">The </w:t>
            </w:r>
            <w:r w:rsidR="002C634E">
              <w:t xml:space="preserve">maximum </w:t>
            </w:r>
            <w:r>
              <w:t>length of time in hours:minutes:seconds that the Facility can continuously discharge</w:t>
            </w:r>
            <w:r w:rsidR="002C634E">
              <w:t>/output</w:t>
            </w:r>
            <w:r>
              <w:t xml:space="preserve"> at Maximum Discha</w:t>
            </w:r>
            <w:r w:rsidR="002C634E">
              <w:t>r</w:t>
            </w:r>
            <w:r>
              <w:t>ge level</w:t>
            </w:r>
          </w:p>
        </w:tc>
      </w:tr>
      <w:tr w:rsidR="00DE1AD7" w:rsidTr="00475139">
        <w:tc>
          <w:tcPr>
            <w:tcW w:w="3192" w:type="dxa"/>
          </w:tcPr>
          <w:p w:rsidR="00DE1AD7" w:rsidRDefault="00DE1AD7" w:rsidP="00DE1AD7">
            <w:r>
              <w:t>Facility Attributes</w:t>
            </w:r>
          </w:p>
        </w:tc>
        <w:tc>
          <w:tcPr>
            <w:tcW w:w="3192" w:type="dxa"/>
          </w:tcPr>
          <w:p w:rsidR="00DE1AD7" w:rsidRDefault="00DE1AD7">
            <w:r>
              <w:t>Ma</w:t>
            </w:r>
            <w:r w:rsidR="002C634E">
              <w:t>x</w:t>
            </w:r>
            <w:r>
              <w:t>imum Recharge Capacity</w:t>
            </w:r>
          </w:p>
        </w:tc>
        <w:tc>
          <w:tcPr>
            <w:tcW w:w="3192" w:type="dxa"/>
          </w:tcPr>
          <w:p w:rsidR="00DE1AD7" w:rsidRDefault="00DE1AD7" w:rsidP="002C634E">
            <w:r>
              <w:t>The Maximum</w:t>
            </w:r>
            <w:r w:rsidR="002C634E">
              <w:t xml:space="preserve"> MW of instantaneous recharge the Facility can absorb.</w:t>
            </w:r>
          </w:p>
        </w:tc>
      </w:tr>
      <w:tr w:rsidR="002C634E" w:rsidTr="00475139">
        <w:tc>
          <w:tcPr>
            <w:tcW w:w="3192" w:type="dxa"/>
          </w:tcPr>
          <w:p w:rsidR="002C634E" w:rsidRDefault="002C634E" w:rsidP="00DE1AD7">
            <w:r>
              <w:t>Facility Attributes</w:t>
            </w:r>
          </w:p>
        </w:tc>
        <w:tc>
          <w:tcPr>
            <w:tcW w:w="3192" w:type="dxa"/>
          </w:tcPr>
          <w:p w:rsidR="002C634E" w:rsidRDefault="002C634E" w:rsidP="002C634E">
            <w:r>
              <w:t>Minimum Continuous Recharge Duration to Full Recharge</w:t>
            </w:r>
          </w:p>
        </w:tc>
        <w:tc>
          <w:tcPr>
            <w:tcW w:w="3192" w:type="dxa"/>
          </w:tcPr>
          <w:p w:rsidR="002C634E" w:rsidRDefault="002C634E" w:rsidP="002C634E">
            <w:r>
              <w:t xml:space="preserve">The </w:t>
            </w:r>
            <w:r>
              <w:t xml:space="preserve">minimum </w:t>
            </w:r>
            <w:r>
              <w:t>length of time in</w:t>
            </w:r>
            <w:r>
              <w:t xml:space="preserve"> continuous </w:t>
            </w:r>
            <w:r>
              <w:t xml:space="preserve">hours:minutes:seconds that the Facility </w:t>
            </w:r>
            <w:r>
              <w:t xml:space="preserve">requires in order to be fully recharged from fully discharged </w:t>
            </w:r>
          </w:p>
        </w:tc>
      </w:tr>
      <w:tr w:rsidR="002C634E" w:rsidTr="00475139">
        <w:tc>
          <w:tcPr>
            <w:tcW w:w="3192" w:type="dxa"/>
          </w:tcPr>
          <w:p w:rsidR="002C634E" w:rsidRDefault="002C634E" w:rsidP="00DE1AD7">
            <w:r>
              <w:t>Facility Attributes</w:t>
            </w:r>
          </w:p>
        </w:tc>
        <w:tc>
          <w:tcPr>
            <w:tcW w:w="3192" w:type="dxa"/>
          </w:tcPr>
          <w:p w:rsidR="002C634E" w:rsidRDefault="002C634E" w:rsidP="00940F4B">
            <w:r>
              <w:t xml:space="preserve">Recharge </w:t>
            </w:r>
            <w:r w:rsidR="00940F4B">
              <w:t>R</w:t>
            </w:r>
            <w:r>
              <w:t>ate</w:t>
            </w:r>
          </w:p>
        </w:tc>
        <w:tc>
          <w:tcPr>
            <w:tcW w:w="3192" w:type="dxa"/>
          </w:tcPr>
          <w:p w:rsidR="002C634E" w:rsidRDefault="00940F4B" w:rsidP="00940F4B">
            <w:r>
              <w:t xml:space="preserve">The percentage of Maximum Recharge Capacity per hour divided by the Maximum Discharge Capacity per hour.  This will enable the calculation of the time it takes to </w:t>
            </w:r>
            <w:r w:rsidR="00761BC7">
              <w:t>recharge an</w:t>
            </w:r>
            <w:r>
              <w:t xml:space="preserve"> amount of storage capacity relative to the facility’s discharge capacity.  For example it may take 2 hours to recharge 1 MWH of storage for each 1 hour of discharge capability. </w:t>
            </w:r>
          </w:p>
        </w:tc>
      </w:tr>
      <w:tr w:rsidR="002C634E" w:rsidTr="00475139">
        <w:tc>
          <w:tcPr>
            <w:tcW w:w="3192" w:type="dxa"/>
          </w:tcPr>
          <w:p w:rsidR="002C634E" w:rsidRDefault="002C634E" w:rsidP="00DE1AD7">
            <w:r>
              <w:t>Facility Attributes</w:t>
            </w:r>
          </w:p>
        </w:tc>
        <w:tc>
          <w:tcPr>
            <w:tcW w:w="3192" w:type="dxa"/>
          </w:tcPr>
          <w:p w:rsidR="002C634E" w:rsidRDefault="00940F4B" w:rsidP="00940F4B">
            <w:r>
              <w:t>MW Output Characteristics</w:t>
            </w:r>
          </w:p>
        </w:tc>
        <w:tc>
          <w:tcPr>
            <w:tcW w:w="3192" w:type="dxa"/>
          </w:tcPr>
          <w:p w:rsidR="002C634E" w:rsidRDefault="00940F4B" w:rsidP="002C634E">
            <w:r>
              <w:t>Power quality of output</w:t>
            </w:r>
          </w:p>
        </w:tc>
      </w:tr>
      <w:tr w:rsidR="00940F4B" w:rsidTr="00475139">
        <w:tc>
          <w:tcPr>
            <w:tcW w:w="3192" w:type="dxa"/>
          </w:tcPr>
          <w:p w:rsidR="00940F4B" w:rsidRDefault="00940F4B" w:rsidP="00DE1AD7">
            <w:r>
              <w:t>Facility Attributes</w:t>
            </w:r>
          </w:p>
        </w:tc>
        <w:tc>
          <w:tcPr>
            <w:tcW w:w="3192" w:type="dxa"/>
          </w:tcPr>
          <w:p w:rsidR="00940F4B" w:rsidRDefault="00940F4B" w:rsidP="00940F4B">
            <w:r>
              <w:t>MW Input Characteristics</w:t>
            </w:r>
          </w:p>
        </w:tc>
        <w:tc>
          <w:tcPr>
            <w:tcW w:w="3192" w:type="dxa"/>
          </w:tcPr>
          <w:p w:rsidR="00940F4B" w:rsidRDefault="00940F4B" w:rsidP="00940F4B">
            <w:r>
              <w:t>Required Power Quality of recharge power</w:t>
            </w:r>
          </w:p>
        </w:tc>
      </w:tr>
      <w:tr w:rsidR="00940F4B" w:rsidTr="00475139">
        <w:tc>
          <w:tcPr>
            <w:tcW w:w="3192" w:type="dxa"/>
          </w:tcPr>
          <w:p w:rsidR="00940F4B" w:rsidRDefault="00940F4B" w:rsidP="00DE1AD7">
            <w:r>
              <w:t>Facility Attributes</w:t>
            </w:r>
          </w:p>
        </w:tc>
        <w:tc>
          <w:tcPr>
            <w:tcW w:w="3192" w:type="dxa"/>
          </w:tcPr>
          <w:p w:rsidR="00940F4B" w:rsidRDefault="006D4F97">
            <w:r>
              <w:t>[Future] Wholesale Services supported by Facility</w:t>
            </w:r>
          </w:p>
        </w:tc>
        <w:tc>
          <w:tcPr>
            <w:tcW w:w="3192" w:type="dxa"/>
          </w:tcPr>
          <w:p w:rsidR="00940F4B" w:rsidRDefault="006D4F97" w:rsidP="002C634E">
            <w:r>
              <w:t>List of services that the Facility can contract to provide/accept.  Examples are voltage control, VAR management, other ancillary services, power sink to manage excess power on the ISO/Balancing Authority, and others that the standards development process identifies.</w:t>
            </w:r>
          </w:p>
        </w:tc>
      </w:tr>
      <w:tr w:rsidR="006D4F97" w:rsidTr="00475139">
        <w:tc>
          <w:tcPr>
            <w:tcW w:w="3192" w:type="dxa"/>
          </w:tcPr>
          <w:p w:rsidR="006D4F97" w:rsidRDefault="006D4F97" w:rsidP="00DE1AD7">
            <w:r>
              <w:t>Facility Attributes</w:t>
            </w:r>
          </w:p>
        </w:tc>
        <w:tc>
          <w:tcPr>
            <w:tcW w:w="3192" w:type="dxa"/>
          </w:tcPr>
          <w:p w:rsidR="006D4F97" w:rsidRDefault="006D4F97">
            <w:r>
              <w:t>Full Cycle Count</w:t>
            </w:r>
          </w:p>
        </w:tc>
        <w:tc>
          <w:tcPr>
            <w:tcW w:w="3192" w:type="dxa"/>
          </w:tcPr>
          <w:p w:rsidR="006D4F97" w:rsidRDefault="006D4F97" w:rsidP="002C634E">
            <w:r>
              <w:t>Rated number of full Discharge/Recharge Cycles</w:t>
            </w:r>
          </w:p>
        </w:tc>
      </w:tr>
      <w:tr w:rsidR="006D4F97" w:rsidTr="00475139">
        <w:tc>
          <w:tcPr>
            <w:tcW w:w="3192" w:type="dxa"/>
          </w:tcPr>
          <w:p w:rsidR="006D4F97" w:rsidRDefault="006D4F97" w:rsidP="00DE1AD7">
            <w:r>
              <w:t>Facility Attributes</w:t>
            </w:r>
          </w:p>
        </w:tc>
        <w:tc>
          <w:tcPr>
            <w:tcW w:w="3192" w:type="dxa"/>
          </w:tcPr>
          <w:p w:rsidR="006D4F97" w:rsidRDefault="006D4F97">
            <w:r>
              <w:t>Partial Cycle Count</w:t>
            </w:r>
          </w:p>
        </w:tc>
        <w:tc>
          <w:tcPr>
            <w:tcW w:w="3192" w:type="dxa"/>
          </w:tcPr>
          <w:p w:rsidR="006D4F97" w:rsidRDefault="006D4F97" w:rsidP="006D4F97">
            <w:r>
              <w:t>To the extent applicable the Facility’s number of partial Discharge/Recharge Cycles if different from Full Cycle Count</w:t>
            </w:r>
          </w:p>
        </w:tc>
      </w:tr>
      <w:tr w:rsidR="006D4F97" w:rsidTr="00475139">
        <w:tc>
          <w:tcPr>
            <w:tcW w:w="3192" w:type="dxa"/>
          </w:tcPr>
          <w:p w:rsidR="006D4F97" w:rsidRDefault="006D4F97" w:rsidP="00DE1AD7">
            <w:r>
              <w:t>Facility Attributes</w:t>
            </w:r>
          </w:p>
        </w:tc>
        <w:tc>
          <w:tcPr>
            <w:tcW w:w="3192" w:type="dxa"/>
          </w:tcPr>
          <w:p w:rsidR="006D4F97" w:rsidRDefault="006D4F97">
            <w:r>
              <w:t>Required Maintenance Interval</w:t>
            </w:r>
          </w:p>
        </w:tc>
        <w:tc>
          <w:tcPr>
            <w:tcW w:w="3192" w:type="dxa"/>
          </w:tcPr>
          <w:p w:rsidR="006D4F97" w:rsidRDefault="00137AB9" w:rsidP="0067592C">
            <w:r>
              <w:t xml:space="preserve">The </w:t>
            </w:r>
            <w:r w:rsidR="0067592C">
              <w:t xml:space="preserve">minimum </w:t>
            </w:r>
            <w:r>
              <w:t xml:space="preserve">length of time in days between the Facility’s </w:t>
            </w:r>
            <w:r w:rsidR="0067592C">
              <w:t>requited maintenance events.</w:t>
            </w:r>
            <w:r>
              <w:t xml:space="preserve"> </w:t>
            </w:r>
          </w:p>
        </w:tc>
      </w:tr>
      <w:tr w:rsidR="0067592C" w:rsidTr="00475139">
        <w:tc>
          <w:tcPr>
            <w:tcW w:w="3192" w:type="dxa"/>
          </w:tcPr>
          <w:p w:rsidR="0067592C" w:rsidRDefault="0067592C" w:rsidP="00DE1AD7">
            <w:r>
              <w:t>Facility Attributes</w:t>
            </w:r>
          </w:p>
        </w:tc>
        <w:tc>
          <w:tcPr>
            <w:tcW w:w="3192" w:type="dxa"/>
          </w:tcPr>
          <w:p w:rsidR="0067592C" w:rsidRDefault="0067592C">
            <w:r>
              <w:t>Required Maintenance Duration</w:t>
            </w:r>
          </w:p>
        </w:tc>
        <w:tc>
          <w:tcPr>
            <w:tcW w:w="3192" w:type="dxa"/>
          </w:tcPr>
          <w:p w:rsidR="0067592C" w:rsidRDefault="0067592C" w:rsidP="0067592C">
            <w:r>
              <w:t>The maximum length of time in days of the Facility’s required maintenance events.</w:t>
            </w:r>
          </w:p>
        </w:tc>
      </w:tr>
    </w:tbl>
    <w:p w:rsidR="00A81B65" w:rsidRDefault="00A81B65"/>
    <w:sectPr w:rsidR="00A81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45" w:rsidRDefault="005A5945" w:rsidP="00761BC7">
      <w:pPr>
        <w:spacing w:after="0" w:line="240" w:lineRule="auto"/>
      </w:pPr>
      <w:r>
        <w:separator/>
      </w:r>
    </w:p>
  </w:endnote>
  <w:endnote w:type="continuationSeparator" w:id="0">
    <w:p w:rsidR="005A5945" w:rsidRDefault="005A5945" w:rsidP="007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C7" w:rsidRDefault="00761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43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BC7" w:rsidRDefault="00761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4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1BC7" w:rsidRDefault="00761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C7" w:rsidRDefault="00761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45" w:rsidRDefault="005A5945" w:rsidP="00761BC7">
      <w:pPr>
        <w:spacing w:after="0" w:line="240" w:lineRule="auto"/>
      </w:pPr>
      <w:r>
        <w:separator/>
      </w:r>
    </w:p>
  </w:footnote>
  <w:footnote w:type="continuationSeparator" w:id="0">
    <w:p w:rsidR="005A5945" w:rsidRDefault="005A5945" w:rsidP="007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C7" w:rsidRDefault="00761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C7" w:rsidRDefault="00761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C7" w:rsidRDefault="00761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5"/>
    <w:rsid w:val="00137AB9"/>
    <w:rsid w:val="002C634E"/>
    <w:rsid w:val="00417471"/>
    <w:rsid w:val="00475139"/>
    <w:rsid w:val="005250AE"/>
    <w:rsid w:val="005A5945"/>
    <w:rsid w:val="0067592C"/>
    <w:rsid w:val="006D4F97"/>
    <w:rsid w:val="00761BC7"/>
    <w:rsid w:val="00940F4B"/>
    <w:rsid w:val="00A81B65"/>
    <w:rsid w:val="00D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7"/>
  </w:style>
  <w:style w:type="paragraph" w:styleId="Footer">
    <w:name w:val="footer"/>
    <w:basedOn w:val="Normal"/>
    <w:link w:val="FooterChar"/>
    <w:uiPriority w:val="99"/>
    <w:unhideWhenUsed/>
    <w:rsid w:val="0076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7"/>
  </w:style>
  <w:style w:type="paragraph" w:styleId="Footer">
    <w:name w:val="footer"/>
    <w:basedOn w:val="Normal"/>
    <w:link w:val="FooterChar"/>
    <w:uiPriority w:val="99"/>
    <w:unhideWhenUsed/>
    <w:rsid w:val="0076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glander</dc:creator>
  <cp:lastModifiedBy>glander</cp:lastModifiedBy>
  <cp:revision>1</cp:revision>
  <dcterms:created xsi:type="dcterms:W3CDTF">2020-10-31T17:03:00Z</dcterms:created>
  <dcterms:modified xsi:type="dcterms:W3CDTF">2020-10-31T18:29:00Z</dcterms:modified>
</cp:coreProperties>
</file>