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26198" w14:textId="77777777" w:rsidR="00D360B8" w:rsidRPr="009749F1" w:rsidRDefault="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sidRPr="009749F1">
        <w:rPr>
          <w:b/>
          <w:sz w:val="24"/>
          <w:szCs w:val="24"/>
        </w:rPr>
        <w:t>North American Energy Standards Board</w:t>
      </w:r>
    </w:p>
    <w:p w14:paraId="0916F18B" w14:textId="77777777" w:rsidR="00B377A2" w:rsidRPr="009749F1" w:rsidRDefault="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p>
    <w:p w14:paraId="503D157F" w14:textId="77777777" w:rsidR="00B377A2" w:rsidRPr="009749F1" w:rsidRDefault="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p>
    <w:p w14:paraId="526E8539" w14:textId="77777777" w:rsidR="00D360B8" w:rsidRPr="009749F1"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sidRPr="009749F1">
        <w:rPr>
          <w:b/>
          <w:sz w:val="24"/>
          <w:szCs w:val="24"/>
        </w:rPr>
        <w:t xml:space="preserve">Request for Initiation of a </w:t>
      </w:r>
      <w:r w:rsidR="00B377A2" w:rsidRPr="009749F1">
        <w:rPr>
          <w:b/>
          <w:sz w:val="24"/>
          <w:szCs w:val="24"/>
        </w:rPr>
        <w:t>NAESB</w:t>
      </w:r>
      <w:r w:rsidRPr="009749F1">
        <w:rPr>
          <w:b/>
          <w:sz w:val="24"/>
          <w:szCs w:val="24"/>
        </w:rPr>
        <w:t xml:space="preserve"> </w:t>
      </w:r>
      <w:r w:rsidR="00731C0D" w:rsidRPr="009749F1">
        <w:rPr>
          <w:b/>
          <w:sz w:val="24"/>
          <w:szCs w:val="24"/>
        </w:rPr>
        <w:t xml:space="preserve">Business Practice </w:t>
      </w:r>
      <w:r w:rsidRPr="009749F1">
        <w:rPr>
          <w:b/>
          <w:sz w:val="24"/>
          <w:szCs w:val="24"/>
        </w:rPr>
        <w:t>Standard</w:t>
      </w:r>
      <w:r w:rsidR="00731C0D" w:rsidRPr="009749F1">
        <w:rPr>
          <w:b/>
          <w:sz w:val="24"/>
          <w:szCs w:val="24"/>
        </w:rPr>
        <w:t>, Model Business Practice</w:t>
      </w:r>
      <w:r w:rsidRPr="009749F1">
        <w:rPr>
          <w:b/>
          <w:sz w:val="24"/>
          <w:szCs w:val="24"/>
        </w:rPr>
        <w:t xml:space="preserve"> </w:t>
      </w:r>
      <w:r w:rsidR="00731C0D" w:rsidRPr="009749F1">
        <w:rPr>
          <w:b/>
          <w:sz w:val="24"/>
          <w:szCs w:val="24"/>
        </w:rPr>
        <w:t>or</w:t>
      </w:r>
      <w:r w:rsidRPr="009749F1">
        <w:rPr>
          <w:b/>
          <w:sz w:val="24"/>
          <w:szCs w:val="24"/>
        </w:rPr>
        <w:t xml:space="preserve"> Electronic </w:t>
      </w:r>
      <w:r w:rsidR="00731C0D" w:rsidRPr="009749F1">
        <w:rPr>
          <w:b/>
          <w:sz w:val="24"/>
          <w:szCs w:val="24"/>
        </w:rPr>
        <w:t>Transaction</w:t>
      </w:r>
    </w:p>
    <w:p w14:paraId="74F9BE9C" w14:textId="77777777" w:rsidR="00D360B8" w:rsidRPr="009749F1"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sidRPr="009749F1">
        <w:rPr>
          <w:b/>
          <w:sz w:val="24"/>
          <w:szCs w:val="24"/>
        </w:rPr>
        <w:t xml:space="preserve">or </w:t>
      </w:r>
    </w:p>
    <w:p w14:paraId="2C125DE2" w14:textId="77777777" w:rsidR="00D360B8" w:rsidRPr="009749F1"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9749F1">
        <w:rPr>
          <w:b/>
          <w:sz w:val="24"/>
          <w:szCs w:val="24"/>
        </w:rPr>
        <w:t xml:space="preserve">Enhancement of an Existing </w:t>
      </w:r>
      <w:r w:rsidR="00B377A2" w:rsidRPr="009749F1">
        <w:rPr>
          <w:b/>
          <w:sz w:val="24"/>
          <w:szCs w:val="24"/>
        </w:rPr>
        <w:t>NAESB</w:t>
      </w:r>
      <w:r w:rsidR="00731C0D" w:rsidRPr="009749F1">
        <w:rPr>
          <w:b/>
          <w:sz w:val="24"/>
          <w:szCs w:val="24"/>
        </w:rPr>
        <w:t xml:space="preserve"> Business Practice Standard, Model Business Practice</w:t>
      </w:r>
      <w:r w:rsidRPr="009749F1">
        <w:rPr>
          <w:b/>
          <w:sz w:val="24"/>
          <w:szCs w:val="24"/>
        </w:rPr>
        <w:t xml:space="preserve"> </w:t>
      </w:r>
      <w:r w:rsidR="00731C0D" w:rsidRPr="009749F1">
        <w:rPr>
          <w:b/>
          <w:sz w:val="24"/>
          <w:szCs w:val="24"/>
        </w:rPr>
        <w:t>or Electronic</w:t>
      </w:r>
      <w:r w:rsidRPr="009749F1">
        <w:rPr>
          <w:b/>
          <w:sz w:val="24"/>
          <w:szCs w:val="24"/>
        </w:rPr>
        <w:t xml:space="preserve"> Transaction</w:t>
      </w:r>
    </w:p>
    <w:p w14:paraId="57A880A4" w14:textId="77777777" w:rsidR="00D360B8" w:rsidRPr="009749F1"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14:paraId="765BEFBD" w14:textId="77777777" w:rsidR="00D360B8" w:rsidRPr="009749F1"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14:paraId="40090F89" w14:textId="77777777" w:rsidR="00D360B8" w:rsidRPr="009749F1"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9749F1">
        <w:rPr>
          <w:b/>
          <w:sz w:val="24"/>
          <w:szCs w:val="24"/>
        </w:rPr>
        <w:t>Instructions:</w:t>
      </w:r>
    </w:p>
    <w:p w14:paraId="36A5C792" w14:textId="77777777" w:rsidR="00D360B8" w:rsidRPr="009749F1"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14:paraId="10E60CDA" w14:textId="77777777" w:rsidR="00D360B8" w:rsidRPr="009749F1"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4"/>
          <w:szCs w:val="24"/>
        </w:rPr>
      </w:pPr>
      <w:r w:rsidRPr="009749F1">
        <w:rPr>
          <w:b/>
          <w:sz w:val="24"/>
          <w:szCs w:val="24"/>
        </w:rPr>
        <w:tab/>
        <w:t>1.</w:t>
      </w:r>
      <w:r w:rsidRPr="009749F1">
        <w:rPr>
          <w:b/>
          <w:sz w:val="24"/>
          <w:szCs w:val="24"/>
        </w:rPr>
        <w:tab/>
        <w:t>Please fill out as much of the requested information as possible.  It is mandatory to provide a contact name, phone number and fax number to which questions can be directed.  If you have an electronic mailing address, please make that available as well.</w:t>
      </w:r>
    </w:p>
    <w:p w14:paraId="6487AE62" w14:textId="77777777" w:rsidR="00D360B8" w:rsidRPr="009749F1"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4"/>
          <w:szCs w:val="24"/>
        </w:rPr>
      </w:pPr>
    </w:p>
    <w:p w14:paraId="4439BF5E" w14:textId="77777777" w:rsidR="00D360B8" w:rsidRPr="009749F1"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14:paraId="766F43D9" w14:textId="77777777" w:rsidR="00D360B8" w:rsidRPr="009749F1"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b/>
          <w:sz w:val="24"/>
          <w:szCs w:val="24"/>
        </w:rPr>
      </w:pPr>
      <w:r w:rsidRPr="009749F1">
        <w:rPr>
          <w:b/>
          <w:sz w:val="24"/>
          <w:szCs w:val="24"/>
        </w:rPr>
        <w:tab/>
        <w:t>2.</w:t>
      </w:r>
      <w:r w:rsidRPr="009749F1">
        <w:rPr>
          <w:b/>
          <w:sz w:val="24"/>
          <w:szCs w:val="24"/>
        </w:rPr>
        <w:tab/>
        <w:t>Attach any information you believe is related to the request.  The more complete your request is, the less time is required to review it.</w:t>
      </w:r>
    </w:p>
    <w:p w14:paraId="258ADFB5" w14:textId="77777777" w:rsidR="00D360B8" w:rsidRPr="009749F1"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14:paraId="5BB4F09A" w14:textId="77777777" w:rsidR="00D360B8" w:rsidRPr="009749F1"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9749F1">
        <w:rPr>
          <w:b/>
          <w:sz w:val="24"/>
          <w:szCs w:val="24"/>
        </w:rPr>
        <w:tab/>
        <w:t>3.</w:t>
      </w:r>
      <w:r w:rsidRPr="009749F1">
        <w:rPr>
          <w:b/>
          <w:sz w:val="24"/>
          <w:szCs w:val="24"/>
        </w:rPr>
        <w:tab/>
        <w:t>Once completed, send your request to:</w:t>
      </w:r>
    </w:p>
    <w:p w14:paraId="477F3995" w14:textId="77777777" w:rsidR="00D360B8" w:rsidRPr="009749F1"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9749F1">
        <w:rPr>
          <w:b/>
          <w:sz w:val="24"/>
          <w:szCs w:val="24"/>
        </w:rPr>
        <w:tab/>
      </w:r>
      <w:r w:rsidRPr="009749F1">
        <w:rPr>
          <w:b/>
          <w:sz w:val="24"/>
          <w:szCs w:val="24"/>
        </w:rPr>
        <w:tab/>
      </w:r>
      <w:r w:rsidRPr="009749F1">
        <w:rPr>
          <w:b/>
          <w:sz w:val="24"/>
          <w:szCs w:val="24"/>
        </w:rPr>
        <w:tab/>
        <w:t>Rae McQuade</w:t>
      </w:r>
    </w:p>
    <w:p w14:paraId="76D0E9B5" w14:textId="77777777" w:rsidR="00D360B8" w:rsidRPr="009749F1"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9749F1">
        <w:rPr>
          <w:b/>
          <w:sz w:val="24"/>
          <w:szCs w:val="24"/>
        </w:rPr>
        <w:tab/>
      </w:r>
      <w:r w:rsidRPr="009749F1">
        <w:rPr>
          <w:b/>
          <w:sz w:val="24"/>
          <w:szCs w:val="24"/>
        </w:rPr>
        <w:tab/>
      </w:r>
      <w:r w:rsidRPr="009749F1">
        <w:rPr>
          <w:b/>
          <w:sz w:val="24"/>
          <w:szCs w:val="24"/>
        </w:rPr>
        <w:tab/>
      </w:r>
      <w:r w:rsidR="00B377A2" w:rsidRPr="009749F1">
        <w:rPr>
          <w:b/>
          <w:sz w:val="24"/>
          <w:szCs w:val="24"/>
        </w:rPr>
        <w:t>NAESB,</w:t>
      </w:r>
      <w:r w:rsidRPr="009749F1">
        <w:rPr>
          <w:b/>
          <w:sz w:val="24"/>
          <w:szCs w:val="24"/>
        </w:rPr>
        <w:t xml:space="preserve"> </w:t>
      </w:r>
      <w:r w:rsidR="004D2CC4" w:rsidRPr="009749F1">
        <w:rPr>
          <w:b/>
          <w:sz w:val="24"/>
          <w:szCs w:val="24"/>
        </w:rPr>
        <w:t>President</w:t>
      </w:r>
    </w:p>
    <w:p w14:paraId="47A2CA20" w14:textId="77777777" w:rsidR="00D360B8" w:rsidRPr="009749F1" w:rsidRDefault="00D360B8" w:rsidP="006600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9749F1">
        <w:rPr>
          <w:b/>
          <w:sz w:val="24"/>
          <w:szCs w:val="24"/>
        </w:rPr>
        <w:tab/>
      </w:r>
      <w:r w:rsidRPr="009749F1">
        <w:rPr>
          <w:b/>
          <w:sz w:val="24"/>
          <w:szCs w:val="24"/>
        </w:rPr>
        <w:tab/>
      </w:r>
      <w:r w:rsidRPr="009749F1">
        <w:rPr>
          <w:b/>
          <w:sz w:val="24"/>
          <w:szCs w:val="24"/>
        </w:rPr>
        <w:tab/>
      </w:r>
      <w:r w:rsidR="00D9749B" w:rsidRPr="009749F1">
        <w:rPr>
          <w:b/>
          <w:sz w:val="24"/>
          <w:szCs w:val="24"/>
        </w:rPr>
        <w:t>1415 Louisiana</w:t>
      </w:r>
      <w:r w:rsidR="00E3245B" w:rsidRPr="009749F1">
        <w:rPr>
          <w:b/>
          <w:sz w:val="24"/>
          <w:szCs w:val="24"/>
        </w:rPr>
        <w:t xml:space="preserve">, Suite </w:t>
      </w:r>
      <w:r w:rsidR="00D9749B" w:rsidRPr="009749F1">
        <w:rPr>
          <w:b/>
          <w:sz w:val="24"/>
          <w:szCs w:val="24"/>
        </w:rPr>
        <w:t>3460</w:t>
      </w:r>
    </w:p>
    <w:p w14:paraId="4B3113C0" w14:textId="77777777" w:rsidR="00D360B8" w:rsidRPr="009749F1"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9749F1">
        <w:rPr>
          <w:b/>
          <w:sz w:val="24"/>
          <w:szCs w:val="24"/>
        </w:rPr>
        <w:tab/>
      </w:r>
      <w:r w:rsidRPr="009749F1">
        <w:rPr>
          <w:b/>
          <w:sz w:val="24"/>
          <w:szCs w:val="24"/>
        </w:rPr>
        <w:tab/>
      </w:r>
      <w:r w:rsidRPr="009749F1">
        <w:rPr>
          <w:b/>
          <w:sz w:val="24"/>
          <w:szCs w:val="24"/>
        </w:rPr>
        <w:tab/>
        <w:t>Houston, TX  77002</w:t>
      </w:r>
    </w:p>
    <w:p w14:paraId="34CF9CB2" w14:textId="77777777" w:rsidR="00D360B8" w:rsidRPr="009749F1"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14:paraId="1BBB1A61" w14:textId="77777777" w:rsidR="00D360B8" w:rsidRPr="009749F1"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749F1">
        <w:rPr>
          <w:b/>
          <w:sz w:val="24"/>
          <w:szCs w:val="24"/>
        </w:rPr>
        <w:tab/>
      </w:r>
      <w:r w:rsidRPr="009749F1">
        <w:rPr>
          <w:b/>
          <w:sz w:val="24"/>
          <w:szCs w:val="24"/>
        </w:rPr>
        <w:tab/>
      </w:r>
      <w:r w:rsidRPr="009749F1">
        <w:rPr>
          <w:b/>
          <w:sz w:val="24"/>
          <w:szCs w:val="24"/>
        </w:rPr>
        <w:tab/>
        <w:t>Phone:  713</w:t>
      </w:r>
      <w:r w:rsidRPr="009749F1">
        <w:rPr>
          <w:b/>
          <w:sz w:val="24"/>
          <w:szCs w:val="24"/>
        </w:rPr>
        <w:noBreakHyphen/>
        <w:t>356</w:t>
      </w:r>
      <w:r w:rsidRPr="009749F1">
        <w:rPr>
          <w:b/>
          <w:sz w:val="24"/>
          <w:szCs w:val="24"/>
        </w:rPr>
        <w:noBreakHyphen/>
        <w:t>0060</w:t>
      </w:r>
    </w:p>
    <w:p w14:paraId="73EFBA2D" w14:textId="77777777" w:rsidR="00D360B8" w:rsidRPr="009749F1"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9749F1">
        <w:rPr>
          <w:b/>
          <w:sz w:val="24"/>
          <w:szCs w:val="24"/>
        </w:rPr>
        <w:tab/>
      </w:r>
      <w:r w:rsidRPr="009749F1">
        <w:rPr>
          <w:b/>
          <w:sz w:val="24"/>
          <w:szCs w:val="24"/>
        </w:rPr>
        <w:tab/>
      </w:r>
      <w:r w:rsidRPr="009749F1">
        <w:rPr>
          <w:b/>
          <w:sz w:val="24"/>
          <w:szCs w:val="24"/>
        </w:rPr>
        <w:tab/>
        <w:t>Fax:      713</w:t>
      </w:r>
      <w:r w:rsidRPr="009749F1">
        <w:rPr>
          <w:b/>
          <w:sz w:val="24"/>
          <w:szCs w:val="24"/>
        </w:rPr>
        <w:noBreakHyphen/>
        <w:t>356</w:t>
      </w:r>
      <w:r w:rsidRPr="009749F1">
        <w:rPr>
          <w:b/>
          <w:sz w:val="24"/>
          <w:szCs w:val="24"/>
        </w:rPr>
        <w:noBreakHyphen/>
        <w:t>0067</w:t>
      </w:r>
    </w:p>
    <w:p w14:paraId="4EC6405D" w14:textId="77777777" w:rsidR="00D360B8" w:rsidRPr="009749F1"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14:paraId="26A01EE8" w14:textId="77777777" w:rsidR="00D360B8" w:rsidRPr="009749F1"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9749F1">
        <w:rPr>
          <w:b/>
          <w:sz w:val="24"/>
          <w:szCs w:val="24"/>
        </w:rPr>
        <w:tab/>
      </w:r>
      <w:r w:rsidRPr="009749F1">
        <w:rPr>
          <w:b/>
          <w:sz w:val="24"/>
          <w:szCs w:val="24"/>
        </w:rPr>
        <w:tab/>
        <w:t xml:space="preserve">by either mail, fax, or </w:t>
      </w:r>
      <w:r w:rsidR="00B377A2" w:rsidRPr="009749F1">
        <w:rPr>
          <w:b/>
          <w:sz w:val="24"/>
          <w:szCs w:val="24"/>
        </w:rPr>
        <w:t>to</w:t>
      </w:r>
      <w:r w:rsidRPr="009749F1">
        <w:rPr>
          <w:b/>
          <w:sz w:val="24"/>
          <w:szCs w:val="24"/>
        </w:rPr>
        <w:t xml:space="preserve"> </w:t>
      </w:r>
      <w:r w:rsidR="00B377A2" w:rsidRPr="009749F1">
        <w:rPr>
          <w:b/>
          <w:sz w:val="24"/>
          <w:szCs w:val="24"/>
        </w:rPr>
        <w:t>NAESB’s</w:t>
      </w:r>
      <w:r w:rsidRPr="009749F1">
        <w:rPr>
          <w:b/>
          <w:sz w:val="24"/>
          <w:szCs w:val="24"/>
        </w:rPr>
        <w:t xml:space="preserve"> </w:t>
      </w:r>
      <w:r w:rsidR="00B377A2" w:rsidRPr="009749F1">
        <w:rPr>
          <w:b/>
          <w:sz w:val="24"/>
          <w:szCs w:val="24"/>
        </w:rPr>
        <w:t>email address, naesb@</w:t>
      </w:r>
      <w:r w:rsidR="00D77249" w:rsidRPr="009749F1">
        <w:rPr>
          <w:b/>
          <w:sz w:val="24"/>
          <w:szCs w:val="24"/>
        </w:rPr>
        <w:t>naesb.org</w:t>
      </w:r>
      <w:r w:rsidRPr="009749F1">
        <w:rPr>
          <w:b/>
          <w:sz w:val="24"/>
          <w:szCs w:val="24"/>
        </w:rPr>
        <w:t>.</w:t>
      </w:r>
    </w:p>
    <w:p w14:paraId="67CE6C11" w14:textId="77777777" w:rsidR="00D360B8" w:rsidRPr="009749F1"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14:paraId="7514B472" w14:textId="77777777" w:rsidR="00D360B8" w:rsidRPr="009749F1"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9749F1">
        <w:rPr>
          <w:b/>
          <w:sz w:val="24"/>
          <w:szCs w:val="24"/>
        </w:rPr>
        <w:t>Once received, the request will be routed to the appropriate subcommittees for review.</w:t>
      </w:r>
    </w:p>
    <w:p w14:paraId="365B6550" w14:textId="77777777" w:rsidR="00D360B8" w:rsidRPr="009749F1"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14:paraId="6B4A771E" w14:textId="77777777" w:rsidR="00D360B8" w:rsidRPr="009749F1"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14:paraId="22C89790" w14:textId="77777777" w:rsidR="00D360B8" w:rsidRPr="009749F1" w:rsidRDefault="00D360B8" w:rsidP="005433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9749F1">
        <w:rPr>
          <w:b/>
          <w:sz w:val="24"/>
          <w:szCs w:val="24"/>
        </w:rPr>
        <w:cr/>
      </w:r>
      <w:r w:rsidRPr="009749F1">
        <w:rPr>
          <w:sz w:val="24"/>
          <w:szCs w:val="24"/>
        </w:rPr>
        <w:br w:type="page"/>
      </w:r>
      <w:r w:rsidR="00B377A2" w:rsidRPr="009749F1">
        <w:rPr>
          <w:b/>
          <w:sz w:val="24"/>
          <w:szCs w:val="24"/>
        </w:rPr>
        <w:lastRenderedPageBreak/>
        <w:t>North American Energy Standards Board</w:t>
      </w:r>
    </w:p>
    <w:p w14:paraId="1D72ED70" w14:textId="77777777" w:rsidR="00B377A2" w:rsidRPr="009749F1" w:rsidRDefault="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p>
    <w:p w14:paraId="5D0B946A" w14:textId="77777777" w:rsidR="00E963C9" w:rsidRPr="009749F1" w:rsidRDefault="00E963C9"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sidRPr="009749F1">
        <w:rPr>
          <w:b/>
          <w:sz w:val="24"/>
          <w:szCs w:val="24"/>
        </w:rPr>
        <w:t>Request for Initiation of a NAESB Business Practice Standard, Model Business Practice or Electronic Transaction</w:t>
      </w:r>
    </w:p>
    <w:p w14:paraId="20497F3A" w14:textId="77777777" w:rsidR="00E963C9" w:rsidRPr="009749F1" w:rsidRDefault="00E963C9"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4"/>
          <w:szCs w:val="24"/>
        </w:rPr>
      </w:pPr>
      <w:r w:rsidRPr="009749F1">
        <w:rPr>
          <w:b/>
          <w:sz w:val="24"/>
          <w:szCs w:val="24"/>
        </w:rPr>
        <w:t xml:space="preserve">or </w:t>
      </w:r>
    </w:p>
    <w:p w14:paraId="3EA289F2" w14:textId="77777777" w:rsidR="00E963C9" w:rsidRPr="009749F1" w:rsidRDefault="00E963C9"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4"/>
          <w:szCs w:val="24"/>
        </w:rPr>
      </w:pPr>
      <w:r w:rsidRPr="009749F1">
        <w:rPr>
          <w:b/>
          <w:sz w:val="24"/>
          <w:szCs w:val="24"/>
        </w:rPr>
        <w:t>Enhancement of an Existing NAESB Business Practice Standard, Model Business Practice or Electronic Transaction</w:t>
      </w:r>
    </w:p>
    <w:p w14:paraId="7C92D364" w14:textId="77777777" w:rsidR="00E963C9" w:rsidRPr="009749F1" w:rsidRDefault="00E963C9" w:rsidP="00E963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p>
    <w:p w14:paraId="27C4924C" w14:textId="77777777" w:rsidR="00D360B8" w:rsidRPr="009749F1"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szCs w:val="24"/>
        </w:rPr>
      </w:pPr>
    </w:p>
    <w:p w14:paraId="3B2D47E6" w14:textId="460B8C8D" w:rsidR="00D360B8" w:rsidRPr="009749F1"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szCs w:val="24"/>
        </w:rPr>
      </w:pPr>
      <w:r w:rsidRPr="009749F1">
        <w:rPr>
          <w:sz w:val="24"/>
          <w:szCs w:val="24"/>
        </w:rPr>
        <w:t xml:space="preserve">   Date of Request:   </w:t>
      </w:r>
      <w:r w:rsidR="00154B8B" w:rsidRPr="009749F1">
        <w:rPr>
          <w:sz w:val="24"/>
          <w:szCs w:val="24"/>
        </w:rPr>
        <w:t>9</w:t>
      </w:r>
      <w:r w:rsidR="00744562" w:rsidRPr="009749F1">
        <w:rPr>
          <w:sz w:val="24"/>
          <w:szCs w:val="24"/>
        </w:rPr>
        <w:t>/</w:t>
      </w:r>
      <w:r w:rsidR="00154B8B" w:rsidRPr="009749F1">
        <w:rPr>
          <w:sz w:val="24"/>
          <w:szCs w:val="24"/>
        </w:rPr>
        <w:t>13</w:t>
      </w:r>
      <w:r w:rsidR="00744562" w:rsidRPr="009749F1">
        <w:rPr>
          <w:sz w:val="24"/>
          <w:szCs w:val="24"/>
        </w:rPr>
        <w:t>/2024</w:t>
      </w:r>
    </w:p>
    <w:p w14:paraId="532C17AC" w14:textId="77777777" w:rsidR="00D360B8" w:rsidRPr="009749F1"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5D950882" w14:textId="77777777" w:rsidR="00D360B8" w:rsidRPr="009749F1"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9745A10" w14:textId="77777777" w:rsidR="00D360B8" w:rsidRPr="009749F1"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749F1">
        <w:rPr>
          <w:sz w:val="24"/>
          <w:szCs w:val="24"/>
        </w:rPr>
        <w:t>1.  Submitting Entity &amp; Address:</w:t>
      </w:r>
    </w:p>
    <w:p w14:paraId="3FAFF4CD" w14:textId="77777777" w:rsidR="00744562" w:rsidRPr="009749F1" w:rsidRDefault="00D360B8" w:rsidP="001C0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749F1">
        <w:rPr>
          <w:sz w:val="24"/>
          <w:szCs w:val="24"/>
        </w:rPr>
        <w:tab/>
      </w:r>
      <w:r w:rsidRPr="009749F1">
        <w:rPr>
          <w:sz w:val="24"/>
          <w:szCs w:val="24"/>
        </w:rPr>
        <w:tab/>
      </w:r>
      <w:r w:rsidRPr="009749F1">
        <w:rPr>
          <w:sz w:val="24"/>
          <w:szCs w:val="24"/>
        </w:rPr>
        <w:tab/>
        <w:t xml:space="preserve">    </w:t>
      </w:r>
      <w:r w:rsidRPr="009749F1">
        <w:rPr>
          <w:sz w:val="24"/>
          <w:szCs w:val="24"/>
        </w:rPr>
        <w:tab/>
      </w:r>
      <w:r w:rsidR="00744562" w:rsidRPr="009749F1">
        <w:rPr>
          <w:sz w:val="24"/>
          <w:szCs w:val="24"/>
        </w:rPr>
        <w:t>Southwest Power Pool</w:t>
      </w:r>
      <w:r w:rsidR="00744562" w:rsidRPr="009749F1">
        <w:rPr>
          <w:sz w:val="24"/>
          <w:szCs w:val="24"/>
        </w:rPr>
        <w:tab/>
      </w:r>
    </w:p>
    <w:p w14:paraId="0FFE4AAF" w14:textId="6D2E3D06" w:rsidR="00D360B8" w:rsidRPr="009749F1" w:rsidRDefault="00744562" w:rsidP="001C0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749F1">
        <w:rPr>
          <w:sz w:val="24"/>
          <w:szCs w:val="24"/>
        </w:rPr>
        <w:tab/>
      </w:r>
      <w:r w:rsidRPr="009749F1">
        <w:rPr>
          <w:sz w:val="24"/>
          <w:szCs w:val="24"/>
        </w:rPr>
        <w:tab/>
      </w:r>
      <w:r w:rsidRPr="009749F1">
        <w:rPr>
          <w:sz w:val="24"/>
          <w:szCs w:val="24"/>
        </w:rPr>
        <w:tab/>
      </w:r>
      <w:r w:rsidRPr="009749F1">
        <w:rPr>
          <w:sz w:val="24"/>
          <w:szCs w:val="24"/>
        </w:rPr>
        <w:tab/>
        <w:t>201 Worthen Drive Little Rock, AR 72223</w:t>
      </w:r>
      <w:r w:rsidRPr="009749F1">
        <w:rPr>
          <w:sz w:val="24"/>
          <w:szCs w:val="24"/>
        </w:rPr>
        <w:tab/>
      </w:r>
    </w:p>
    <w:p w14:paraId="6E0EB9D5" w14:textId="77777777" w:rsidR="00875485" w:rsidRPr="009749F1" w:rsidRDefault="00875485" w:rsidP="001C0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1E807D1" w14:textId="0C84A3E4" w:rsidR="00875485" w:rsidRPr="009749F1" w:rsidRDefault="00875485" w:rsidP="001C0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749F1">
        <w:rPr>
          <w:sz w:val="24"/>
          <w:szCs w:val="24"/>
        </w:rPr>
        <w:t xml:space="preserve">                                                     RCWEST/CAISO</w:t>
      </w:r>
    </w:p>
    <w:p w14:paraId="5790275C" w14:textId="4FCEA15B" w:rsidR="00875485" w:rsidRPr="009749F1" w:rsidRDefault="00875485" w:rsidP="001C0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749F1">
        <w:rPr>
          <w:sz w:val="24"/>
          <w:szCs w:val="24"/>
        </w:rPr>
        <w:tab/>
      </w:r>
      <w:r w:rsidRPr="009749F1">
        <w:rPr>
          <w:sz w:val="24"/>
          <w:szCs w:val="24"/>
        </w:rPr>
        <w:tab/>
      </w:r>
      <w:r w:rsidRPr="009749F1">
        <w:rPr>
          <w:sz w:val="24"/>
          <w:szCs w:val="24"/>
        </w:rPr>
        <w:tab/>
      </w:r>
      <w:r w:rsidRPr="009749F1">
        <w:rPr>
          <w:sz w:val="24"/>
          <w:szCs w:val="24"/>
        </w:rPr>
        <w:tab/>
        <w:t>250 Outcropping Way, Folsom CA 95630</w:t>
      </w:r>
    </w:p>
    <w:p w14:paraId="4EAFF1C0" w14:textId="77777777" w:rsidR="00875485" w:rsidRPr="009749F1" w:rsidRDefault="00875485" w:rsidP="001C0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7C7C14CD" w14:textId="0AA43C95" w:rsidR="00875485" w:rsidRPr="009749F1" w:rsidRDefault="00875485" w:rsidP="00875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sz w:val="24"/>
          <w:szCs w:val="24"/>
        </w:rPr>
      </w:pPr>
      <w:r w:rsidRPr="009749F1">
        <w:rPr>
          <w:color w:val="4F5E63"/>
          <w:sz w:val="24"/>
          <w:szCs w:val="24"/>
          <w:shd w:val="clear" w:color="auto" w:fill="FFFFFF"/>
        </w:rPr>
        <w:tab/>
      </w:r>
      <w:r w:rsidRPr="009749F1">
        <w:rPr>
          <w:color w:val="4F5E63"/>
          <w:sz w:val="24"/>
          <w:szCs w:val="24"/>
          <w:shd w:val="clear" w:color="auto" w:fill="FFFFFF"/>
        </w:rPr>
        <w:tab/>
      </w:r>
    </w:p>
    <w:p w14:paraId="2983D80B" w14:textId="77777777" w:rsidR="00D360B8" w:rsidRPr="009749F1"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203E7E0" w14:textId="77777777" w:rsidR="00D360B8" w:rsidRPr="009749F1"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749F1">
        <w:rPr>
          <w:sz w:val="24"/>
          <w:szCs w:val="24"/>
        </w:rPr>
        <w:t>2.  Contact Person, Phone #, Fax #, Electronic Mailing Address:</w:t>
      </w:r>
    </w:p>
    <w:p w14:paraId="2AE359F6" w14:textId="07C9FD8B" w:rsidR="00D360B8" w:rsidRPr="009749F1"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749F1">
        <w:rPr>
          <w:sz w:val="24"/>
          <w:szCs w:val="24"/>
        </w:rPr>
        <w:tab/>
      </w:r>
      <w:r w:rsidRPr="009749F1">
        <w:rPr>
          <w:sz w:val="24"/>
          <w:szCs w:val="24"/>
        </w:rPr>
        <w:tab/>
      </w:r>
      <w:r w:rsidRPr="009749F1">
        <w:rPr>
          <w:sz w:val="24"/>
          <w:szCs w:val="24"/>
        </w:rPr>
        <w:tab/>
      </w:r>
      <w:r w:rsidRPr="009749F1">
        <w:rPr>
          <w:sz w:val="24"/>
          <w:szCs w:val="24"/>
        </w:rPr>
        <w:tab/>
        <w:t xml:space="preserve">Name </w:t>
      </w:r>
      <w:r w:rsidRPr="009749F1">
        <w:rPr>
          <w:sz w:val="24"/>
          <w:szCs w:val="24"/>
        </w:rPr>
        <w:tab/>
        <w:t xml:space="preserve">:     </w:t>
      </w:r>
      <w:r w:rsidRPr="009749F1">
        <w:rPr>
          <w:sz w:val="24"/>
          <w:szCs w:val="24"/>
        </w:rPr>
        <w:tab/>
      </w:r>
      <w:r w:rsidR="00744562" w:rsidRPr="009749F1">
        <w:rPr>
          <w:sz w:val="24"/>
          <w:szCs w:val="24"/>
        </w:rPr>
        <w:t>Alex Watkins</w:t>
      </w:r>
    </w:p>
    <w:p w14:paraId="6EFF072F" w14:textId="79F1217E" w:rsidR="00D360B8" w:rsidRPr="009749F1"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4"/>
          <w:szCs w:val="24"/>
        </w:rPr>
      </w:pPr>
      <w:r w:rsidRPr="009749F1">
        <w:rPr>
          <w:sz w:val="24"/>
          <w:szCs w:val="24"/>
        </w:rPr>
        <w:tab/>
      </w:r>
      <w:r w:rsidRPr="009749F1">
        <w:rPr>
          <w:sz w:val="24"/>
          <w:szCs w:val="24"/>
        </w:rPr>
        <w:tab/>
      </w:r>
      <w:r w:rsidRPr="009749F1">
        <w:rPr>
          <w:sz w:val="24"/>
          <w:szCs w:val="24"/>
        </w:rPr>
        <w:tab/>
      </w:r>
      <w:r w:rsidRPr="009749F1">
        <w:rPr>
          <w:sz w:val="24"/>
          <w:szCs w:val="24"/>
        </w:rPr>
        <w:tab/>
        <w:t xml:space="preserve">Title </w:t>
      </w:r>
      <w:r w:rsidRPr="009749F1">
        <w:rPr>
          <w:sz w:val="24"/>
          <w:szCs w:val="24"/>
        </w:rPr>
        <w:tab/>
        <w:t xml:space="preserve">:     </w:t>
      </w:r>
      <w:r w:rsidRPr="009749F1">
        <w:rPr>
          <w:sz w:val="24"/>
          <w:szCs w:val="24"/>
        </w:rPr>
        <w:tab/>
      </w:r>
      <w:r w:rsidR="001C054F" w:rsidRPr="009749F1">
        <w:rPr>
          <w:sz w:val="24"/>
          <w:szCs w:val="24"/>
        </w:rPr>
        <w:t xml:space="preserve">Manager, </w:t>
      </w:r>
      <w:r w:rsidR="00D605BF" w:rsidRPr="009749F1">
        <w:rPr>
          <w:sz w:val="24"/>
          <w:szCs w:val="24"/>
        </w:rPr>
        <w:t xml:space="preserve">System Operations West </w:t>
      </w:r>
    </w:p>
    <w:p w14:paraId="48C38797" w14:textId="51B226A5" w:rsidR="00D360B8" w:rsidRPr="009749F1"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4"/>
          <w:szCs w:val="24"/>
        </w:rPr>
      </w:pPr>
      <w:r w:rsidRPr="009749F1">
        <w:rPr>
          <w:sz w:val="24"/>
          <w:szCs w:val="24"/>
        </w:rPr>
        <w:tab/>
      </w:r>
      <w:r w:rsidRPr="009749F1">
        <w:rPr>
          <w:sz w:val="24"/>
          <w:szCs w:val="24"/>
        </w:rPr>
        <w:tab/>
      </w:r>
      <w:r w:rsidRPr="009749F1">
        <w:rPr>
          <w:sz w:val="24"/>
          <w:szCs w:val="24"/>
        </w:rPr>
        <w:tab/>
      </w:r>
      <w:r w:rsidRPr="009749F1">
        <w:rPr>
          <w:sz w:val="24"/>
          <w:szCs w:val="24"/>
        </w:rPr>
        <w:tab/>
      </w:r>
      <w:r w:rsidR="00A72571" w:rsidRPr="009749F1">
        <w:rPr>
          <w:sz w:val="24"/>
          <w:szCs w:val="24"/>
        </w:rPr>
        <w:t>Phone:</w:t>
      </w:r>
      <w:r w:rsidRPr="009749F1">
        <w:rPr>
          <w:sz w:val="24"/>
          <w:szCs w:val="24"/>
        </w:rPr>
        <w:t xml:space="preserve">  </w:t>
      </w:r>
      <w:r w:rsidRPr="009749F1">
        <w:rPr>
          <w:sz w:val="24"/>
          <w:szCs w:val="24"/>
        </w:rPr>
        <w:tab/>
      </w:r>
      <w:r w:rsidR="00D605BF" w:rsidRPr="009749F1">
        <w:rPr>
          <w:sz w:val="24"/>
          <w:szCs w:val="24"/>
        </w:rPr>
        <w:t>501.</w:t>
      </w:r>
      <w:r w:rsidR="00C41966" w:rsidRPr="009749F1">
        <w:rPr>
          <w:sz w:val="24"/>
          <w:szCs w:val="24"/>
        </w:rPr>
        <w:t>482.2430</w:t>
      </w:r>
    </w:p>
    <w:p w14:paraId="10358CE4" w14:textId="77777777" w:rsidR="00D360B8" w:rsidRPr="009749F1"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4"/>
          <w:szCs w:val="24"/>
        </w:rPr>
      </w:pPr>
      <w:r w:rsidRPr="009749F1">
        <w:rPr>
          <w:sz w:val="24"/>
          <w:szCs w:val="24"/>
        </w:rPr>
        <w:tab/>
      </w:r>
      <w:r w:rsidRPr="009749F1">
        <w:rPr>
          <w:sz w:val="24"/>
          <w:szCs w:val="24"/>
        </w:rPr>
        <w:tab/>
      </w:r>
      <w:r w:rsidRPr="009749F1">
        <w:rPr>
          <w:sz w:val="24"/>
          <w:szCs w:val="24"/>
        </w:rPr>
        <w:tab/>
      </w:r>
      <w:r w:rsidRPr="009749F1">
        <w:rPr>
          <w:sz w:val="24"/>
          <w:szCs w:val="24"/>
        </w:rPr>
        <w:tab/>
        <w:t xml:space="preserve">Fax </w:t>
      </w:r>
      <w:r w:rsidRPr="009749F1">
        <w:rPr>
          <w:sz w:val="24"/>
          <w:szCs w:val="24"/>
        </w:rPr>
        <w:tab/>
        <w:t>:</w:t>
      </w:r>
      <w:r w:rsidRPr="009749F1">
        <w:rPr>
          <w:sz w:val="24"/>
          <w:szCs w:val="24"/>
        </w:rPr>
        <w:tab/>
        <w:t>___________________________________</w:t>
      </w:r>
    </w:p>
    <w:p w14:paraId="716AC2EB" w14:textId="016EED00" w:rsidR="00D360B8" w:rsidRPr="009749F1"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749F1">
        <w:rPr>
          <w:sz w:val="24"/>
          <w:szCs w:val="24"/>
        </w:rPr>
        <w:tab/>
      </w:r>
      <w:r w:rsidRPr="009749F1">
        <w:rPr>
          <w:sz w:val="24"/>
          <w:szCs w:val="24"/>
        </w:rPr>
        <w:tab/>
      </w:r>
      <w:r w:rsidRPr="009749F1">
        <w:rPr>
          <w:sz w:val="24"/>
          <w:szCs w:val="24"/>
        </w:rPr>
        <w:tab/>
      </w:r>
      <w:r w:rsidRPr="009749F1">
        <w:rPr>
          <w:sz w:val="24"/>
          <w:szCs w:val="24"/>
        </w:rPr>
        <w:tab/>
        <w:t>E</w:t>
      </w:r>
      <w:r w:rsidRPr="009749F1">
        <w:rPr>
          <w:sz w:val="24"/>
          <w:szCs w:val="24"/>
        </w:rPr>
        <w:noBreakHyphen/>
        <w:t>mail</w:t>
      </w:r>
      <w:r w:rsidRPr="009749F1">
        <w:rPr>
          <w:sz w:val="24"/>
          <w:szCs w:val="24"/>
        </w:rPr>
        <w:tab/>
        <w:t>:</w:t>
      </w:r>
      <w:r w:rsidRPr="009749F1">
        <w:rPr>
          <w:sz w:val="24"/>
          <w:szCs w:val="24"/>
        </w:rPr>
        <w:tab/>
      </w:r>
      <w:hyperlink r:id="rId8" w:history="1">
        <w:r w:rsidR="00C41966" w:rsidRPr="009749F1">
          <w:rPr>
            <w:rStyle w:val="Hyperlink"/>
            <w:sz w:val="24"/>
            <w:szCs w:val="24"/>
          </w:rPr>
          <w:t>awatkins@spp.org</w:t>
        </w:r>
      </w:hyperlink>
      <w:r w:rsidR="00C41966" w:rsidRPr="009749F1">
        <w:rPr>
          <w:sz w:val="24"/>
          <w:szCs w:val="24"/>
        </w:rPr>
        <w:t xml:space="preserve"> </w:t>
      </w:r>
    </w:p>
    <w:p w14:paraId="7B4C6B74" w14:textId="77777777" w:rsidR="00154B8B" w:rsidRPr="009749F1" w:rsidRDefault="00154B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7C45B47F" w14:textId="6981D631" w:rsidR="00154B8B" w:rsidRPr="009749F1" w:rsidRDefault="00154B8B" w:rsidP="00154B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749F1">
        <w:rPr>
          <w:sz w:val="24"/>
          <w:szCs w:val="24"/>
        </w:rPr>
        <w:tab/>
      </w:r>
      <w:r w:rsidRPr="009749F1">
        <w:rPr>
          <w:sz w:val="24"/>
          <w:szCs w:val="24"/>
        </w:rPr>
        <w:tab/>
      </w:r>
      <w:r w:rsidRPr="009749F1">
        <w:rPr>
          <w:sz w:val="24"/>
          <w:szCs w:val="24"/>
        </w:rPr>
        <w:tab/>
      </w:r>
      <w:r w:rsidRPr="009749F1">
        <w:rPr>
          <w:sz w:val="24"/>
          <w:szCs w:val="24"/>
        </w:rPr>
        <w:tab/>
        <w:t xml:space="preserve">Name </w:t>
      </w:r>
      <w:r w:rsidRPr="009749F1">
        <w:rPr>
          <w:sz w:val="24"/>
          <w:szCs w:val="24"/>
        </w:rPr>
        <w:tab/>
        <w:t xml:space="preserve">:     </w:t>
      </w:r>
      <w:r w:rsidRPr="009749F1">
        <w:rPr>
          <w:sz w:val="24"/>
          <w:szCs w:val="24"/>
        </w:rPr>
        <w:tab/>
        <w:t>Raja Thapp</w:t>
      </w:r>
      <w:r w:rsidR="004B3889" w:rsidRPr="009749F1">
        <w:rPr>
          <w:sz w:val="24"/>
          <w:szCs w:val="24"/>
        </w:rPr>
        <w:t>etaobula</w:t>
      </w:r>
    </w:p>
    <w:p w14:paraId="192A6167" w14:textId="51FEC0EF" w:rsidR="00154B8B" w:rsidRPr="009749F1" w:rsidRDefault="00154B8B" w:rsidP="00154B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4"/>
          <w:szCs w:val="24"/>
        </w:rPr>
      </w:pPr>
      <w:r w:rsidRPr="009749F1">
        <w:rPr>
          <w:sz w:val="24"/>
          <w:szCs w:val="24"/>
        </w:rPr>
        <w:tab/>
      </w:r>
      <w:r w:rsidRPr="009749F1">
        <w:rPr>
          <w:sz w:val="24"/>
          <w:szCs w:val="24"/>
        </w:rPr>
        <w:tab/>
      </w:r>
      <w:r w:rsidRPr="009749F1">
        <w:rPr>
          <w:sz w:val="24"/>
          <w:szCs w:val="24"/>
        </w:rPr>
        <w:tab/>
      </w:r>
      <w:r w:rsidRPr="009749F1">
        <w:rPr>
          <w:sz w:val="24"/>
          <w:szCs w:val="24"/>
        </w:rPr>
        <w:tab/>
        <w:t xml:space="preserve">Title </w:t>
      </w:r>
      <w:r w:rsidRPr="009749F1">
        <w:rPr>
          <w:sz w:val="24"/>
          <w:szCs w:val="24"/>
        </w:rPr>
        <w:tab/>
        <w:t xml:space="preserve">:     </w:t>
      </w:r>
      <w:r w:rsidRPr="009749F1">
        <w:rPr>
          <w:sz w:val="24"/>
          <w:szCs w:val="24"/>
        </w:rPr>
        <w:tab/>
      </w:r>
      <w:r w:rsidR="00875485" w:rsidRPr="009749F1">
        <w:rPr>
          <w:sz w:val="24"/>
          <w:szCs w:val="24"/>
        </w:rPr>
        <w:t>Director Operation Engineering Services</w:t>
      </w:r>
    </w:p>
    <w:p w14:paraId="09E76A3D" w14:textId="12B8EE80" w:rsidR="00154B8B" w:rsidRPr="009749F1" w:rsidRDefault="00154B8B" w:rsidP="00154B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4"/>
          <w:szCs w:val="24"/>
        </w:rPr>
      </w:pPr>
      <w:r w:rsidRPr="009749F1">
        <w:rPr>
          <w:sz w:val="24"/>
          <w:szCs w:val="24"/>
        </w:rPr>
        <w:tab/>
      </w:r>
      <w:r w:rsidRPr="009749F1">
        <w:rPr>
          <w:sz w:val="24"/>
          <w:szCs w:val="24"/>
        </w:rPr>
        <w:tab/>
      </w:r>
      <w:r w:rsidRPr="009749F1">
        <w:rPr>
          <w:sz w:val="24"/>
          <w:szCs w:val="24"/>
        </w:rPr>
        <w:tab/>
      </w:r>
      <w:r w:rsidRPr="009749F1">
        <w:rPr>
          <w:sz w:val="24"/>
          <w:szCs w:val="24"/>
        </w:rPr>
        <w:tab/>
      </w:r>
      <w:r w:rsidR="00A72571" w:rsidRPr="009749F1">
        <w:rPr>
          <w:sz w:val="24"/>
          <w:szCs w:val="24"/>
        </w:rPr>
        <w:t>Phone:</w:t>
      </w:r>
      <w:r w:rsidRPr="009749F1">
        <w:rPr>
          <w:sz w:val="24"/>
          <w:szCs w:val="24"/>
        </w:rPr>
        <w:t xml:space="preserve">  </w:t>
      </w:r>
      <w:r w:rsidRPr="009749F1">
        <w:rPr>
          <w:sz w:val="24"/>
          <w:szCs w:val="24"/>
        </w:rPr>
        <w:tab/>
      </w:r>
      <w:r w:rsidR="00875485" w:rsidRPr="009749F1">
        <w:rPr>
          <w:sz w:val="24"/>
          <w:szCs w:val="24"/>
        </w:rPr>
        <w:t>9165425340</w:t>
      </w:r>
    </w:p>
    <w:p w14:paraId="0DE35405" w14:textId="77777777" w:rsidR="00154B8B" w:rsidRPr="009749F1" w:rsidRDefault="00154B8B" w:rsidP="00154B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hanging="4320"/>
        <w:rPr>
          <w:sz w:val="24"/>
          <w:szCs w:val="24"/>
        </w:rPr>
      </w:pPr>
      <w:r w:rsidRPr="009749F1">
        <w:rPr>
          <w:sz w:val="24"/>
          <w:szCs w:val="24"/>
        </w:rPr>
        <w:tab/>
      </w:r>
      <w:r w:rsidRPr="009749F1">
        <w:rPr>
          <w:sz w:val="24"/>
          <w:szCs w:val="24"/>
        </w:rPr>
        <w:tab/>
      </w:r>
      <w:r w:rsidRPr="009749F1">
        <w:rPr>
          <w:sz w:val="24"/>
          <w:szCs w:val="24"/>
        </w:rPr>
        <w:tab/>
      </w:r>
      <w:r w:rsidRPr="009749F1">
        <w:rPr>
          <w:sz w:val="24"/>
          <w:szCs w:val="24"/>
        </w:rPr>
        <w:tab/>
        <w:t xml:space="preserve">Fax </w:t>
      </w:r>
      <w:r w:rsidRPr="009749F1">
        <w:rPr>
          <w:sz w:val="24"/>
          <w:szCs w:val="24"/>
        </w:rPr>
        <w:tab/>
        <w:t>:</w:t>
      </w:r>
      <w:r w:rsidRPr="009749F1">
        <w:rPr>
          <w:sz w:val="24"/>
          <w:szCs w:val="24"/>
        </w:rPr>
        <w:tab/>
        <w:t>___________________________________</w:t>
      </w:r>
    </w:p>
    <w:p w14:paraId="651AFD96" w14:textId="30D05D62" w:rsidR="00154B8B" w:rsidRPr="009749F1" w:rsidRDefault="00154B8B" w:rsidP="00154B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749F1">
        <w:rPr>
          <w:sz w:val="24"/>
          <w:szCs w:val="24"/>
        </w:rPr>
        <w:tab/>
      </w:r>
      <w:r w:rsidRPr="009749F1">
        <w:rPr>
          <w:sz w:val="24"/>
          <w:szCs w:val="24"/>
        </w:rPr>
        <w:tab/>
      </w:r>
      <w:r w:rsidRPr="009749F1">
        <w:rPr>
          <w:sz w:val="24"/>
          <w:szCs w:val="24"/>
        </w:rPr>
        <w:tab/>
      </w:r>
      <w:r w:rsidRPr="009749F1">
        <w:rPr>
          <w:sz w:val="24"/>
          <w:szCs w:val="24"/>
        </w:rPr>
        <w:tab/>
        <w:t>E</w:t>
      </w:r>
      <w:r w:rsidRPr="009749F1">
        <w:rPr>
          <w:sz w:val="24"/>
          <w:szCs w:val="24"/>
        </w:rPr>
        <w:noBreakHyphen/>
        <w:t>mail</w:t>
      </w:r>
      <w:r w:rsidRPr="009749F1">
        <w:rPr>
          <w:sz w:val="24"/>
          <w:szCs w:val="24"/>
        </w:rPr>
        <w:tab/>
        <w:t>:</w:t>
      </w:r>
      <w:r w:rsidRPr="009749F1">
        <w:rPr>
          <w:sz w:val="24"/>
          <w:szCs w:val="24"/>
        </w:rPr>
        <w:tab/>
      </w:r>
      <w:r w:rsidR="004B3889" w:rsidRPr="009749F1">
        <w:rPr>
          <w:sz w:val="24"/>
          <w:szCs w:val="24"/>
        </w:rPr>
        <w:t>rthappetaobula@caiso.com</w:t>
      </w:r>
      <w:r w:rsidRPr="009749F1">
        <w:rPr>
          <w:sz w:val="24"/>
          <w:szCs w:val="24"/>
        </w:rPr>
        <w:t xml:space="preserve"> </w:t>
      </w:r>
    </w:p>
    <w:p w14:paraId="577F3F0E" w14:textId="77777777" w:rsidR="00154B8B" w:rsidRPr="009749F1" w:rsidRDefault="00154B8B" w:rsidP="00154B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4A65634" w14:textId="77777777" w:rsidR="00154B8B" w:rsidRPr="009749F1" w:rsidRDefault="00154B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7C4A523" w14:textId="77777777" w:rsidR="00D360B8" w:rsidRPr="009749F1"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DFFFB9E" w14:textId="77777777" w:rsidR="00D360B8" w:rsidRPr="009749F1"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064B651" w14:textId="77777777" w:rsidR="00D360B8" w:rsidRPr="009749F1" w:rsidRDefault="004D2CC4" w:rsidP="0053143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749F1">
        <w:rPr>
          <w:sz w:val="24"/>
          <w:szCs w:val="24"/>
        </w:rPr>
        <w:t xml:space="preserve">Title and </w:t>
      </w:r>
      <w:r w:rsidR="00D360B8" w:rsidRPr="009749F1">
        <w:rPr>
          <w:sz w:val="24"/>
          <w:szCs w:val="24"/>
        </w:rPr>
        <w:t>Description of Proposed Standard or Enhancement:</w:t>
      </w:r>
    </w:p>
    <w:p w14:paraId="52B2F3B4" w14:textId="77777777" w:rsidR="0053143D" w:rsidRPr="009749F1" w:rsidRDefault="0053143D" w:rsidP="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14:paraId="363C15A9" w14:textId="77777777" w:rsidR="0053143D" w:rsidRPr="009749F1" w:rsidRDefault="0053143D" w:rsidP="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749F1">
        <w:rPr>
          <w:sz w:val="24"/>
          <w:szCs w:val="24"/>
        </w:rPr>
        <w:t>Title:</w:t>
      </w:r>
    </w:p>
    <w:p w14:paraId="6E80245B" w14:textId="1B475A1A" w:rsidR="00D360B8" w:rsidRPr="009749F1" w:rsidRDefault="00744562" w:rsidP="006D73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749F1">
        <w:rPr>
          <w:sz w:val="24"/>
          <w:szCs w:val="24"/>
        </w:rPr>
        <w:t>ECC Expansion – Western Interconnection Congestion Management</w:t>
      </w:r>
      <w:r w:rsidRPr="009749F1">
        <w:rPr>
          <w:sz w:val="24"/>
          <w:szCs w:val="24"/>
        </w:rPr>
        <w:tab/>
      </w:r>
    </w:p>
    <w:p w14:paraId="44FFA07C" w14:textId="77777777" w:rsidR="0053143D" w:rsidRPr="009749F1" w:rsidRDefault="005314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szCs w:val="24"/>
        </w:rPr>
      </w:pPr>
    </w:p>
    <w:p w14:paraId="1DBC7E67" w14:textId="3180C79F" w:rsidR="0053143D" w:rsidRPr="009749F1" w:rsidRDefault="0053143D" w:rsidP="00783D71">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749F1">
        <w:rPr>
          <w:sz w:val="24"/>
          <w:szCs w:val="24"/>
        </w:rPr>
        <w:t>Description:</w:t>
      </w:r>
    </w:p>
    <w:p w14:paraId="3476FEE5" w14:textId="509AAA8A" w:rsidR="003F4D12" w:rsidRPr="009749F1" w:rsidRDefault="003F4D12" w:rsidP="003F4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14:paraId="4EB4F568" w14:textId="02014B52" w:rsidR="00A62BA4" w:rsidRPr="009749F1" w:rsidRDefault="003F4D12" w:rsidP="00A62BA4">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9749F1">
        <w:rPr>
          <w:sz w:val="24"/>
          <w:szCs w:val="24"/>
        </w:rPr>
        <w:lastRenderedPageBreak/>
        <w:t xml:space="preserve">The Western Interconnection lacks a uniform congestion management process that each RC, BA, and TOP follow in coordination together to support reliability and equity in application for all systems and customers. </w:t>
      </w:r>
      <w:r w:rsidR="000B4E33" w:rsidRPr="009749F1">
        <w:rPr>
          <w:sz w:val="24"/>
          <w:szCs w:val="24"/>
        </w:rPr>
        <w:t xml:space="preserve">As the </w:t>
      </w:r>
      <w:r w:rsidR="000452F4">
        <w:rPr>
          <w:sz w:val="24"/>
          <w:szCs w:val="24"/>
        </w:rPr>
        <w:t>W</w:t>
      </w:r>
      <w:r w:rsidR="000B4E33" w:rsidRPr="009749F1">
        <w:rPr>
          <w:sz w:val="24"/>
          <w:szCs w:val="24"/>
        </w:rPr>
        <w:t xml:space="preserve">estern </w:t>
      </w:r>
      <w:r w:rsidR="000452F4">
        <w:rPr>
          <w:sz w:val="24"/>
          <w:szCs w:val="24"/>
        </w:rPr>
        <w:t>I</w:t>
      </w:r>
      <w:r w:rsidR="000B4E33" w:rsidRPr="009749F1">
        <w:rPr>
          <w:sz w:val="24"/>
          <w:szCs w:val="24"/>
        </w:rPr>
        <w:t xml:space="preserve">nterconnection transitions to services requiring broader coordination with </w:t>
      </w:r>
      <w:r w:rsidR="00E745CE">
        <w:rPr>
          <w:sz w:val="24"/>
          <w:szCs w:val="24"/>
        </w:rPr>
        <w:t xml:space="preserve">its </w:t>
      </w:r>
      <w:r w:rsidR="000B4E33" w:rsidRPr="009749F1">
        <w:rPr>
          <w:sz w:val="24"/>
          <w:szCs w:val="24"/>
        </w:rPr>
        <w:t>neighbors</w:t>
      </w:r>
      <w:r w:rsidR="00E745CE">
        <w:rPr>
          <w:sz w:val="24"/>
          <w:szCs w:val="24"/>
        </w:rPr>
        <w:t>,</w:t>
      </w:r>
      <w:r w:rsidR="000B4E33" w:rsidRPr="009749F1">
        <w:rPr>
          <w:sz w:val="24"/>
          <w:szCs w:val="24"/>
        </w:rPr>
        <w:t xml:space="preserve"> establishing a standardized and efficient framework for addressing congestion management interconnection wide will be essential for reliability, equitability, and transparency. Currently</w:t>
      </w:r>
      <w:r w:rsidR="00E745CE">
        <w:rPr>
          <w:sz w:val="24"/>
          <w:szCs w:val="24"/>
        </w:rPr>
        <w:t>, the</w:t>
      </w:r>
      <w:r w:rsidR="000B4E33" w:rsidRPr="009749F1">
        <w:rPr>
          <w:sz w:val="24"/>
          <w:szCs w:val="24"/>
        </w:rPr>
        <w:t xml:space="preserve"> </w:t>
      </w:r>
      <w:r w:rsidR="00E745CE">
        <w:rPr>
          <w:sz w:val="24"/>
          <w:szCs w:val="24"/>
        </w:rPr>
        <w:t>W</w:t>
      </w:r>
      <w:r w:rsidR="000B4E33" w:rsidRPr="009749F1">
        <w:rPr>
          <w:sz w:val="24"/>
          <w:szCs w:val="24"/>
        </w:rPr>
        <w:t xml:space="preserve">estern </w:t>
      </w:r>
      <w:r w:rsidR="004334B5">
        <w:rPr>
          <w:sz w:val="24"/>
          <w:szCs w:val="24"/>
        </w:rPr>
        <w:t>I</w:t>
      </w:r>
      <w:r w:rsidR="000B4E33" w:rsidRPr="009749F1">
        <w:rPr>
          <w:sz w:val="24"/>
          <w:szCs w:val="24"/>
        </w:rPr>
        <w:t xml:space="preserve">nterconnect </w:t>
      </w:r>
      <w:r w:rsidR="00A72571" w:rsidRPr="009749F1">
        <w:rPr>
          <w:sz w:val="24"/>
          <w:szCs w:val="24"/>
        </w:rPr>
        <w:t xml:space="preserve">utilizes </w:t>
      </w:r>
      <w:r w:rsidR="0017734C">
        <w:rPr>
          <w:sz w:val="24"/>
          <w:szCs w:val="24"/>
        </w:rPr>
        <w:t>the</w:t>
      </w:r>
      <w:r w:rsidR="00A72571" w:rsidRPr="009749F1">
        <w:rPr>
          <w:sz w:val="24"/>
          <w:szCs w:val="24"/>
        </w:rPr>
        <w:t xml:space="preserve"> </w:t>
      </w:r>
      <w:r w:rsidR="004334B5">
        <w:rPr>
          <w:sz w:val="24"/>
          <w:szCs w:val="24"/>
        </w:rPr>
        <w:t>W</w:t>
      </w:r>
      <w:r w:rsidR="00A72571" w:rsidRPr="009749F1">
        <w:rPr>
          <w:sz w:val="24"/>
          <w:szCs w:val="24"/>
        </w:rPr>
        <w:t>estern</w:t>
      </w:r>
      <w:r w:rsidR="000B4E33" w:rsidRPr="009749F1">
        <w:rPr>
          <w:sz w:val="24"/>
          <w:szCs w:val="24"/>
        </w:rPr>
        <w:t xml:space="preserve"> </w:t>
      </w:r>
      <w:r w:rsidR="004334B5">
        <w:rPr>
          <w:sz w:val="24"/>
          <w:szCs w:val="24"/>
        </w:rPr>
        <w:t>I</w:t>
      </w:r>
      <w:r w:rsidR="000B4E33" w:rsidRPr="009749F1">
        <w:rPr>
          <w:sz w:val="24"/>
          <w:szCs w:val="24"/>
        </w:rPr>
        <w:t xml:space="preserve">nterconnection </w:t>
      </w:r>
      <w:r w:rsidR="004334B5">
        <w:rPr>
          <w:sz w:val="24"/>
          <w:szCs w:val="24"/>
        </w:rPr>
        <w:t>U</w:t>
      </w:r>
      <w:r w:rsidR="000B4E33" w:rsidRPr="009749F1">
        <w:rPr>
          <w:sz w:val="24"/>
          <w:szCs w:val="24"/>
        </w:rPr>
        <w:t xml:space="preserve">nscheduled </w:t>
      </w:r>
      <w:r w:rsidR="004334B5">
        <w:rPr>
          <w:sz w:val="24"/>
          <w:szCs w:val="24"/>
        </w:rPr>
        <w:t>F</w:t>
      </w:r>
      <w:r w:rsidR="000B4E33" w:rsidRPr="009749F1">
        <w:rPr>
          <w:sz w:val="24"/>
          <w:szCs w:val="24"/>
        </w:rPr>
        <w:t xml:space="preserve">low </w:t>
      </w:r>
      <w:r w:rsidR="004334B5">
        <w:rPr>
          <w:sz w:val="24"/>
          <w:szCs w:val="24"/>
        </w:rPr>
        <w:t>M</w:t>
      </w:r>
      <w:r w:rsidR="000B4E33" w:rsidRPr="009749F1">
        <w:rPr>
          <w:sz w:val="24"/>
          <w:szCs w:val="24"/>
        </w:rPr>
        <w:t xml:space="preserve">itigation </w:t>
      </w:r>
      <w:r w:rsidR="004334B5">
        <w:rPr>
          <w:sz w:val="24"/>
          <w:szCs w:val="24"/>
        </w:rPr>
        <w:t>P</w:t>
      </w:r>
      <w:r w:rsidR="000B4E33" w:rsidRPr="009749F1">
        <w:rPr>
          <w:sz w:val="24"/>
          <w:szCs w:val="24"/>
        </w:rPr>
        <w:t xml:space="preserve">lan (WIUFMP) to mitigate high flows on qualified paths to reliable levels during real time operations. One of the </w:t>
      </w:r>
      <w:r w:rsidR="00FD6C5D" w:rsidRPr="009749F1">
        <w:rPr>
          <w:sz w:val="24"/>
          <w:szCs w:val="24"/>
        </w:rPr>
        <w:t xml:space="preserve">main </w:t>
      </w:r>
      <w:r w:rsidR="00A72571" w:rsidRPr="009749F1">
        <w:rPr>
          <w:sz w:val="24"/>
          <w:szCs w:val="24"/>
        </w:rPr>
        <w:t>drawbacks</w:t>
      </w:r>
      <w:r w:rsidR="000B4E33" w:rsidRPr="009749F1">
        <w:rPr>
          <w:sz w:val="24"/>
          <w:szCs w:val="24"/>
        </w:rPr>
        <w:t xml:space="preserve"> of the existing process is it is limited to 5 qualified paths currently and can’t be utilized to address unscheduled flows across various system operating limits (SOL’s) in </w:t>
      </w:r>
      <w:r w:rsidR="00A74862">
        <w:rPr>
          <w:sz w:val="24"/>
          <w:szCs w:val="24"/>
        </w:rPr>
        <w:t xml:space="preserve">the </w:t>
      </w:r>
      <w:r w:rsidR="007C2FBE">
        <w:rPr>
          <w:sz w:val="24"/>
          <w:szCs w:val="24"/>
        </w:rPr>
        <w:t>W</w:t>
      </w:r>
      <w:r w:rsidR="000B4E33" w:rsidRPr="009749F1">
        <w:rPr>
          <w:sz w:val="24"/>
          <w:szCs w:val="24"/>
        </w:rPr>
        <w:t xml:space="preserve">estern </w:t>
      </w:r>
      <w:r w:rsidR="007C2FBE">
        <w:rPr>
          <w:sz w:val="24"/>
          <w:szCs w:val="24"/>
        </w:rPr>
        <w:t>I</w:t>
      </w:r>
      <w:r w:rsidR="000B4E33" w:rsidRPr="009749F1">
        <w:rPr>
          <w:sz w:val="24"/>
          <w:szCs w:val="24"/>
        </w:rPr>
        <w:t xml:space="preserve">nterconnection. </w:t>
      </w:r>
      <w:r w:rsidR="00A74862">
        <w:rPr>
          <w:sz w:val="24"/>
          <w:szCs w:val="24"/>
        </w:rPr>
        <w:t xml:space="preserve">The </w:t>
      </w:r>
      <w:r w:rsidR="000B4E33" w:rsidRPr="009749F1">
        <w:rPr>
          <w:sz w:val="24"/>
          <w:szCs w:val="24"/>
        </w:rPr>
        <w:t>WIUFMP is administered utilizing Enhanced Curtailment calculator (</w:t>
      </w:r>
      <w:r w:rsidR="00A62BA4" w:rsidRPr="009749F1">
        <w:rPr>
          <w:sz w:val="24"/>
          <w:szCs w:val="24"/>
        </w:rPr>
        <w:t>web</w:t>
      </w:r>
      <w:r w:rsidR="000B4E33" w:rsidRPr="009749F1">
        <w:rPr>
          <w:sz w:val="24"/>
          <w:szCs w:val="24"/>
        </w:rPr>
        <w:t>ECC).</w:t>
      </w:r>
      <w:r w:rsidR="000B4E33" w:rsidRPr="009749F1">
        <w:rPr>
          <w:rFonts w:eastAsiaTheme="minorEastAsia"/>
          <w:color w:val="000000" w:themeColor="text1"/>
          <w:kern w:val="24"/>
          <w:sz w:val="24"/>
          <w:szCs w:val="24"/>
        </w:rPr>
        <w:t xml:space="preserve"> </w:t>
      </w:r>
    </w:p>
    <w:p w14:paraId="312B669A" w14:textId="77777777" w:rsidR="00A62BA4" w:rsidRPr="009749F1" w:rsidRDefault="00A62BA4" w:rsidP="00A62B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z w:val="24"/>
          <w:szCs w:val="24"/>
        </w:rPr>
      </w:pPr>
    </w:p>
    <w:p w14:paraId="03476F28" w14:textId="7AAB5A8E" w:rsidR="000B4E33" w:rsidRPr="009749F1" w:rsidRDefault="003C6E36" w:rsidP="00A62B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The </w:t>
      </w:r>
      <w:r w:rsidR="000B4E33" w:rsidRPr="009749F1">
        <w:rPr>
          <w:sz w:val="24"/>
          <w:szCs w:val="24"/>
        </w:rPr>
        <w:t xml:space="preserve">Enhanced Curtailment Calculator Working Group (ECCWG) is a technical advisory group providing guidance on the decisions affecting the sustainment and improvement of the webECC tool. </w:t>
      </w:r>
      <w:r w:rsidR="008B28D7">
        <w:rPr>
          <w:sz w:val="24"/>
          <w:szCs w:val="24"/>
        </w:rPr>
        <w:t xml:space="preserve">The </w:t>
      </w:r>
      <w:r w:rsidR="000B4E33" w:rsidRPr="009749F1">
        <w:rPr>
          <w:sz w:val="24"/>
          <w:szCs w:val="24"/>
        </w:rPr>
        <w:t xml:space="preserve">ECCWG established </w:t>
      </w:r>
      <w:r w:rsidR="00383BFA">
        <w:rPr>
          <w:sz w:val="24"/>
          <w:szCs w:val="24"/>
        </w:rPr>
        <w:t xml:space="preserve">an </w:t>
      </w:r>
      <w:r w:rsidR="000B4E33" w:rsidRPr="009749F1">
        <w:rPr>
          <w:sz w:val="24"/>
          <w:szCs w:val="24"/>
        </w:rPr>
        <w:t xml:space="preserve">ECC expansion Taskforce to evaluate and advise </w:t>
      </w:r>
      <w:r w:rsidR="00383BFA">
        <w:rPr>
          <w:sz w:val="24"/>
          <w:szCs w:val="24"/>
        </w:rPr>
        <w:t xml:space="preserve">the </w:t>
      </w:r>
      <w:r w:rsidR="000B4E33" w:rsidRPr="009749F1">
        <w:rPr>
          <w:sz w:val="24"/>
          <w:szCs w:val="24"/>
        </w:rPr>
        <w:t xml:space="preserve">ECCWG on </w:t>
      </w:r>
      <w:r w:rsidR="00383BFA">
        <w:rPr>
          <w:sz w:val="24"/>
          <w:szCs w:val="24"/>
        </w:rPr>
        <w:t>the</w:t>
      </w:r>
      <w:r w:rsidR="000B4E33" w:rsidRPr="009749F1">
        <w:rPr>
          <w:sz w:val="24"/>
          <w:szCs w:val="24"/>
        </w:rPr>
        <w:t xml:space="preserve"> technical feasibility of expanding </w:t>
      </w:r>
      <w:r w:rsidR="00FA119B">
        <w:rPr>
          <w:sz w:val="24"/>
          <w:szCs w:val="24"/>
        </w:rPr>
        <w:t>the</w:t>
      </w:r>
      <w:r w:rsidR="000B4E33" w:rsidRPr="009749F1">
        <w:rPr>
          <w:sz w:val="24"/>
          <w:szCs w:val="24"/>
        </w:rPr>
        <w:t xml:space="preserve"> </w:t>
      </w:r>
      <w:r w:rsidR="00FD6C5D" w:rsidRPr="009749F1">
        <w:rPr>
          <w:sz w:val="24"/>
          <w:szCs w:val="24"/>
        </w:rPr>
        <w:t>webECC model for</w:t>
      </w:r>
      <w:r w:rsidR="000B4E33" w:rsidRPr="009749F1">
        <w:rPr>
          <w:sz w:val="24"/>
          <w:szCs w:val="24"/>
        </w:rPr>
        <w:t xml:space="preserve"> System Operating Limits (“SOLs”) and Interconnection Reliability Operating Limits (“IROLs”) constraints.</w:t>
      </w:r>
    </w:p>
    <w:p w14:paraId="29F8191D" w14:textId="0A47EF5C" w:rsidR="000B4E33" w:rsidRPr="009749F1" w:rsidRDefault="000B4E33" w:rsidP="00842F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08076CCA" w14:textId="48463D34" w:rsidR="008A5B56" w:rsidRPr="009749F1" w:rsidRDefault="003B0DE8" w:rsidP="00A62B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The </w:t>
      </w:r>
      <w:r w:rsidR="00842F3E" w:rsidRPr="009749F1">
        <w:rPr>
          <w:sz w:val="24"/>
          <w:szCs w:val="24"/>
        </w:rPr>
        <w:t xml:space="preserve">ECC expansion Taskforce proposal </w:t>
      </w:r>
      <w:r w:rsidR="00DB267A" w:rsidRPr="009749F1">
        <w:rPr>
          <w:sz w:val="24"/>
          <w:szCs w:val="24"/>
        </w:rPr>
        <w:t xml:space="preserve">is to </w:t>
      </w:r>
      <w:r w:rsidR="00842F3E" w:rsidRPr="009749F1">
        <w:rPr>
          <w:sz w:val="24"/>
          <w:szCs w:val="24"/>
        </w:rPr>
        <w:t xml:space="preserve">enhance webECC and utilize the model for </w:t>
      </w:r>
      <w:r w:rsidR="00A72571" w:rsidRPr="009749F1">
        <w:rPr>
          <w:sz w:val="24"/>
          <w:szCs w:val="24"/>
        </w:rPr>
        <w:t>SOLs</w:t>
      </w:r>
      <w:r w:rsidR="00842F3E" w:rsidRPr="009749F1">
        <w:rPr>
          <w:sz w:val="24"/>
          <w:szCs w:val="24"/>
        </w:rPr>
        <w:t xml:space="preserve"> across </w:t>
      </w:r>
      <w:r>
        <w:rPr>
          <w:sz w:val="24"/>
          <w:szCs w:val="24"/>
        </w:rPr>
        <w:t>the W</w:t>
      </w:r>
      <w:r w:rsidR="00842F3E" w:rsidRPr="009749F1">
        <w:rPr>
          <w:sz w:val="24"/>
          <w:szCs w:val="24"/>
        </w:rPr>
        <w:t xml:space="preserve">estern </w:t>
      </w:r>
      <w:r>
        <w:rPr>
          <w:sz w:val="24"/>
          <w:szCs w:val="24"/>
        </w:rPr>
        <w:t>I</w:t>
      </w:r>
      <w:r w:rsidR="00842F3E" w:rsidRPr="009749F1">
        <w:rPr>
          <w:sz w:val="24"/>
          <w:szCs w:val="24"/>
        </w:rPr>
        <w:t>nterconnect. The proposal includes issuing</w:t>
      </w:r>
      <w:r w:rsidR="00DB267A" w:rsidRPr="009749F1">
        <w:rPr>
          <w:sz w:val="24"/>
          <w:szCs w:val="24"/>
        </w:rPr>
        <w:t xml:space="preserve"> relief obligations on a pro rata basis while respecting transaction </w:t>
      </w:r>
      <w:r w:rsidR="008A5B56" w:rsidRPr="009749F1">
        <w:rPr>
          <w:sz w:val="24"/>
          <w:szCs w:val="24"/>
        </w:rPr>
        <w:t>priorities</w:t>
      </w:r>
      <w:r w:rsidR="00842F3E" w:rsidRPr="009749F1">
        <w:rPr>
          <w:sz w:val="24"/>
          <w:szCs w:val="24"/>
        </w:rPr>
        <w:t xml:space="preserve"> for both tagged and non-tagged transactions</w:t>
      </w:r>
      <w:r w:rsidR="008A5B56" w:rsidRPr="009749F1">
        <w:rPr>
          <w:sz w:val="24"/>
          <w:szCs w:val="24"/>
        </w:rPr>
        <w:t xml:space="preserve">. </w:t>
      </w:r>
      <w:r w:rsidR="00DB267A" w:rsidRPr="009749F1">
        <w:rPr>
          <w:sz w:val="24"/>
          <w:szCs w:val="24"/>
        </w:rPr>
        <w:t xml:space="preserve">The relief obligation should be based upon constraints defined in </w:t>
      </w:r>
      <w:r>
        <w:rPr>
          <w:sz w:val="24"/>
          <w:szCs w:val="24"/>
        </w:rPr>
        <w:t xml:space="preserve">the </w:t>
      </w:r>
      <w:r w:rsidR="00DB267A" w:rsidRPr="009749F1">
        <w:rPr>
          <w:sz w:val="24"/>
          <w:szCs w:val="24"/>
        </w:rPr>
        <w:t xml:space="preserve">ECC to resolve or prevent SOL exceedances. The first step in this relief obligation assignment </w:t>
      </w:r>
      <w:r w:rsidR="00EA446F" w:rsidRPr="009749F1">
        <w:rPr>
          <w:sz w:val="24"/>
          <w:szCs w:val="24"/>
        </w:rPr>
        <w:t>process is to determine if e-tags/dynamic tags and balancing areas serving their own load have</w:t>
      </w:r>
      <w:r w:rsidR="00DB267A" w:rsidRPr="009749F1">
        <w:rPr>
          <w:sz w:val="24"/>
          <w:szCs w:val="24"/>
        </w:rPr>
        <w:t xml:space="preserve"> a material contribution to the SOL exceedance. </w:t>
      </w:r>
      <w:r w:rsidR="00EA446F" w:rsidRPr="009749F1">
        <w:rPr>
          <w:sz w:val="24"/>
          <w:szCs w:val="24"/>
        </w:rPr>
        <w:t>A</w:t>
      </w:r>
      <w:r w:rsidR="00DB267A" w:rsidRPr="009749F1">
        <w:rPr>
          <w:sz w:val="24"/>
          <w:szCs w:val="24"/>
        </w:rPr>
        <w:t xml:space="preserve">n entity has a material impact when an individual Impact (e-Tag, Dynamic Transfer, and Generation to </w:t>
      </w:r>
      <w:r w:rsidR="00EA446F" w:rsidRPr="009749F1">
        <w:rPr>
          <w:sz w:val="24"/>
          <w:szCs w:val="24"/>
        </w:rPr>
        <w:t>load impact GTL</w:t>
      </w:r>
      <w:r w:rsidR="00DB267A" w:rsidRPr="009749F1">
        <w:rPr>
          <w:sz w:val="24"/>
          <w:szCs w:val="24"/>
        </w:rPr>
        <w:t>) is greater than or equal to a 5% Impact Threshold</w:t>
      </w:r>
      <w:r w:rsidR="008A5B56" w:rsidRPr="009749F1">
        <w:rPr>
          <w:sz w:val="24"/>
          <w:szCs w:val="24"/>
        </w:rPr>
        <w:t xml:space="preserve"> on the constraint. These 5% impacts will be considered for relief obligations.</w:t>
      </w:r>
    </w:p>
    <w:p w14:paraId="375A8B65" w14:textId="77777777" w:rsidR="008A5B56" w:rsidRPr="009749F1" w:rsidRDefault="008A5B56" w:rsidP="003F4D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sz w:val="24"/>
          <w:szCs w:val="24"/>
        </w:rPr>
      </w:pPr>
    </w:p>
    <w:p w14:paraId="058B677C" w14:textId="7357F7E6" w:rsidR="008A5B56" w:rsidRPr="009749F1" w:rsidRDefault="008A5B56" w:rsidP="00EA44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9749F1">
        <w:rPr>
          <w:sz w:val="24"/>
          <w:szCs w:val="24"/>
        </w:rPr>
        <w:t xml:space="preserve">If </w:t>
      </w:r>
      <w:r w:rsidR="003B0DE8">
        <w:rPr>
          <w:sz w:val="24"/>
          <w:szCs w:val="24"/>
        </w:rPr>
        <w:t>the</w:t>
      </w:r>
      <w:r w:rsidRPr="009749F1">
        <w:rPr>
          <w:sz w:val="24"/>
          <w:szCs w:val="24"/>
        </w:rPr>
        <w:t xml:space="preserve"> </w:t>
      </w:r>
      <w:r w:rsidR="003513AC" w:rsidRPr="009749F1">
        <w:rPr>
          <w:sz w:val="24"/>
          <w:szCs w:val="24"/>
        </w:rPr>
        <w:t>E</w:t>
      </w:r>
      <w:r w:rsidRPr="009749F1">
        <w:rPr>
          <w:sz w:val="24"/>
          <w:szCs w:val="24"/>
        </w:rPr>
        <w:t>CC identifies no impacts greater than 5% threshold on a constraint than that particular constraint</w:t>
      </w:r>
      <w:r w:rsidR="00DB267A" w:rsidRPr="009749F1">
        <w:rPr>
          <w:sz w:val="24"/>
          <w:szCs w:val="24"/>
        </w:rPr>
        <w:t xml:space="preserve"> would remain a local issue that the BA, TOP and RC would resolve with existing methods. </w:t>
      </w:r>
      <w:r w:rsidRPr="009749F1">
        <w:rPr>
          <w:sz w:val="24"/>
          <w:szCs w:val="24"/>
        </w:rPr>
        <w:t xml:space="preserve">Impact </w:t>
      </w:r>
      <w:r w:rsidR="00DB267A" w:rsidRPr="009749F1">
        <w:rPr>
          <w:sz w:val="24"/>
          <w:szCs w:val="24"/>
        </w:rPr>
        <w:t xml:space="preserve">Calculations should respect any existing seams agreements and be able to accommodate future seams agreements. </w:t>
      </w:r>
    </w:p>
    <w:p w14:paraId="0A32D3FC" w14:textId="77777777" w:rsidR="008A5B56" w:rsidRPr="009749F1" w:rsidRDefault="008A5B56" w:rsidP="00EA44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584FFED0" w14:textId="77777777" w:rsidR="003F4D12" w:rsidRPr="009749F1" w:rsidRDefault="003F4D12" w:rsidP="00EA44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E01716D" w14:textId="00C88326" w:rsidR="00DB267A" w:rsidRPr="009749F1" w:rsidRDefault="008A5B56" w:rsidP="00EA44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9749F1">
        <w:rPr>
          <w:sz w:val="24"/>
          <w:szCs w:val="24"/>
        </w:rPr>
        <w:t>E</w:t>
      </w:r>
      <w:r w:rsidR="00DB267A" w:rsidRPr="009749F1">
        <w:rPr>
          <w:sz w:val="24"/>
          <w:szCs w:val="24"/>
        </w:rPr>
        <w:t>-Tag and Dynamic Transfers</w:t>
      </w:r>
      <w:r w:rsidR="000758D9" w:rsidRPr="009749F1">
        <w:rPr>
          <w:sz w:val="24"/>
          <w:szCs w:val="24"/>
        </w:rPr>
        <w:t xml:space="preserve"> I</w:t>
      </w:r>
      <w:r w:rsidR="003513AC" w:rsidRPr="009749F1">
        <w:rPr>
          <w:sz w:val="24"/>
          <w:szCs w:val="24"/>
        </w:rPr>
        <w:t>mpacts:</w:t>
      </w:r>
    </w:p>
    <w:p w14:paraId="2B5F96CC" w14:textId="77777777" w:rsidR="008A5B56" w:rsidRPr="009749F1" w:rsidRDefault="008A5B56" w:rsidP="00EA44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286935D8" w14:textId="728C5374" w:rsidR="00DB267A" w:rsidRPr="009749F1" w:rsidRDefault="00DB267A" w:rsidP="00EA44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9749F1">
        <w:rPr>
          <w:sz w:val="24"/>
          <w:szCs w:val="24"/>
        </w:rPr>
        <w:t>The e-</w:t>
      </w:r>
      <w:r w:rsidR="008A5B56" w:rsidRPr="009749F1">
        <w:rPr>
          <w:sz w:val="24"/>
          <w:szCs w:val="24"/>
        </w:rPr>
        <w:t xml:space="preserve">Tag and Dynamic Transfer Impacts are calculated </w:t>
      </w:r>
      <w:r w:rsidRPr="009749F1">
        <w:rPr>
          <w:sz w:val="24"/>
          <w:szCs w:val="24"/>
        </w:rPr>
        <w:t>based on the real-time value from the e-Tag or from available telemetry</w:t>
      </w:r>
      <w:r w:rsidR="003513AC" w:rsidRPr="009749F1">
        <w:rPr>
          <w:sz w:val="24"/>
          <w:szCs w:val="24"/>
        </w:rPr>
        <w:t xml:space="preserve"> on the dynamic tag</w:t>
      </w:r>
      <w:r w:rsidRPr="009749F1">
        <w:rPr>
          <w:sz w:val="24"/>
          <w:szCs w:val="24"/>
        </w:rPr>
        <w:t xml:space="preserve">. When e-Tags or Dynamic Transfers are used to assign relief obligations, </w:t>
      </w:r>
      <w:r w:rsidR="003B0DE8">
        <w:rPr>
          <w:sz w:val="24"/>
          <w:szCs w:val="24"/>
        </w:rPr>
        <w:t xml:space="preserve">the </w:t>
      </w:r>
      <w:r w:rsidRPr="009749F1">
        <w:rPr>
          <w:sz w:val="24"/>
          <w:szCs w:val="24"/>
        </w:rPr>
        <w:t xml:space="preserve">ECC will respect transmission priorities so that non-firm curtailments are requested prior to firm curtailments using a bucket approach. </w:t>
      </w:r>
      <w:r w:rsidR="003513AC" w:rsidRPr="009749F1">
        <w:rPr>
          <w:sz w:val="24"/>
          <w:szCs w:val="24"/>
        </w:rPr>
        <w:t>E-Tags</w:t>
      </w:r>
      <w:r w:rsidRPr="009749F1">
        <w:rPr>
          <w:sz w:val="24"/>
          <w:szCs w:val="24"/>
        </w:rPr>
        <w:t xml:space="preserve"> or Dynamic Transfers included in the relief obligations will be subject to systematic curtailment. </w:t>
      </w:r>
      <w:r w:rsidR="003513AC" w:rsidRPr="009749F1">
        <w:rPr>
          <w:sz w:val="24"/>
          <w:szCs w:val="24"/>
        </w:rPr>
        <w:t>Balancing areas</w:t>
      </w:r>
      <w:r w:rsidRPr="009749F1">
        <w:rPr>
          <w:sz w:val="24"/>
          <w:szCs w:val="24"/>
        </w:rPr>
        <w:t xml:space="preserve"> will have the authority to reject the curtailments of specific e-Tags if the curtailment of those e-Tags would create emergency conditions for the BA. </w:t>
      </w:r>
    </w:p>
    <w:p w14:paraId="0F562FF5" w14:textId="77777777" w:rsidR="00B27C55" w:rsidRPr="009749F1" w:rsidRDefault="00B27C55" w:rsidP="00EA44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674371BD" w14:textId="1A5CBCD9" w:rsidR="00DB267A" w:rsidRPr="009749F1" w:rsidRDefault="00DB267A" w:rsidP="00EA44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9749F1">
        <w:rPr>
          <w:sz w:val="24"/>
          <w:szCs w:val="24"/>
        </w:rPr>
        <w:lastRenderedPageBreak/>
        <w:t xml:space="preserve">Generation to </w:t>
      </w:r>
      <w:r w:rsidR="000758D9" w:rsidRPr="009749F1">
        <w:rPr>
          <w:sz w:val="24"/>
          <w:szCs w:val="24"/>
        </w:rPr>
        <w:t>Load Impacts:</w:t>
      </w:r>
    </w:p>
    <w:p w14:paraId="33DB3DE4" w14:textId="77777777" w:rsidR="000758D9" w:rsidRPr="009749F1" w:rsidRDefault="000758D9" w:rsidP="00EA44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52A66FED" w14:textId="605E38D3" w:rsidR="00277D5E" w:rsidRPr="009749F1" w:rsidRDefault="00DB267A" w:rsidP="00EA44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9749F1">
        <w:rPr>
          <w:sz w:val="24"/>
          <w:szCs w:val="24"/>
        </w:rPr>
        <w:t xml:space="preserve">The Generation to Load (“GTL”) </w:t>
      </w:r>
      <w:r w:rsidR="00277D5E" w:rsidRPr="009749F1">
        <w:rPr>
          <w:sz w:val="24"/>
          <w:szCs w:val="24"/>
        </w:rPr>
        <w:t>impacts of a balancing area</w:t>
      </w:r>
      <w:r w:rsidRPr="009749F1">
        <w:rPr>
          <w:sz w:val="24"/>
          <w:szCs w:val="24"/>
        </w:rPr>
        <w:t xml:space="preserve"> </w:t>
      </w:r>
      <w:r w:rsidR="00277D5E" w:rsidRPr="009749F1">
        <w:rPr>
          <w:sz w:val="24"/>
          <w:szCs w:val="24"/>
        </w:rPr>
        <w:t xml:space="preserve">are calculated based on internal area generation serving area load adjusting for imports and </w:t>
      </w:r>
      <w:r w:rsidR="006778D5" w:rsidRPr="009749F1">
        <w:rPr>
          <w:sz w:val="24"/>
          <w:szCs w:val="24"/>
        </w:rPr>
        <w:t xml:space="preserve">exports. </w:t>
      </w:r>
      <w:r w:rsidR="00277D5E" w:rsidRPr="009749F1">
        <w:rPr>
          <w:sz w:val="24"/>
          <w:szCs w:val="24"/>
        </w:rPr>
        <w:t xml:space="preserve">The GTL calculation will be done by </w:t>
      </w:r>
      <w:r w:rsidR="007D2E5A">
        <w:rPr>
          <w:sz w:val="24"/>
          <w:szCs w:val="24"/>
        </w:rPr>
        <w:t xml:space="preserve">the </w:t>
      </w:r>
      <w:r w:rsidR="00277D5E" w:rsidRPr="009749F1">
        <w:rPr>
          <w:sz w:val="24"/>
          <w:szCs w:val="24"/>
        </w:rPr>
        <w:t>ECC using real time telemetry and unit outputs. This will ensure that the methodology used to calculate GTL impacts is uniform and applied consistently across the interconnection.</w:t>
      </w:r>
    </w:p>
    <w:p w14:paraId="3E1CC546" w14:textId="77777777" w:rsidR="00277D5E" w:rsidRPr="009749F1" w:rsidRDefault="00277D5E" w:rsidP="00EA44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216F4A6F" w14:textId="19C394FF" w:rsidR="00DB267A" w:rsidRPr="009749F1" w:rsidRDefault="00277D5E" w:rsidP="00EA44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9749F1">
        <w:rPr>
          <w:sz w:val="24"/>
          <w:szCs w:val="24"/>
        </w:rPr>
        <w:t xml:space="preserve">Balancing areas </w:t>
      </w:r>
      <w:r w:rsidR="00DB267A" w:rsidRPr="009749F1">
        <w:rPr>
          <w:sz w:val="24"/>
          <w:szCs w:val="24"/>
        </w:rPr>
        <w:t xml:space="preserve">participating in an organized market </w:t>
      </w:r>
      <w:r w:rsidRPr="009749F1">
        <w:rPr>
          <w:sz w:val="24"/>
          <w:szCs w:val="24"/>
        </w:rPr>
        <w:t>could be</w:t>
      </w:r>
      <w:r w:rsidR="00DB267A" w:rsidRPr="009749F1">
        <w:rPr>
          <w:sz w:val="24"/>
          <w:szCs w:val="24"/>
        </w:rPr>
        <w:t xml:space="preserve"> aggregated and their </w:t>
      </w:r>
      <w:r w:rsidRPr="009749F1">
        <w:rPr>
          <w:sz w:val="24"/>
          <w:szCs w:val="24"/>
        </w:rPr>
        <w:t>net</w:t>
      </w:r>
      <w:r w:rsidR="00DB267A" w:rsidRPr="009749F1">
        <w:rPr>
          <w:sz w:val="24"/>
          <w:szCs w:val="24"/>
        </w:rPr>
        <w:t xml:space="preserve"> </w:t>
      </w:r>
      <w:r w:rsidRPr="009749F1">
        <w:rPr>
          <w:sz w:val="24"/>
          <w:szCs w:val="24"/>
        </w:rPr>
        <w:t>generation to load relief</w:t>
      </w:r>
      <w:r w:rsidR="00DB267A" w:rsidRPr="009749F1">
        <w:rPr>
          <w:sz w:val="24"/>
          <w:szCs w:val="24"/>
        </w:rPr>
        <w:t xml:space="preserve"> obligation </w:t>
      </w:r>
      <w:r w:rsidRPr="009749F1">
        <w:rPr>
          <w:sz w:val="24"/>
          <w:szCs w:val="24"/>
        </w:rPr>
        <w:t>could be</w:t>
      </w:r>
      <w:r w:rsidR="00DB267A" w:rsidRPr="009749F1">
        <w:rPr>
          <w:sz w:val="24"/>
          <w:szCs w:val="24"/>
        </w:rPr>
        <w:t xml:space="preserve"> issued for the entire market area. GTL </w:t>
      </w:r>
      <w:r w:rsidRPr="009749F1">
        <w:rPr>
          <w:sz w:val="24"/>
          <w:szCs w:val="24"/>
        </w:rPr>
        <w:t>impacts</w:t>
      </w:r>
      <w:r w:rsidR="00DB267A" w:rsidRPr="009749F1">
        <w:rPr>
          <w:sz w:val="24"/>
          <w:szCs w:val="24"/>
        </w:rPr>
        <w:t xml:space="preserve"> above the Impact Threshold will default to the highest transmission priority so that they are aligned with the firm e-Tags when determining relief obligation. If specific generators serving load within a BA do not have firm transmission service, the </w:t>
      </w:r>
      <w:r w:rsidRPr="009749F1">
        <w:rPr>
          <w:sz w:val="24"/>
          <w:szCs w:val="24"/>
        </w:rPr>
        <w:t>transmission service provider</w:t>
      </w:r>
      <w:r w:rsidR="00DB267A" w:rsidRPr="009749F1">
        <w:rPr>
          <w:sz w:val="24"/>
          <w:szCs w:val="24"/>
        </w:rPr>
        <w:t xml:space="preserve"> will need to provide this information so that non-firm GTL relief obligations are issued with the appropriate e-Tag curtailments. </w:t>
      </w:r>
    </w:p>
    <w:p w14:paraId="0CB41A4D" w14:textId="77777777" w:rsidR="00B27C55" w:rsidRPr="009749F1" w:rsidRDefault="00B27C55" w:rsidP="00EA44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458757F2" w14:textId="791FD256" w:rsidR="00DB267A" w:rsidRPr="009749F1" w:rsidRDefault="00DB267A" w:rsidP="00EA44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9749F1">
        <w:rPr>
          <w:sz w:val="24"/>
          <w:szCs w:val="24"/>
        </w:rPr>
        <w:t xml:space="preserve">Relief obligations will be effective immediately upon issuance from the ECC and terminate at the end of the clock hour. </w:t>
      </w:r>
      <w:r w:rsidR="000758D9" w:rsidRPr="009749F1">
        <w:rPr>
          <w:sz w:val="24"/>
          <w:szCs w:val="24"/>
        </w:rPr>
        <w:t>E-Tag</w:t>
      </w:r>
      <w:r w:rsidRPr="009749F1">
        <w:rPr>
          <w:sz w:val="24"/>
          <w:szCs w:val="24"/>
        </w:rPr>
        <w:t xml:space="preserve"> and Dynamic Schedule curtailments will happen systemat</w:t>
      </w:r>
      <w:r w:rsidR="006778D5" w:rsidRPr="009749F1">
        <w:rPr>
          <w:sz w:val="24"/>
          <w:szCs w:val="24"/>
        </w:rPr>
        <w:t xml:space="preserve">ically through </w:t>
      </w:r>
      <w:r w:rsidR="00724C11">
        <w:rPr>
          <w:sz w:val="24"/>
          <w:szCs w:val="24"/>
        </w:rPr>
        <w:t>the</w:t>
      </w:r>
      <w:r w:rsidR="006778D5" w:rsidRPr="009749F1">
        <w:rPr>
          <w:sz w:val="24"/>
          <w:szCs w:val="24"/>
        </w:rPr>
        <w:t xml:space="preserve"> ECC and WIT.  Balancing areas</w:t>
      </w:r>
      <w:r w:rsidRPr="009749F1">
        <w:rPr>
          <w:sz w:val="24"/>
          <w:szCs w:val="24"/>
        </w:rPr>
        <w:t xml:space="preserve"> or market areas issued GTL relief obligations will need to redispatch their systems to achieve the relief obligation.   A re-evaluation and recalculation of the ECC relief obligation, that includes all transactions approved to begin at the top of the hour, will be performed at 45 minutes after the hour. </w:t>
      </w:r>
    </w:p>
    <w:p w14:paraId="6905D545" w14:textId="77777777" w:rsidR="006778D5" w:rsidRPr="009749F1" w:rsidRDefault="006778D5" w:rsidP="00EA44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22EE775D" w14:textId="1BB72C72" w:rsidR="0053143D" w:rsidRPr="009749F1" w:rsidRDefault="00DB267A" w:rsidP="006778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9749F1">
        <w:rPr>
          <w:sz w:val="24"/>
          <w:szCs w:val="24"/>
        </w:rPr>
        <w:t xml:space="preserve">The ECC will continue to support the business requirements of the WIUFMP and issuance of events for Elements configured as Qualified Paths. </w:t>
      </w:r>
    </w:p>
    <w:p w14:paraId="264DE860" w14:textId="77777777" w:rsidR="0053143D" w:rsidRPr="009749F1" w:rsidRDefault="0053143D" w:rsidP="000C14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10619825" w14:textId="77777777" w:rsidR="009749F1" w:rsidRPr="009749F1" w:rsidRDefault="009749F1" w:rsidP="000C14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0A689D55" w14:textId="28A825CA" w:rsidR="00703E60" w:rsidRPr="009749F1" w:rsidRDefault="00D360B8" w:rsidP="00703E60">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9749F1">
        <w:rPr>
          <w:rFonts w:ascii="Times New Roman" w:hAnsi="Times New Roman"/>
          <w:sz w:val="24"/>
        </w:rPr>
        <w:t xml:space="preserve">Use of Proposed Standard or Enhancement (include how the standard will be used, documentation on the description of the proposed standard, any existing documentation of the proposed standard, and required communication protocols): </w:t>
      </w:r>
    </w:p>
    <w:p w14:paraId="1DE607E7" w14:textId="63351D87" w:rsidR="00D360B8" w:rsidRPr="009749F1" w:rsidRDefault="004051F7" w:rsidP="009804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749F1">
        <w:rPr>
          <w:sz w:val="24"/>
          <w:szCs w:val="24"/>
        </w:rPr>
        <w:t xml:space="preserve">The proposed standard </w:t>
      </w:r>
      <w:r w:rsidR="00703E60" w:rsidRPr="009749F1">
        <w:rPr>
          <w:sz w:val="24"/>
          <w:szCs w:val="24"/>
        </w:rPr>
        <w:t>should follow</w:t>
      </w:r>
      <w:r w:rsidRPr="009749F1">
        <w:rPr>
          <w:sz w:val="24"/>
          <w:szCs w:val="24"/>
        </w:rPr>
        <w:t xml:space="preserve"> current NAESB TLR standards in WEQ-008, allowing for </w:t>
      </w:r>
      <w:r w:rsidR="009804C6" w:rsidRPr="009749F1">
        <w:rPr>
          <w:sz w:val="24"/>
          <w:szCs w:val="24"/>
        </w:rPr>
        <w:t xml:space="preserve">industry   </w:t>
      </w:r>
      <w:r w:rsidRPr="009749F1">
        <w:rPr>
          <w:sz w:val="24"/>
          <w:szCs w:val="24"/>
        </w:rPr>
        <w:t xml:space="preserve">to make </w:t>
      </w:r>
      <w:r w:rsidR="00703E60" w:rsidRPr="009749F1">
        <w:rPr>
          <w:sz w:val="24"/>
          <w:szCs w:val="24"/>
        </w:rPr>
        <w:t>Western Interconnection changes as applicable</w:t>
      </w:r>
      <w:r w:rsidRPr="009749F1">
        <w:rPr>
          <w:sz w:val="24"/>
          <w:szCs w:val="24"/>
        </w:rPr>
        <w:t xml:space="preserve">.  </w:t>
      </w:r>
    </w:p>
    <w:p w14:paraId="1CC9FA98" w14:textId="77777777" w:rsidR="00D360B8" w:rsidRPr="009749F1"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szCs w:val="24"/>
        </w:rPr>
      </w:pPr>
    </w:p>
    <w:p w14:paraId="0B9F4C40" w14:textId="77777777" w:rsidR="00D360B8" w:rsidRPr="009749F1"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szCs w:val="24"/>
        </w:rPr>
      </w:pPr>
    </w:p>
    <w:p w14:paraId="793CDB1C" w14:textId="2DA0EC5A" w:rsidR="00D360B8" w:rsidRPr="009749F1" w:rsidRDefault="00D360B8" w:rsidP="009804C6">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9749F1">
        <w:rPr>
          <w:rFonts w:ascii="Times New Roman" w:hAnsi="Times New Roman"/>
          <w:sz w:val="24"/>
        </w:rPr>
        <w:t>Description of Any Tangible or Intangible Benefits to the Use of the Proposed Standard or Enhancement:</w:t>
      </w:r>
    </w:p>
    <w:p w14:paraId="2EAEB34A" w14:textId="346D4546" w:rsidR="00DB267A" w:rsidRPr="009749F1" w:rsidRDefault="00DB267A" w:rsidP="008A5B56">
      <w:pPr>
        <w:spacing w:after="160"/>
        <w:ind w:right="48"/>
        <w:jc w:val="both"/>
        <w:rPr>
          <w:sz w:val="24"/>
          <w:szCs w:val="24"/>
        </w:rPr>
      </w:pPr>
      <w:r w:rsidRPr="009749F1">
        <w:rPr>
          <w:sz w:val="24"/>
          <w:szCs w:val="24"/>
        </w:rPr>
        <w:t>The Western Interconnection lacks a uniform congestion management process that each RC, BA, and TOP follow in coordination together to support reliability and equity in application for all systems and customers.</w:t>
      </w:r>
      <w:r w:rsidR="005B3D87" w:rsidRPr="009749F1">
        <w:rPr>
          <w:sz w:val="24"/>
          <w:szCs w:val="24"/>
        </w:rPr>
        <w:t xml:space="preserve"> </w:t>
      </w:r>
      <w:r w:rsidRPr="009749F1">
        <w:rPr>
          <w:sz w:val="24"/>
          <w:szCs w:val="24"/>
        </w:rPr>
        <w:t xml:space="preserve">A lack of uniform coordination creates inconsistency in how transmission congestion is resolved across the West, resulting in BAs and TOP largely resolving issues on their own.  The inconsistency in application creates uncertainty and limits transparency for customers </w:t>
      </w:r>
      <w:r w:rsidRPr="009749F1">
        <w:rPr>
          <w:sz w:val="24"/>
          <w:szCs w:val="24"/>
        </w:rPr>
        <w:lastRenderedPageBreak/>
        <w:t xml:space="preserve">on curtailment processes for transactions moving across the West, including how impacts of loop flows are managed. As a result, some customers in one region may experience curtailments for reasons that are different than a similarly situated customer in another area of the West region because </w:t>
      </w:r>
      <w:r w:rsidR="00832067">
        <w:rPr>
          <w:sz w:val="24"/>
          <w:szCs w:val="24"/>
        </w:rPr>
        <w:t xml:space="preserve">the </w:t>
      </w:r>
      <w:r w:rsidRPr="009749F1">
        <w:rPr>
          <w:sz w:val="24"/>
          <w:szCs w:val="24"/>
        </w:rPr>
        <w:t>differences in methodologies applied by individual BAs and TOPs, and because of the limitations of the WIUMFP.</w:t>
      </w:r>
    </w:p>
    <w:p w14:paraId="63D89827" w14:textId="77777777" w:rsidR="005A6914" w:rsidRPr="009749F1" w:rsidRDefault="00DB267A" w:rsidP="008A5B56">
      <w:pPr>
        <w:jc w:val="both"/>
        <w:rPr>
          <w:sz w:val="24"/>
          <w:szCs w:val="24"/>
        </w:rPr>
      </w:pPr>
      <w:r w:rsidRPr="009749F1">
        <w:rPr>
          <w:sz w:val="24"/>
          <w:szCs w:val="24"/>
        </w:rPr>
        <w:t xml:space="preserve">As the Western Interconnection transitions to services requiring broader coordination with neighbors establishing a standardized and efficient framework for addressing congestion management interconnection wide will be essential for reliability, equitability, and transparency. </w:t>
      </w:r>
    </w:p>
    <w:p w14:paraId="63333829" w14:textId="77777777" w:rsidR="005A6914" w:rsidRPr="009749F1" w:rsidRDefault="005A6914" w:rsidP="008A5B56">
      <w:pPr>
        <w:jc w:val="both"/>
        <w:rPr>
          <w:sz w:val="24"/>
          <w:szCs w:val="24"/>
        </w:rPr>
      </w:pPr>
    </w:p>
    <w:p w14:paraId="53897468" w14:textId="545EA156" w:rsidR="005A6914" w:rsidRPr="009749F1" w:rsidRDefault="00C63173" w:rsidP="005A69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The </w:t>
      </w:r>
      <w:r w:rsidR="005A6914" w:rsidRPr="009749F1">
        <w:rPr>
          <w:sz w:val="24"/>
          <w:szCs w:val="24"/>
        </w:rPr>
        <w:t xml:space="preserve">Enhanced Curtailment Calculator Working Group (ECCWG) is a technical advisory group providing guidance on the decisions affecting the sustainment and improvement of the webECC tool. </w:t>
      </w:r>
      <w:r w:rsidR="003244E7">
        <w:rPr>
          <w:sz w:val="24"/>
          <w:szCs w:val="24"/>
        </w:rPr>
        <w:t xml:space="preserve">The </w:t>
      </w:r>
      <w:r w:rsidR="005A6914" w:rsidRPr="009749F1">
        <w:rPr>
          <w:sz w:val="24"/>
          <w:szCs w:val="24"/>
        </w:rPr>
        <w:t xml:space="preserve">ECCWG established </w:t>
      </w:r>
      <w:r w:rsidR="003244E7">
        <w:rPr>
          <w:sz w:val="24"/>
          <w:szCs w:val="24"/>
        </w:rPr>
        <w:t xml:space="preserve">an </w:t>
      </w:r>
      <w:r w:rsidR="005A6914" w:rsidRPr="009749F1">
        <w:rPr>
          <w:sz w:val="24"/>
          <w:szCs w:val="24"/>
        </w:rPr>
        <w:t xml:space="preserve">ECC expansion Taskforce to evaluate and advise </w:t>
      </w:r>
      <w:r w:rsidR="003244E7">
        <w:rPr>
          <w:sz w:val="24"/>
          <w:szCs w:val="24"/>
        </w:rPr>
        <w:t>the</w:t>
      </w:r>
      <w:r w:rsidR="005A6914" w:rsidRPr="009749F1">
        <w:rPr>
          <w:sz w:val="24"/>
          <w:szCs w:val="24"/>
        </w:rPr>
        <w:t xml:space="preserve"> ECCWG on </w:t>
      </w:r>
      <w:r w:rsidR="003244E7">
        <w:rPr>
          <w:sz w:val="24"/>
          <w:szCs w:val="24"/>
        </w:rPr>
        <w:t xml:space="preserve">the </w:t>
      </w:r>
      <w:r w:rsidR="005A6914" w:rsidRPr="009749F1">
        <w:rPr>
          <w:sz w:val="24"/>
          <w:szCs w:val="24"/>
        </w:rPr>
        <w:t xml:space="preserve">technical feasibility of expanding </w:t>
      </w:r>
      <w:r w:rsidR="003244E7">
        <w:rPr>
          <w:sz w:val="24"/>
          <w:szCs w:val="24"/>
        </w:rPr>
        <w:t>the</w:t>
      </w:r>
      <w:r w:rsidR="005A6914" w:rsidRPr="009749F1">
        <w:rPr>
          <w:sz w:val="24"/>
          <w:szCs w:val="24"/>
        </w:rPr>
        <w:t xml:space="preserve"> webECC model for System Operating Limits (“SOLs”) and Interconnection Reliability Operating Limits (“IROLs”) constraints.</w:t>
      </w:r>
    </w:p>
    <w:p w14:paraId="5B439C03" w14:textId="77777777" w:rsidR="005A6914" w:rsidRPr="009749F1" w:rsidRDefault="005A6914" w:rsidP="005A69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6CF02D43" w14:textId="573342FF" w:rsidR="00D360B8" w:rsidRPr="009749F1" w:rsidRDefault="003244E7" w:rsidP="005A69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Pr>
          <w:sz w:val="24"/>
          <w:szCs w:val="24"/>
        </w:rPr>
        <w:t xml:space="preserve">The </w:t>
      </w:r>
      <w:r w:rsidR="005A6914" w:rsidRPr="009749F1">
        <w:rPr>
          <w:sz w:val="24"/>
          <w:szCs w:val="24"/>
        </w:rPr>
        <w:t xml:space="preserve">ECC expansion Taskforce proposal is to enhance </w:t>
      </w:r>
      <w:r>
        <w:rPr>
          <w:sz w:val="24"/>
          <w:szCs w:val="24"/>
        </w:rPr>
        <w:t xml:space="preserve">the </w:t>
      </w:r>
      <w:r w:rsidR="005A6914" w:rsidRPr="009749F1">
        <w:rPr>
          <w:sz w:val="24"/>
          <w:szCs w:val="24"/>
        </w:rPr>
        <w:t xml:space="preserve">webECC and utilize the model for </w:t>
      </w:r>
      <w:r w:rsidR="00A72571" w:rsidRPr="009749F1">
        <w:rPr>
          <w:sz w:val="24"/>
          <w:szCs w:val="24"/>
        </w:rPr>
        <w:t>SOLs</w:t>
      </w:r>
      <w:r w:rsidR="005A6914" w:rsidRPr="009749F1">
        <w:rPr>
          <w:sz w:val="24"/>
          <w:szCs w:val="24"/>
        </w:rPr>
        <w:t xml:space="preserve"> across </w:t>
      </w:r>
      <w:r>
        <w:rPr>
          <w:sz w:val="24"/>
          <w:szCs w:val="24"/>
        </w:rPr>
        <w:t>the W</w:t>
      </w:r>
      <w:r w:rsidR="005A6914" w:rsidRPr="009749F1">
        <w:rPr>
          <w:sz w:val="24"/>
          <w:szCs w:val="24"/>
        </w:rPr>
        <w:t xml:space="preserve">estern </w:t>
      </w:r>
      <w:r>
        <w:rPr>
          <w:sz w:val="24"/>
          <w:szCs w:val="24"/>
        </w:rPr>
        <w:t>I</w:t>
      </w:r>
      <w:r w:rsidR="005A6914" w:rsidRPr="009749F1">
        <w:rPr>
          <w:sz w:val="24"/>
          <w:szCs w:val="24"/>
        </w:rPr>
        <w:t>nterconnect. The proposal includes issuing relief obligations on a pro rata basis while respecting transaction priorities for both tagged and non-tagged transactions</w:t>
      </w:r>
    </w:p>
    <w:p w14:paraId="55054472" w14:textId="77777777" w:rsidR="00B377A2" w:rsidRPr="009749F1" w:rsidRDefault="00B377A2"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sz w:val="24"/>
          <w:szCs w:val="24"/>
        </w:rPr>
      </w:pPr>
    </w:p>
    <w:p w14:paraId="461FB2D7" w14:textId="67A87040" w:rsidR="00D360B8" w:rsidRPr="009749F1" w:rsidRDefault="00D360B8" w:rsidP="007D043C">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9749F1">
        <w:rPr>
          <w:rFonts w:ascii="Times New Roman" w:hAnsi="Times New Roman"/>
          <w:sz w:val="24"/>
        </w:rPr>
        <w:t>Estimate of Incremental Specific Costs to Implement Proposed Standard or Enhancement:</w:t>
      </w:r>
    </w:p>
    <w:p w14:paraId="6BE7C12A" w14:textId="770301C1" w:rsidR="007D043C" w:rsidRPr="009749F1" w:rsidRDefault="00DB267A" w:rsidP="007D0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749F1">
        <w:rPr>
          <w:sz w:val="24"/>
          <w:szCs w:val="24"/>
        </w:rPr>
        <w:t>Unknown at this time.</w:t>
      </w:r>
      <w:r w:rsidRPr="009749F1">
        <w:rPr>
          <w:sz w:val="24"/>
          <w:szCs w:val="24"/>
        </w:rPr>
        <w:tab/>
      </w:r>
    </w:p>
    <w:p w14:paraId="1E53674F" w14:textId="74628843" w:rsidR="00D360B8" w:rsidRPr="009749F1"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szCs w:val="24"/>
        </w:rPr>
      </w:pPr>
    </w:p>
    <w:p w14:paraId="368ABBA9" w14:textId="77777777" w:rsidR="009749F1" w:rsidRPr="009749F1" w:rsidRDefault="00974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szCs w:val="24"/>
        </w:rPr>
      </w:pPr>
    </w:p>
    <w:p w14:paraId="73428AD9" w14:textId="6F3D91A7" w:rsidR="00D360B8" w:rsidRPr="009749F1" w:rsidRDefault="00D360B8" w:rsidP="009749F1">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9749F1">
        <w:rPr>
          <w:rFonts w:ascii="Times New Roman" w:hAnsi="Times New Roman"/>
          <w:sz w:val="24"/>
        </w:rPr>
        <w:t>Description of Any Specific Legal or Other Considerations:</w:t>
      </w:r>
    </w:p>
    <w:p w14:paraId="5CB63AB1" w14:textId="77777777" w:rsidR="007374FE" w:rsidRDefault="00737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N/A</w:t>
      </w:r>
    </w:p>
    <w:p w14:paraId="5EB24BCF" w14:textId="4BAF03A2" w:rsidR="00D360B8" w:rsidRPr="009749F1"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749F1">
        <w:rPr>
          <w:sz w:val="24"/>
          <w:szCs w:val="24"/>
        </w:rPr>
        <w:cr/>
      </w:r>
      <w:r w:rsidR="009749F1" w:rsidRPr="009749F1">
        <w:rPr>
          <w:sz w:val="24"/>
          <w:szCs w:val="24"/>
        </w:rPr>
        <w:t>9</w:t>
      </w:r>
      <w:r w:rsidRPr="009749F1">
        <w:rPr>
          <w:sz w:val="24"/>
          <w:szCs w:val="24"/>
        </w:rPr>
        <w:t>.  If This Proposed Standard or Enhancement Is Not Tested Yet, List Trading Partners Willing to Test Standard or Enhancement (Corporations and contacts):</w:t>
      </w:r>
    </w:p>
    <w:p w14:paraId="1508EEC3" w14:textId="77777777" w:rsidR="00A4392B" w:rsidRPr="009749F1" w:rsidRDefault="00A4392B" w:rsidP="00A439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B552EC8" w14:textId="46A0772E" w:rsidR="00A4392B" w:rsidRPr="009749F1" w:rsidRDefault="00DB267A" w:rsidP="00A439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9749F1">
        <w:rPr>
          <w:sz w:val="24"/>
          <w:szCs w:val="24"/>
        </w:rPr>
        <w:t>Southwest Power Pool</w:t>
      </w:r>
      <w:r w:rsidR="00A4392B" w:rsidRPr="009749F1">
        <w:rPr>
          <w:sz w:val="24"/>
          <w:szCs w:val="24"/>
        </w:rPr>
        <w:t xml:space="preserve"> &amp; </w:t>
      </w:r>
      <w:r w:rsidRPr="009749F1">
        <w:rPr>
          <w:sz w:val="24"/>
          <w:szCs w:val="24"/>
        </w:rPr>
        <w:t>RC West</w:t>
      </w:r>
    </w:p>
    <w:p w14:paraId="7894CAB1" w14:textId="42686E8B" w:rsidR="00D360B8" w:rsidRPr="009749F1"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szCs w:val="24"/>
        </w:rPr>
      </w:pPr>
    </w:p>
    <w:p w14:paraId="7F30EE6B" w14:textId="77777777" w:rsidR="00D360B8" w:rsidRPr="009749F1"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szCs w:val="24"/>
        </w:rPr>
      </w:pPr>
    </w:p>
    <w:p w14:paraId="53E1C456" w14:textId="490A82AD" w:rsidR="00D360B8" w:rsidRPr="009749F1" w:rsidRDefault="00D360B8" w:rsidP="009749F1">
      <w:pPr>
        <w:pStyle w:val="ListParagraph"/>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9749F1">
        <w:rPr>
          <w:sz w:val="24"/>
        </w:rPr>
        <w:t xml:space="preserve">If This Proposed Standard or Enhancement Is </w:t>
      </w:r>
      <w:r w:rsidR="00A72571" w:rsidRPr="009749F1">
        <w:rPr>
          <w:sz w:val="24"/>
        </w:rPr>
        <w:t>in</w:t>
      </w:r>
      <w:r w:rsidRPr="009749F1">
        <w:rPr>
          <w:sz w:val="24"/>
        </w:rPr>
        <w:t xml:space="preserve"> Use, Who are the Trading </w:t>
      </w:r>
      <w:r w:rsidR="005A6914" w:rsidRPr="009749F1">
        <w:rPr>
          <w:sz w:val="24"/>
        </w:rPr>
        <w:t>Partners:</w:t>
      </w:r>
    </w:p>
    <w:p w14:paraId="2532E808" w14:textId="784FA472" w:rsidR="00D360B8" w:rsidRPr="009749F1" w:rsidRDefault="009749F1" w:rsidP="00974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N/A</w:t>
      </w:r>
    </w:p>
    <w:p w14:paraId="2CFC308E" w14:textId="77777777" w:rsidR="00D360B8" w:rsidRPr="009749F1"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szCs w:val="24"/>
        </w:rPr>
      </w:pPr>
    </w:p>
    <w:p w14:paraId="61DF9385" w14:textId="77777777" w:rsidR="00D360B8" w:rsidRPr="009749F1"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592B50A6" w14:textId="430F5C85" w:rsidR="00D360B8" w:rsidRPr="009749F1" w:rsidRDefault="00D360B8" w:rsidP="00B37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rPr>
          <w:sz w:val="24"/>
          <w:szCs w:val="24"/>
        </w:rPr>
      </w:pPr>
      <w:r w:rsidRPr="009749F1">
        <w:rPr>
          <w:sz w:val="24"/>
          <w:szCs w:val="24"/>
        </w:rPr>
        <w:t xml:space="preserve">10.  Attachments (such </w:t>
      </w:r>
      <w:r w:rsidR="00421C40" w:rsidRPr="009749F1">
        <w:rPr>
          <w:sz w:val="24"/>
          <w:szCs w:val="24"/>
        </w:rPr>
        <w:t>as:</w:t>
      </w:r>
      <w:r w:rsidRPr="009749F1">
        <w:rPr>
          <w:sz w:val="24"/>
          <w:szCs w:val="24"/>
        </w:rPr>
        <w:t xml:space="preserve"> further detailed proposals, transaction data descriptions, information flows, implementation guides, business process descriptions, examples of ASC ANSI X12 mapped transactions):</w:t>
      </w:r>
    </w:p>
    <w:p w14:paraId="6DC1C964" w14:textId="71F1CDF9" w:rsidR="00D360B8" w:rsidRPr="009749F1" w:rsidRDefault="00D360B8" w:rsidP="005A69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14:paraId="3E580068" w14:textId="5CCA0C1C" w:rsidR="00DB267A" w:rsidRPr="009749F1" w:rsidRDefault="003244E7" w:rsidP="005A6914">
      <w:pPr>
        <w:jc w:val="both"/>
        <w:rPr>
          <w:sz w:val="24"/>
          <w:szCs w:val="24"/>
        </w:rPr>
      </w:pPr>
      <w:r>
        <w:rPr>
          <w:sz w:val="24"/>
          <w:szCs w:val="24"/>
        </w:rPr>
        <w:t xml:space="preserve">The </w:t>
      </w:r>
      <w:r w:rsidR="00DB267A" w:rsidRPr="009749F1">
        <w:rPr>
          <w:sz w:val="24"/>
          <w:szCs w:val="24"/>
        </w:rPr>
        <w:t>ECCWG is a technical advisory group established as a means to ensure the western Reliability Coordinators have input and oversight with respect to tools used to perform Reliability Coordination functions within the WECC footprint.  The ECCWG established the ECCETF to evaluate and advise the working group regarding all aspects of the webECC.</w:t>
      </w:r>
    </w:p>
    <w:p w14:paraId="7625D501" w14:textId="77777777" w:rsidR="00ED5188" w:rsidRPr="009749F1" w:rsidRDefault="00ED5188" w:rsidP="005A6914">
      <w:pPr>
        <w:jc w:val="both"/>
        <w:rPr>
          <w:sz w:val="24"/>
          <w:szCs w:val="24"/>
        </w:rPr>
      </w:pPr>
    </w:p>
    <w:p w14:paraId="51147204" w14:textId="77777777" w:rsidR="00DB267A" w:rsidRPr="009749F1" w:rsidRDefault="00DB267A" w:rsidP="005A6914">
      <w:pPr>
        <w:jc w:val="both"/>
        <w:rPr>
          <w:sz w:val="24"/>
          <w:szCs w:val="24"/>
        </w:rPr>
      </w:pPr>
      <w:r w:rsidRPr="009749F1">
        <w:rPr>
          <w:sz w:val="24"/>
          <w:szCs w:val="24"/>
        </w:rPr>
        <w:t xml:space="preserve">The ECCETF assessed the webECC’s potential to accurately capture MW impacts by Balancing Authority (“(BA”), Transmission Operator (“TOP”), Transmission Service Provider (“TSP”), or market operator dispatch, as well as impacts of tagged transactions on transmission constraints. </w:t>
      </w:r>
    </w:p>
    <w:p w14:paraId="7D662FBB" w14:textId="77777777" w:rsidR="00ED5188" w:rsidRPr="009749F1" w:rsidRDefault="00ED5188" w:rsidP="005A6914">
      <w:pPr>
        <w:jc w:val="both"/>
        <w:rPr>
          <w:sz w:val="24"/>
          <w:szCs w:val="24"/>
        </w:rPr>
      </w:pPr>
    </w:p>
    <w:p w14:paraId="1866F44C" w14:textId="77777777" w:rsidR="00DB267A" w:rsidRPr="009749F1" w:rsidRDefault="00DB267A" w:rsidP="005A6914">
      <w:pPr>
        <w:pStyle w:val="ListParagraph"/>
        <w:numPr>
          <w:ilvl w:val="0"/>
          <w:numId w:val="2"/>
        </w:numPr>
        <w:spacing w:after="157"/>
        <w:ind w:right="48"/>
        <w:jc w:val="both"/>
        <w:rPr>
          <w:rFonts w:ascii="Times New Roman" w:hAnsi="Times New Roman"/>
          <w:sz w:val="24"/>
        </w:rPr>
      </w:pPr>
      <w:r w:rsidRPr="009749F1">
        <w:rPr>
          <w:rFonts w:ascii="Times New Roman" w:hAnsi="Times New Roman"/>
          <w:sz w:val="24"/>
        </w:rPr>
        <w:t>The ECCETF determined the technical feasibility of expanding curtailment capability procedures capabilities from the Qualified Paths to include System Operating Limits (“SOLs”) and Interconnection Reliability Operating Limits (“IROLs”) constraints. Western Interconnection</w:t>
      </w:r>
    </w:p>
    <w:p w14:paraId="40B6D037" w14:textId="77777777" w:rsidR="00DB267A" w:rsidRPr="009749F1" w:rsidRDefault="00DB267A" w:rsidP="005A6914">
      <w:pPr>
        <w:pStyle w:val="ListParagraph"/>
        <w:numPr>
          <w:ilvl w:val="0"/>
          <w:numId w:val="2"/>
        </w:numPr>
        <w:spacing w:after="157"/>
        <w:ind w:right="48"/>
        <w:jc w:val="both"/>
        <w:rPr>
          <w:rFonts w:ascii="Times New Roman" w:hAnsi="Times New Roman"/>
          <w:sz w:val="24"/>
        </w:rPr>
      </w:pPr>
      <w:r w:rsidRPr="009749F1">
        <w:rPr>
          <w:rFonts w:ascii="Times New Roman" w:hAnsi="Times New Roman"/>
          <w:sz w:val="24"/>
        </w:rPr>
        <w:t xml:space="preserve">A comprehensive curtailment approach was drafted by the ECCETF for both tagged and non-tagged transaction MWs, using a prioritization approach consistent with existing NAESB standards. </w:t>
      </w:r>
    </w:p>
    <w:p w14:paraId="405EA832" w14:textId="77777777" w:rsidR="00DB267A" w:rsidRPr="009749F1" w:rsidRDefault="00DB267A" w:rsidP="005A6914">
      <w:pPr>
        <w:pStyle w:val="ListParagraph"/>
        <w:numPr>
          <w:ilvl w:val="0"/>
          <w:numId w:val="2"/>
        </w:numPr>
        <w:spacing w:after="157"/>
        <w:ind w:right="48"/>
        <w:jc w:val="both"/>
        <w:rPr>
          <w:rFonts w:ascii="Times New Roman" w:hAnsi="Times New Roman"/>
          <w:sz w:val="24"/>
        </w:rPr>
      </w:pPr>
      <w:r w:rsidRPr="009749F1">
        <w:rPr>
          <w:rFonts w:ascii="Times New Roman" w:hAnsi="Times New Roman"/>
          <w:sz w:val="24"/>
        </w:rPr>
        <w:t>The ECCETF evaluated the compatibility and coordination between Western Interconnection Unscheduled Flow Mitigation Plan (“WIUFMP”) on Qualified Paths (“QP” s) and other ECC curtailment events in the Western Interconnection, including phase shifter coordination.</w:t>
      </w:r>
    </w:p>
    <w:p w14:paraId="0A675451" w14:textId="31D40E03" w:rsidR="00DB267A" w:rsidRPr="009749F1" w:rsidRDefault="00DB267A" w:rsidP="005A6914">
      <w:pPr>
        <w:pStyle w:val="ListParagraph"/>
        <w:numPr>
          <w:ilvl w:val="0"/>
          <w:numId w:val="2"/>
        </w:numPr>
        <w:spacing w:after="157"/>
        <w:ind w:right="48"/>
        <w:jc w:val="both"/>
        <w:rPr>
          <w:rFonts w:ascii="Times New Roman" w:hAnsi="Times New Roman"/>
          <w:sz w:val="24"/>
        </w:rPr>
      </w:pPr>
      <w:r w:rsidRPr="009749F1">
        <w:rPr>
          <w:rFonts w:ascii="Times New Roman" w:hAnsi="Times New Roman"/>
          <w:sz w:val="24"/>
        </w:rPr>
        <w:t xml:space="preserve">New required standards from NERC, NAESB, and/or WECC were deemed necessary in order to implement an expanded curtailment approach beyond </w:t>
      </w:r>
      <w:r w:rsidR="00EA7111" w:rsidRPr="009749F1">
        <w:rPr>
          <w:rFonts w:ascii="Times New Roman" w:hAnsi="Times New Roman"/>
          <w:sz w:val="24"/>
        </w:rPr>
        <w:t>qualified paths</w:t>
      </w:r>
      <w:r w:rsidRPr="009749F1">
        <w:rPr>
          <w:rFonts w:ascii="Times New Roman" w:hAnsi="Times New Roman"/>
          <w:sz w:val="24"/>
        </w:rPr>
        <w:t xml:space="preserve">. </w:t>
      </w:r>
    </w:p>
    <w:p w14:paraId="391A6C36" w14:textId="77777777" w:rsidR="00DB267A" w:rsidRPr="009749F1" w:rsidRDefault="00DB267A" w:rsidP="005A6914">
      <w:pPr>
        <w:pStyle w:val="ListParagraph"/>
        <w:numPr>
          <w:ilvl w:val="0"/>
          <w:numId w:val="2"/>
        </w:numPr>
        <w:spacing w:after="157"/>
        <w:ind w:right="48"/>
        <w:jc w:val="both"/>
        <w:rPr>
          <w:rFonts w:ascii="Times New Roman" w:hAnsi="Times New Roman"/>
          <w:sz w:val="24"/>
        </w:rPr>
      </w:pPr>
      <w:r w:rsidRPr="009749F1">
        <w:rPr>
          <w:rFonts w:ascii="Times New Roman" w:hAnsi="Times New Roman"/>
          <w:sz w:val="24"/>
        </w:rPr>
        <w:t xml:space="preserve">The ECCETF documented software requirements, possible tariff impacts, and business practice changes needed to implement an expanded Western Interconnection congestion management approach. </w:t>
      </w:r>
    </w:p>
    <w:p w14:paraId="45B623B7" w14:textId="77777777" w:rsidR="00DB267A" w:rsidRPr="009749F1" w:rsidRDefault="00DB267A" w:rsidP="005A6914">
      <w:pPr>
        <w:pStyle w:val="ListParagraph"/>
        <w:numPr>
          <w:ilvl w:val="0"/>
          <w:numId w:val="2"/>
        </w:numPr>
        <w:spacing w:after="157"/>
        <w:ind w:right="48"/>
        <w:jc w:val="both"/>
        <w:rPr>
          <w:rFonts w:ascii="Times New Roman" w:hAnsi="Times New Roman"/>
          <w:sz w:val="24"/>
        </w:rPr>
      </w:pPr>
      <w:r w:rsidRPr="009749F1">
        <w:rPr>
          <w:rFonts w:ascii="Times New Roman" w:hAnsi="Times New Roman"/>
          <w:sz w:val="24"/>
        </w:rPr>
        <w:t>The ECCETF proposed an implementation approach of these changes taking into account the technical considerations, compliance implications, and operational transparency.</w:t>
      </w:r>
    </w:p>
    <w:p w14:paraId="7544665F" w14:textId="0CF8517B" w:rsidR="00D360B8" w:rsidRPr="009749F1" w:rsidRDefault="00DB267A" w:rsidP="005A69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r w:rsidRPr="009749F1">
        <w:rPr>
          <w:sz w:val="24"/>
          <w:szCs w:val="24"/>
        </w:rPr>
        <w:t xml:space="preserve">These considerations were documented in a whitepaper, </w:t>
      </w:r>
      <w:r w:rsidRPr="00964A16">
        <w:rPr>
          <w:i/>
          <w:iCs/>
          <w:sz w:val="24"/>
          <w:szCs w:val="24"/>
        </w:rPr>
        <w:t>ECC Future State</w:t>
      </w:r>
      <w:r w:rsidRPr="009749F1">
        <w:rPr>
          <w:sz w:val="24"/>
          <w:szCs w:val="24"/>
        </w:rPr>
        <w:t xml:space="preserve">, that has been provided. </w:t>
      </w:r>
    </w:p>
    <w:p w14:paraId="5C1844CB" w14:textId="77777777" w:rsidR="00D360B8" w:rsidRPr="009749F1"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szCs w:val="24"/>
        </w:rPr>
      </w:pPr>
    </w:p>
    <w:p w14:paraId="2A140A5F" w14:textId="77777777" w:rsidR="00D360B8" w:rsidRPr="009749F1" w:rsidRDefault="00D360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sz w:val="24"/>
          <w:szCs w:val="24"/>
        </w:rPr>
      </w:pPr>
    </w:p>
    <w:sectPr w:rsidR="00D360B8" w:rsidRPr="009749F1">
      <w:headerReference w:type="default" r:id="rId9"/>
      <w:endnotePr>
        <w:numFmt w:val="decimal"/>
      </w:endnotePr>
      <w:pgSz w:w="12240" w:h="15840"/>
      <w:pgMar w:top="2160" w:right="1440" w:bottom="1440" w:left="1440" w:header="720" w:footer="720"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293FE" w14:textId="77777777" w:rsidR="00D4759A" w:rsidRDefault="00D4759A">
      <w:r>
        <w:separator/>
      </w:r>
    </w:p>
  </w:endnote>
  <w:endnote w:type="continuationSeparator" w:id="0">
    <w:p w14:paraId="0122B76D" w14:textId="77777777" w:rsidR="00D4759A" w:rsidRDefault="00D4759A">
      <w:r>
        <w:continuationSeparator/>
      </w:r>
    </w:p>
  </w:endnote>
  <w:endnote w:type="continuationNotice" w:id="1">
    <w:p w14:paraId="4F0D0414" w14:textId="77777777" w:rsidR="00D4759A" w:rsidRDefault="00D475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News Gothic">
    <w:altName w:val="Franklin Gothic Medium"/>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BBEBE8" w14:textId="77777777" w:rsidR="00D4759A" w:rsidRDefault="00D4759A">
      <w:r>
        <w:separator/>
      </w:r>
    </w:p>
  </w:footnote>
  <w:footnote w:type="continuationSeparator" w:id="0">
    <w:p w14:paraId="5B82C17C" w14:textId="77777777" w:rsidR="00D4759A" w:rsidRDefault="00D4759A">
      <w:r>
        <w:continuationSeparator/>
      </w:r>
    </w:p>
  </w:footnote>
  <w:footnote w:type="continuationNotice" w:id="1">
    <w:p w14:paraId="05C8BEF4" w14:textId="77777777" w:rsidR="00D4759A" w:rsidRDefault="00D475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01C1C" w14:textId="77777777" w:rsidR="00896575" w:rsidRPr="00896575" w:rsidRDefault="00896575" w:rsidP="00896575">
    <w:pPr>
      <w:tabs>
        <w:tab w:val="center" w:pos="4680"/>
        <w:tab w:val="right" w:pos="9360"/>
      </w:tabs>
      <w:jc w:val="center"/>
      <w:rPr>
        <w:rFonts w:ascii="News Gothic" w:hAnsi="News Gothic"/>
        <w:b/>
        <w:sz w:val="36"/>
        <w:szCs w:val="36"/>
      </w:rPr>
    </w:pPr>
    <w:r w:rsidRPr="00896575">
      <w:rPr>
        <w:rFonts w:ascii="News Gothic" w:hAnsi="News Gothic"/>
        <w:b/>
        <w:sz w:val="36"/>
        <w:szCs w:val="36"/>
      </w:rPr>
      <w:t>R24005</w:t>
    </w:r>
  </w:p>
  <w:p w14:paraId="15B0DB1C" w14:textId="0F474649" w:rsidR="006778D5" w:rsidRDefault="006778D5">
    <w:pPr>
      <w:tabs>
        <w:tab w:val="center" w:pos="4680"/>
        <w:tab w:val="right" w:pos="9360"/>
      </w:tabs>
      <w:jc w:val="right"/>
      <w:rPr>
        <w:rFonts w:ascii="News Gothic" w:hAnsi="News Gothic"/>
        <w:b/>
        <w:sz w:val="22"/>
      </w:rPr>
    </w:pPr>
    <w:r>
      <w:rPr>
        <w:rFonts w:ascii="News Gothic" w:hAnsi="News Gothic"/>
        <w:b/>
        <w:sz w:val="22"/>
      </w:rPr>
      <w:t>Request for Initiation of a NAESB Standard for Electronic Business Transactions or</w:t>
    </w:r>
  </w:p>
  <w:p w14:paraId="3CD2753F" w14:textId="77777777" w:rsidR="006778D5" w:rsidRDefault="006778D5">
    <w:pPr>
      <w:tabs>
        <w:tab w:val="center" w:pos="4680"/>
        <w:tab w:val="right" w:pos="9360"/>
      </w:tabs>
      <w:jc w:val="right"/>
      <w:rPr>
        <w:rFonts w:ascii="News Gothic" w:hAnsi="News Gothic"/>
        <w:b/>
        <w:sz w:val="22"/>
      </w:rPr>
    </w:pPr>
    <w:r>
      <w:rPr>
        <w:rFonts w:ascii="News Gothic" w:hAnsi="News Gothic"/>
        <w:b/>
        <w:sz w:val="22"/>
      </w:rPr>
      <w:t>Request for Enhancement of a NAESB Standard for Electronic Business Transactions</w:t>
    </w:r>
  </w:p>
  <w:p w14:paraId="70E8D4F0" w14:textId="31746DBC" w:rsidR="006778D5" w:rsidRDefault="006778D5">
    <w:pPr>
      <w:tabs>
        <w:tab w:val="center" w:pos="4680"/>
        <w:tab w:val="right" w:pos="9360"/>
      </w:tabs>
      <w:jc w:val="right"/>
      <w:rPr>
        <w:rFonts w:ascii="News Gothic" w:hAnsi="News Gothic"/>
        <w:sz w:val="22"/>
      </w:rPr>
    </w:pPr>
    <w:r>
      <w:rPr>
        <w:rFonts w:ascii="News Gothic" w:hAnsi="News Gothic"/>
        <w:b/>
        <w:sz w:val="22"/>
      </w:rPr>
      <w:t xml:space="preserve">Page </w:t>
    </w:r>
    <w:r w:rsidR="00B51821">
      <w:rPr>
        <w:rFonts w:ascii="News Gothic" w:hAnsi="News Gothic"/>
        <w:b/>
        <w:sz w:val="2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B41436"/>
    <w:multiLevelType w:val="hybridMultilevel"/>
    <w:tmpl w:val="F12470B2"/>
    <w:lvl w:ilvl="0" w:tplc="0409000F">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57B62B9"/>
    <w:multiLevelType w:val="hybridMultilevel"/>
    <w:tmpl w:val="080AA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F316A8"/>
    <w:multiLevelType w:val="hybridMultilevel"/>
    <w:tmpl w:val="74BE29D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5D1693"/>
    <w:multiLevelType w:val="hybridMultilevel"/>
    <w:tmpl w:val="5344DA98"/>
    <w:lvl w:ilvl="0" w:tplc="92C6212A">
      <w:start w:val="1"/>
      <w:numFmt w:val="bullet"/>
      <w:lvlText w:val="•"/>
      <w:lvlJc w:val="left"/>
      <w:pPr>
        <w:tabs>
          <w:tab w:val="num" w:pos="720"/>
        </w:tabs>
        <w:ind w:left="720" w:hanging="360"/>
      </w:pPr>
      <w:rPr>
        <w:rFonts w:ascii="Arial" w:hAnsi="Arial" w:hint="default"/>
      </w:rPr>
    </w:lvl>
    <w:lvl w:ilvl="1" w:tplc="B7B2D6E2" w:tentative="1">
      <w:start w:val="1"/>
      <w:numFmt w:val="bullet"/>
      <w:lvlText w:val="•"/>
      <w:lvlJc w:val="left"/>
      <w:pPr>
        <w:tabs>
          <w:tab w:val="num" w:pos="1440"/>
        </w:tabs>
        <w:ind w:left="1440" w:hanging="360"/>
      </w:pPr>
      <w:rPr>
        <w:rFonts w:ascii="Arial" w:hAnsi="Arial" w:hint="default"/>
      </w:rPr>
    </w:lvl>
    <w:lvl w:ilvl="2" w:tplc="2D00D91E" w:tentative="1">
      <w:start w:val="1"/>
      <w:numFmt w:val="bullet"/>
      <w:lvlText w:val="•"/>
      <w:lvlJc w:val="left"/>
      <w:pPr>
        <w:tabs>
          <w:tab w:val="num" w:pos="2160"/>
        </w:tabs>
        <w:ind w:left="2160" w:hanging="360"/>
      </w:pPr>
      <w:rPr>
        <w:rFonts w:ascii="Arial" w:hAnsi="Arial" w:hint="default"/>
      </w:rPr>
    </w:lvl>
    <w:lvl w:ilvl="3" w:tplc="015A50E0" w:tentative="1">
      <w:start w:val="1"/>
      <w:numFmt w:val="bullet"/>
      <w:lvlText w:val="•"/>
      <w:lvlJc w:val="left"/>
      <w:pPr>
        <w:tabs>
          <w:tab w:val="num" w:pos="2880"/>
        </w:tabs>
        <w:ind w:left="2880" w:hanging="360"/>
      </w:pPr>
      <w:rPr>
        <w:rFonts w:ascii="Arial" w:hAnsi="Arial" w:hint="default"/>
      </w:rPr>
    </w:lvl>
    <w:lvl w:ilvl="4" w:tplc="108E63C4" w:tentative="1">
      <w:start w:val="1"/>
      <w:numFmt w:val="bullet"/>
      <w:lvlText w:val="•"/>
      <w:lvlJc w:val="left"/>
      <w:pPr>
        <w:tabs>
          <w:tab w:val="num" w:pos="3600"/>
        </w:tabs>
        <w:ind w:left="3600" w:hanging="360"/>
      </w:pPr>
      <w:rPr>
        <w:rFonts w:ascii="Arial" w:hAnsi="Arial" w:hint="default"/>
      </w:rPr>
    </w:lvl>
    <w:lvl w:ilvl="5" w:tplc="E59E87D4" w:tentative="1">
      <w:start w:val="1"/>
      <w:numFmt w:val="bullet"/>
      <w:lvlText w:val="•"/>
      <w:lvlJc w:val="left"/>
      <w:pPr>
        <w:tabs>
          <w:tab w:val="num" w:pos="4320"/>
        </w:tabs>
        <w:ind w:left="4320" w:hanging="360"/>
      </w:pPr>
      <w:rPr>
        <w:rFonts w:ascii="Arial" w:hAnsi="Arial" w:hint="default"/>
      </w:rPr>
    </w:lvl>
    <w:lvl w:ilvl="6" w:tplc="6FCA13F8" w:tentative="1">
      <w:start w:val="1"/>
      <w:numFmt w:val="bullet"/>
      <w:lvlText w:val="•"/>
      <w:lvlJc w:val="left"/>
      <w:pPr>
        <w:tabs>
          <w:tab w:val="num" w:pos="5040"/>
        </w:tabs>
        <w:ind w:left="5040" w:hanging="360"/>
      </w:pPr>
      <w:rPr>
        <w:rFonts w:ascii="Arial" w:hAnsi="Arial" w:hint="default"/>
      </w:rPr>
    </w:lvl>
    <w:lvl w:ilvl="7" w:tplc="7FBCF5AC" w:tentative="1">
      <w:start w:val="1"/>
      <w:numFmt w:val="bullet"/>
      <w:lvlText w:val="•"/>
      <w:lvlJc w:val="left"/>
      <w:pPr>
        <w:tabs>
          <w:tab w:val="num" w:pos="5760"/>
        </w:tabs>
        <w:ind w:left="5760" w:hanging="360"/>
      </w:pPr>
      <w:rPr>
        <w:rFonts w:ascii="Arial" w:hAnsi="Arial" w:hint="default"/>
      </w:rPr>
    </w:lvl>
    <w:lvl w:ilvl="8" w:tplc="620265B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9EC24A5"/>
    <w:multiLevelType w:val="hybridMultilevel"/>
    <w:tmpl w:val="2CC85FE0"/>
    <w:lvl w:ilvl="0" w:tplc="6930D99E">
      <w:start w:val="1"/>
      <w:numFmt w:val="bullet"/>
      <w:lvlText w:val="•"/>
      <w:lvlJc w:val="left"/>
      <w:pPr>
        <w:tabs>
          <w:tab w:val="num" w:pos="720"/>
        </w:tabs>
        <w:ind w:left="720" w:hanging="360"/>
      </w:pPr>
      <w:rPr>
        <w:rFonts w:ascii="Arial" w:hAnsi="Arial" w:hint="default"/>
      </w:rPr>
    </w:lvl>
    <w:lvl w:ilvl="1" w:tplc="17BAA484" w:tentative="1">
      <w:start w:val="1"/>
      <w:numFmt w:val="bullet"/>
      <w:lvlText w:val="•"/>
      <w:lvlJc w:val="left"/>
      <w:pPr>
        <w:tabs>
          <w:tab w:val="num" w:pos="1440"/>
        </w:tabs>
        <w:ind w:left="1440" w:hanging="360"/>
      </w:pPr>
      <w:rPr>
        <w:rFonts w:ascii="Arial" w:hAnsi="Arial" w:hint="default"/>
      </w:rPr>
    </w:lvl>
    <w:lvl w:ilvl="2" w:tplc="F502DE7E" w:tentative="1">
      <w:start w:val="1"/>
      <w:numFmt w:val="bullet"/>
      <w:lvlText w:val="•"/>
      <w:lvlJc w:val="left"/>
      <w:pPr>
        <w:tabs>
          <w:tab w:val="num" w:pos="2160"/>
        </w:tabs>
        <w:ind w:left="2160" w:hanging="360"/>
      </w:pPr>
      <w:rPr>
        <w:rFonts w:ascii="Arial" w:hAnsi="Arial" w:hint="default"/>
      </w:rPr>
    </w:lvl>
    <w:lvl w:ilvl="3" w:tplc="1D20B484" w:tentative="1">
      <w:start w:val="1"/>
      <w:numFmt w:val="bullet"/>
      <w:lvlText w:val="•"/>
      <w:lvlJc w:val="left"/>
      <w:pPr>
        <w:tabs>
          <w:tab w:val="num" w:pos="2880"/>
        </w:tabs>
        <w:ind w:left="2880" w:hanging="360"/>
      </w:pPr>
      <w:rPr>
        <w:rFonts w:ascii="Arial" w:hAnsi="Arial" w:hint="default"/>
      </w:rPr>
    </w:lvl>
    <w:lvl w:ilvl="4" w:tplc="B586894C" w:tentative="1">
      <w:start w:val="1"/>
      <w:numFmt w:val="bullet"/>
      <w:lvlText w:val="•"/>
      <w:lvlJc w:val="left"/>
      <w:pPr>
        <w:tabs>
          <w:tab w:val="num" w:pos="3600"/>
        </w:tabs>
        <w:ind w:left="3600" w:hanging="360"/>
      </w:pPr>
      <w:rPr>
        <w:rFonts w:ascii="Arial" w:hAnsi="Arial" w:hint="default"/>
      </w:rPr>
    </w:lvl>
    <w:lvl w:ilvl="5" w:tplc="B56C655A" w:tentative="1">
      <w:start w:val="1"/>
      <w:numFmt w:val="bullet"/>
      <w:lvlText w:val="•"/>
      <w:lvlJc w:val="left"/>
      <w:pPr>
        <w:tabs>
          <w:tab w:val="num" w:pos="4320"/>
        </w:tabs>
        <w:ind w:left="4320" w:hanging="360"/>
      </w:pPr>
      <w:rPr>
        <w:rFonts w:ascii="Arial" w:hAnsi="Arial" w:hint="default"/>
      </w:rPr>
    </w:lvl>
    <w:lvl w:ilvl="6" w:tplc="B060C36C" w:tentative="1">
      <w:start w:val="1"/>
      <w:numFmt w:val="bullet"/>
      <w:lvlText w:val="•"/>
      <w:lvlJc w:val="left"/>
      <w:pPr>
        <w:tabs>
          <w:tab w:val="num" w:pos="5040"/>
        </w:tabs>
        <w:ind w:left="5040" w:hanging="360"/>
      </w:pPr>
      <w:rPr>
        <w:rFonts w:ascii="Arial" w:hAnsi="Arial" w:hint="default"/>
      </w:rPr>
    </w:lvl>
    <w:lvl w:ilvl="7" w:tplc="ACDE62F2" w:tentative="1">
      <w:start w:val="1"/>
      <w:numFmt w:val="bullet"/>
      <w:lvlText w:val="•"/>
      <w:lvlJc w:val="left"/>
      <w:pPr>
        <w:tabs>
          <w:tab w:val="num" w:pos="5760"/>
        </w:tabs>
        <w:ind w:left="5760" w:hanging="360"/>
      </w:pPr>
      <w:rPr>
        <w:rFonts w:ascii="Arial" w:hAnsi="Arial" w:hint="default"/>
      </w:rPr>
    </w:lvl>
    <w:lvl w:ilvl="8" w:tplc="65E695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D60305"/>
    <w:multiLevelType w:val="hybridMultilevel"/>
    <w:tmpl w:val="ED662432"/>
    <w:lvl w:ilvl="0" w:tplc="E77042D4">
      <w:start w:val="1"/>
      <w:numFmt w:val="bullet"/>
      <w:lvlText w:val="•"/>
      <w:lvlJc w:val="left"/>
      <w:pPr>
        <w:tabs>
          <w:tab w:val="num" w:pos="720"/>
        </w:tabs>
        <w:ind w:left="720" w:hanging="360"/>
      </w:pPr>
      <w:rPr>
        <w:rFonts w:ascii="Arial" w:hAnsi="Arial" w:hint="default"/>
      </w:rPr>
    </w:lvl>
    <w:lvl w:ilvl="1" w:tplc="4C769C26" w:tentative="1">
      <w:start w:val="1"/>
      <w:numFmt w:val="bullet"/>
      <w:lvlText w:val="•"/>
      <w:lvlJc w:val="left"/>
      <w:pPr>
        <w:tabs>
          <w:tab w:val="num" w:pos="1440"/>
        </w:tabs>
        <w:ind w:left="1440" w:hanging="360"/>
      </w:pPr>
      <w:rPr>
        <w:rFonts w:ascii="Arial" w:hAnsi="Arial" w:hint="default"/>
      </w:rPr>
    </w:lvl>
    <w:lvl w:ilvl="2" w:tplc="FD4A8CA0" w:tentative="1">
      <w:start w:val="1"/>
      <w:numFmt w:val="bullet"/>
      <w:lvlText w:val="•"/>
      <w:lvlJc w:val="left"/>
      <w:pPr>
        <w:tabs>
          <w:tab w:val="num" w:pos="2160"/>
        </w:tabs>
        <w:ind w:left="2160" w:hanging="360"/>
      </w:pPr>
      <w:rPr>
        <w:rFonts w:ascii="Arial" w:hAnsi="Arial" w:hint="default"/>
      </w:rPr>
    </w:lvl>
    <w:lvl w:ilvl="3" w:tplc="7C74FE64" w:tentative="1">
      <w:start w:val="1"/>
      <w:numFmt w:val="bullet"/>
      <w:lvlText w:val="•"/>
      <w:lvlJc w:val="left"/>
      <w:pPr>
        <w:tabs>
          <w:tab w:val="num" w:pos="2880"/>
        </w:tabs>
        <w:ind w:left="2880" w:hanging="360"/>
      </w:pPr>
      <w:rPr>
        <w:rFonts w:ascii="Arial" w:hAnsi="Arial" w:hint="default"/>
      </w:rPr>
    </w:lvl>
    <w:lvl w:ilvl="4" w:tplc="D194C1D2" w:tentative="1">
      <w:start w:val="1"/>
      <w:numFmt w:val="bullet"/>
      <w:lvlText w:val="•"/>
      <w:lvlJc w:val="left"/>
      <w:pPr>
        <w:tabs>
          <w:tab w:val="num" w:pos="3600"/>
        </w:tabs>
        <w:ind w:left="3600" w:hanging="360"/>
      </w:pPr>
      <w:rPr>
        <w:rFonts w:ascii="Arial" w:hAnsi="Arial" w:hint="default"/>
      </w:rPr>
    </w:lvl>
    <w:lvl w:ilvl="5" w:tplc="17509EA0" w:tentative="1">
      <w:start w:val="1"/>
      <w:numFmt w:val="bullet"/>
      <w:lvlText w:val="•"/>
      <w:lvlJc w:val="left"/>
      <w:pPr>
        <w:tabs>
          <w:tab w:val="num" w:pos="4320"/>
        </w:tabs>
        <w:ind w:left="4320" w:hanging="360"/>
      </w:pPr>
      <w:rPr>
        <w:rFonts w:ascii="Arial" w:hAnsi="Arial" w:hint="default"/>
      </w:rPr>
    </w:lvl>
    <w:lvl w:ilvl="6" w:tplc="01402CE6" w:tentative="1">
      <w:start w:val="1"/>
      <w:numFmt w:val="bullet"/>
      <w:lvlText w:val="•"/>
      <w:lvlJc w:val="left"/>
      <w:pPr>
        <w:tabs>
          <w:tab w:val="num" w:pos="5040"/>
        </w:tabs>
        <w:ind w:left="5040" w:hanging="360"/>
      </w:pPr>
      <w:rPr>
        <w:rFonts w:ascii="Arial" w:hAnsi="Arial" w:hint="default"/>
      </w:rPr>
    </w:lvl>
    <w:lvl w:ilvl="7" w:tplc="BE6AA2A8" w:tentative="1">
      <w:start w:val="1"/>
      <w:numFmt w:val="bullet"/>
      <w:lvlText w:val="•"/>
      <w:lvlJc w:val="left"/>
      <w:pPr>
        <w:tabs>
          <w:tab w:val="num" w:pos="5760"/>
        </w:tabs>
        <w:ind w:left="5760" w:hanging="360"/>
      </w:pPr>
      <w:rPr>
        <w:rFonts w:ascii="Arial" w:hAnsi="Arial" w:hint="default"/>
      </w:rPr>
    </w:lvl>
    <w:lvl w:ilvl="8" w:tplc="B75019E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731"/>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7A2"/>
    <w:rsid w:val="000452F4"/>
    <w:rsid w:val="0005476A"/>
    <w:rsid w:val="000577FB"/>
    <w:rsid w:val="000758D9"/>
    <w:rsid w:val="00097121"/>
    <w:rsid w:val="000B4E33"/>
    <w:rsid w:val="000C14A5"/>
    <w:rsid w:val="000F1C45"/>
    <w:rsid w:val="00142184"/>
    <w:rsid w:val="00150DC4"/>
    <w:rsid w:val="00153A22"/>
    <w:rsid w:val="00154B8B"/>
    <w:rsid w:val="00156A36"/>
    <w:rsid w:val="0017734C"/>
    <w:rsid w:val="001C054F"/>
    <w:rsid w:val="001E1607"/>
    <w:rsid w:val="001F1F98"/>
    <w:rsid w:val="00271830"/>
    <w:rsid w:val="00273B6E"/>
    <w:rsid w:val="00277D5E"/>
    <w:rsid w:val="00291394"/>
    <w:rsid w:val="00292FC4"/>
    <w:rsid w:val="002977FE"/>
    <w:rsid w:val="002B5979"/>
    <w:rsid w:val="002F7EEC"/>
    <w:rsid w:val="00302453"/>
    <w:rsid w:val="00311D00"/>
    <w:rsid w:val="003244E7"/>
    <w:rsid w:val="003513AC"/>
    <w:rsid w:val="00373A50"/>
    <w:rsid w:val="00380776"/>
    <w:rsid w:val="00383BFA"/>
    <w:rsid w:val="003A1A45"/>
    <w:rsid w:val="003B0DE8"/>
    <w:rsid w:val="003C6E36"/>
    <w:rsid w:val="003F0910"/>
    <w:rsid w:val="003F4D12"/>
    <w:rsid w:val="003F757C"/>
    <w:rsid w:val="004051F7"/>
    <w:rsid w:val="00421859"/>
    <w:rsid w:val="00421C40"/>
    <w:rsid w:val="004334B5"/>
    <w:rsid w:val="004463BE"/>
    <w:rsid w:val="004B3889"/>
    <w:rsid w:val="004D1B71"/>
    <w:rsid w:val="004D2CC4"/>
    <w:rsid w:val="004F0216"/>
    <w:rsid w:val="0050630F"/>
    <w:rsid w:val="0051244B"/>
    <w:rsid w:val="005214A0"/>
    <w:rsid w:val="0053143D"/>
    <w:rsid w:val="0054335A"/>
    <w:rsid w:val="00564FF2"/>
    <w:rsid w:val="0056772A"/>
    <w:rsid w:val="00585013"/>
    <w:rsid w:val="005873AD"/>
    <w:rsid w:val="00590894"/>
    <w:rsid w:val="005A6914"/>
    <w:rsid w:val="005B3D87"/>
    <w:rsid w:val="005D77CF"/>
    <w:rsid w:val="006147D2"/>
    <w:rsid w:val="00614F65"/>
    <w:rsid w:val="00660074"/>
    <w:rsid w:val="0066181E"/>
    <w:rsid w:val="006778D5"/>
    <w:rsid w:val="006B723C"/>
    <w:rsid w:val="006C325C"/>
    <w:rsid w:val="006D7305"/>
    <w:rsid w:val="006E61A1"/>
    <w:rsid w:val="00703E60"/>
    <w:rsid w:val="00724C11"/>
    <w:rsid w:val="00731C0D"/>
    <w:rsid w:val="007343F5"/>
    <w:rsid w:val="007374FE"/>
    <w:rsid w:val="00744562"/>
    <w:rsid w:val="007574DC"/>
    <w:rsid w:val="007603A8"/>
    <w:rsid w:val="007674AE"/>
    <w:rsid w:val="00783D71"/>
    <w:rsid w:val="00791AB7"/>
    <w:rsid w:val="007C2FBE"/>
    <w:rsid w:val="007D043C"/>
    <w:rsid w:val="007D2E5A"/>
    <w:rsid w:val="00826B2B"/>
    <w:rsid w:val="00832067"/>
    <w:rsid w:val="00840BBD"/>
    <w:rsid w:val="00842F3E"/>
    <w:rsid w:val="00875485"/>
    <w:rsid w:val="00876CCA"/>
    <w:rsid w:val="00896575"/>
    <w:rsid w:val="008A5B56"/>
    <w:rsid w:val="008B28D7"/>
    <w:rsid w:val="008C7DAF"/>
    <w:rsid w:val="00935B54"/>
    <w:rsid w:val="0093735E"/>
    <w:rsid w:val="00941801"/>
    <w:rsid w:val="00956900"/>
    <w:rsid w:val="00964A16"/>
    <w:rsid w:val="009749F1"/>
    <w:rsid w:val="009804C6"/>
    <w:rsid w:val="009834C9"/>
    <w:rsid w:val="00993A5D"/>
    <w:rsid w:val="00996107"/>
    <w:rsid w:val="009A3A8D"/>
    <w:rsid w:val="009D2F70"/>
    <w:rsid w:val="00A11525"/>
    <w:rsid w:val="00A34AE9"/>
    <w:rsid w:val="00A34D14"/>
    <w:rsid w:val="00A4392B"/>
    <w:rsid w:val="00A5278F"/>
    <w:rsid w:val="00A62BA4"/>
    <w:rsid w:val="00A65361"/>
    <w:rsid w:val="00A72571"/>
    <w:rsid w:val="00A74862"/>
    <w:rsid w:val="00B27C55"/>
    <w:rsid w:val="00B27DBB"/>
    <w:rsid w:val="00B374C9"/>
    <w:rsid w:val="00B377A2"/>
    <w:rsid w:val="00B51821"/>
    <w:rsid w:val="00B65B12"/>
    <w:rsid w:val="00B66612"/>
    <w:rsid w:val="00B7472A"/>
    <w:rsid w:val="00BC2333"/>
    <w:rsid w:val="00BE472D"/>
    <w:rsid w:val="00C30D69"/>
    <w:rsid w:val="00C41966"/>
    <w:rsid w:val="00C466AF"/>
    <w:rsid w:val="00C63173"/>
    <w:rsid w:val="00C65215"/>
    <w:rsid w:val="00C7528B"/>
    <w:rsid w:val="00CC7139"/>
    <w:rsid w:val="00CF7F36"/>
    <w:rsid w:val="00D072C9"/>
    <w:rsid w:val="00D16400"/>
    <w:rsid w:val="00D360B8"/>
    <w:rsid w:val="00D423D1"/>
    <w:rsid w:val="00D4759A"/>
    <w:rsid w:val="00D605BF"/>
    <w:rsid w:val="00D77249"/>
    <w:rsid w:val="00D9749B"/>
    <w:rsid w:val="00DB267A"/>
    <w:rsid w:val="00DE2266"/>
    <w:rsid w:val="00E14029"/>
    <w:rsid w:val="00E2191A"/>
    <w:rsid w:val="00E3245B"/>
    <w:rsid w:val="00E40BD3"/>
    <w:rsid w:val="00E43915"/>
    <w:rsid w:val="00E47CB1"/>
    <w:rsid w:val="00E55137"/>
    <w:rsid w:val="00E63B72"/>
    <w:rsid w:val="00E64333"/>
    <w:rsid w:val="00E745CE"/>
    <w:rsid w:val="00E81A8B"/>
    <w:rsid w:val="00E963C9"/>
    <w:rsid w:val="00EA446F"/>
    <w:rsid w:val="00EA7111"/>
    <w:rsid w:val="00EB4981"/>
    <w:rsid w:val="00ED16B7"/>
    <w:rsid w:val="00ED5188"/>
    <w:rsid w:val="00EF4FE5"/>
    <w:rsid w:val="00F16FF7"/>
    <w:rsid w:val="00F75C8D"/>
    <w:rsid w:val="00FA119B"/>
    <w:rsid w:val="00FA45FB"/>
    <w:rsid w:val="00FB0758"/>
    <w:rsid w:val="00FD5B8C"/>
    <w:rsid w:val="00FD6C5D"/>
    <w:rsid w:val="00FF4D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285BD3"/>
  <w15:chartTrackingRefBased/>
  <w15:docId w15:val="{3C51E1D2-4825-4A8A-8C41-A7B5D12E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16400"/>
    <w:pPr>
      <w:tabs>
        <w:tab w:val="center" w:pos="4680"/>
        <w:tab w:val="right" w:pos="9360"/>
      </w:tabs>
    </w:pPr>
  </w:style>
  <w:style w:type="paragraph" w:styleId="BalloonText">
    <w:name w:val="Balloon Text"/>
    <w:basedOn w:val="Normal"/>
    <w:semiHidden/>
    <w:rsid w:val="00731C0D"/>
    <w:rPr>
      <w:rFonts w:ascii="Tahoma" w:hAnsi="Tahoma" w:cs="Tahoma"/>
      <w:sz w:val="16"/>
      <w:szCs w:val="16"/>
    </w:rPr>
  </w:style>
  <w:style w:type="character" w:styleId="Hyperlink">
    <w:name w:val="Hyperlink"/>
    <w:rsid w:val="00373A50"/>
    <w:rPr>
      <w:color w:val="0000FF"/>
      <w:u w:val="single"/>
    </w:rPr>
  </w:style>
  <w:style w:type="character" w:styleId="CommentReference">
    <w:name w:val="annotation reference"/>
    <w:rsid w:val="00744562"/>
    <w:rPr>
      <w:sz w:val="16"/>
      <w:szCs w:val="16"/>
    </w:rPr>
  </w:style>
  <w:style w:type="paragraph" w:styleId="CommentText">
    <w:name w:val="annotation text"/>
    <w:basedOn w:val="Normal"/>
    <w:link w:val="CommentTextChar"/>
    <w:rsid w:val="00744562"/>
  </w:style>
  <w:style w:type="character" w:customStyle="1" w:styleId="CommentTextChar">
    <w:name w:val="Comment Text Char"/>
    <w:basedOn w:val="DefaultParagraphFont"/>
    <w:link w:val="CommentText"/>
    <w:rsid w:val="00744562"/>
  </w:style>
  <w:style w:type="paragraph" w:styleId="CommentSubject">
    <w:name w:val="annotation subject"/>
    <w:basedOn w:val="CommentText"/>
    <w:next w:val="CommentText"/>
    <w:link w:val="CommentSubjectChar"/>
    <w:rsid w:val="00744562"/>
    <w:rPr>
      <w:b/>
      <w:bCs/>
    </w:rPr>
  </w:style>
  <w:style w:type="character" w:customStyle="1" w:styleId="CommentSubjectChar">
    <w:name w:val="Comment Subject Char"/>
    <w:link w:val="CommentSubject"/>
    <w:rsid w:val="00744562"/>
    <w:rPr>
      <w:b/>
      <w:bCs/>
    </w:rPr>
  </w:style>
  <w:style w:type="paragraph" w:styleId="ListParagraph">
    <w:name w:val="List Paragraph"/>
    <w:basedOn w:val="Normal"/>
    <w:uiPriority w:val="34"/>
    <w:qFormat/>
    <w:rsid w:val="00DB267A"/>
    <w:pPr>
      <w:spacing w:after="240" w:line="360" w:lineRule="auto"/>
      <w:ind w:left="720"/>
      <w:contextualSpacing/>
    </w:pPr>
    <w:rPr>
      <w:rFonts w:ascii="Calibri" w:hAnsi="Calibri"/>
      <w:sz w:val="22"/>
      <w:szCs w:val="24"/>
    </w:rPr>
  </w:style>
  <w:style w:type="character" w:styleId="FootnoteReference">
    <w:name w:val="footnote reference"/>
    <w:rsid w:val="00DB267A"/>
    <w:rPr>
      <w:vertAlign w:val="superscript"/>
    </w:rPr>
  </w:style>
  <w:style w:type="paragraph" w:styleId="FootnoteText">
    <w:name w:val="footnote text"/>
    <w:basedOn w:val="Normal"/>
    <w:link w:val="FootnoteTextChar"/>
    <w:rsid w:val="00DB267A"/>
    <w:pPr>
      <w:spacing w:after="240" w:line="360" w:lineRule="auto"/>
    </w:pPr>
    <w:rPr>
      <w:rFonts w:ascii="Calibri" w:hAnsi="Calibri"/>
      <w:szCs w:val="24"/>
    </w:rPr>
  </w:style>
  <w:style w:type="character" w:customStyle="1" w:styleId="FootnoteTextChar">
    <w:name w:val="Footnote Text Char"/>
    <w:link w:val="FootnoteText"/>
    <w:rsid w:val="00DB267A"/>
    <w:rPr>
      <w:rFonts w:ascii="Calibri" w:hAnsi="Calibri"/>
      <w:szCs w:val="24"/>
    </w:rPr>
  </w:style>
  <w:style w:type="paragraph" w:styleId="Footer">
    <w:name w:val="footer"/>
    <w:basedOn w:val="Normal"/>
    <w:link w:val="FooterChar"/>
    <w:rsid w:val="0005476A"/>
    <w:pPr>
      <w:tabs>
        <w:tab w:val="center" w:pos="4680"/>
        <w:tab w:val="right" w:pos="9360"/>
      </w:tabs>
    </w:pPr>
  </w:style>
  <w:style w:type="character" w:customStyle="1" w:styleId="FooterChar">
    <w:name w:val="Footer Char"/>
    <w:basedOn w:val="DefaultParagraphFont"/>
    <w:link w:val="Footer"/>
    <w:rsid w:val="0005476A"/>
  </w:style>
  <w:style w:type="character" w:customStyle="1" w:styleId="UnresolvedMention1">
    <w:name w:val="Unresolved Mention1"/>
    <w:basedOn w:val="DefaultParagraphFont"/>
    <w:uiPriority w:val="99"/>
    <w:semiHidden/>
    <w:unhideWhenUsed/>
    <w:rsid w:val="00C41966"/>
    <w:rPr>
      <w:color w:val="605E5C"/>
      <w:shd w:val="clear" w:color="auto" w:fill="E1DFDD"/>
    </w:rPr>
  </w:style>
  <w:style w:type="character" w:customStyle="1" w:styleId="HeaderChar">
    <w:name w:val="Header Char"/>
    <w:basedOn w:val="DefaultParagraphFont"/>
    <w:link w:val="Header"/>
    <w:rsid w:val="00D16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652029">
      <w:bodyDiv w:val="1"/>
      <w:marLeft w:val="0"/>
      <w:marRight w:val="0"/>
      <w:marTop w:val="0"/>
      <w:marBottom w:val="0"/>
      <w:divBdr>
        <w:top w:val="none" w:sz="0" w:space="0" w:color="auto"/>
        <w:left w:val="none" w:sz="0" w:space="0" w:color="auto"/>
        <w:bottom w:val="none" w:sz="0" w:space="0" w:color="auto"/>
        <w:right w:val="none" w:sz="0" w:space="0" w:color="auto"/>
      </w:divBdr>
      <w:divsChild>
        <w:div w:id="542137542">
          <w:marLeft w:val="360"/>
          <w:marRight w:val="0"/>
          <w:marTop w:val="240"/>
          <w:marBottom w:val="120"/>
          <w:divBdr>
            <w:top w:val="none" w:sz="0" w:space="0" w:color="auto"/>
            <w:left w:val="none" w:sz="0" w:space="0" w:color="auto"/>
            <w:bottom w:val="none" w:sz="0" w:space="0" w:color="auto"/>
            <w:right w:val="none" w:sz="0" w:space="0" w:color="auto"/>
          </w:divBdr>
        </w:div>
        <w:div w:id="1237671077">
          <w:marLeft w:val="360"/>
          <w:marRight w:val="0"/>
          <w:marTop w:val="240"/>
          <w:marBottom w:val="120"/>
          <w:divBdr>
            <w:top w:val="none" w:sz="0" w:space="0" w:color="auto"/>
            <w:left w:val="none" w:sz="0" w:space="0" w:color="auto"/>
            <w:bottom w:val="none" w:sz="0" w:space="0" w:color="auto"/>
            <w:right w:val="none" w:sz="0" w:space="0" w:color="auto"/>
          </w:divBdr>
        </w:div>
      </w:divsChild>
    </w:div>
    <w:div w:id="1153958253">
      <w:bodyDiv w:val="1"/>
      <w:marLeft w:val="0"/>
      <w:marRight w:val="0"/>
      <w:marTop w:val="0"/>
      <w:marBottom w:val="0"/>
      <w:divBdr>
        <w:top w:val="none" w:sz="0" w:space="0" w:color="auto"/>
        <w:left w:val="none" w:sz="0" w:space="0" w:color="auto"/>
        <w:bottom w:val="none" w:sz="0" w:space="0" w:color="auto"/>
        <w:right w:val="none" w:sz="0" w:space="0" w:color="auto"/>
      </w:divBdr>
      <w:divsChild>
        <w:div w:id="741954621">
          <w:marLeft w:val="360"/>
          <w:marRight w:val="0"/>
          <w:marTop w:val="240"/>
          <w:marBottom w:val="120"/>
          <w:divBdr>
            <w:top w:val="none" w:sz="0" w:space="0" w:color="auto"/>
            <w:left w:val="none" w:sz="0" w:space="0" w:color="auto"/>
            <w:bottom w:val="none" w:sz="0" w:space="0" w:color="auto"/>
            <w:right w:val="none" w:sz="0" w:space="0" w:color="auto"/>
          </w:divBdr>
        </w:div>
      </w:divsChild>
    </w:div>
    <w:div w:id="1336883087">
      <w:bodyDiv w:val="1"/>
      <w:marLeft w:val="0"/>
      <w:marRight w:val="0"/>
      <w:marTop w:val="0"/>
      <w:marBottom w:val="0"/>
      <w:divBdr>
        <w:top w:val="none" w:sz="0" w:space="0" w:color="auto"/>
        <w:left w:val="none" w:sz="0" w:space="0" w:color="auto"/>
        <w:bottom w:val="none" w:sz="0" w:space="0" w:color="auto"/>
        <w:right w:val="none" w:sz="0" w:space="0" w:color="auto"/>
      </w:divBdr>
      <w:divsChild>
        <w:div w:id="1067872713">
          <w:marLeft w:val="360"/>
          <w:marRight w:val="0"/>
          <w:marTop w:val="240"/>
          <w:marBottom w:val="120"/>
          <w:divBdr>
            <w:top w:val="none" w:sz="0" w:space="0" w:color="auto"/>
            <w:left w:val="none" w:sz="0" w:space="0" w:color="auto"/>
            <w:bottom w:val="none" w:sz="0" w:space="0" w:color="auto"/>
            <w:right w:val="none" w:sz="0" w:space="0" w:color="auto"/>
          </w:divBdr>
        </w:div>
        <w:div w:id="1374501542">
          <w:marLeft w:val="360"/>
          <w:marRight w:val="0"/>
          <w:marTop w:val="240"/>
          <w:marBottom w:val="120"/>
          <w:divBdr>
            <w:top w:val="none" w:sz="0" w:space="0" w:color="auto"/>
            <w:left w:val="none" w:sz="0" w:space="0" w:color="auto"/>
            <w:bottom w:val="none" w:sz="0" w:space="0" w:color="auto"/>
            <w:right w:val="none" w:sz="0" w:space="0" w:color="auto"/>
          </w:divBdr>
        </w:div>
      </w:divsChild>
    </w:div>
    <w:div w:id="1585919985">
      <w:bodyDiv w:val="1"/>
      <w:marLeft w:val="0"/>
      <w:marRight w:val="0"/>
      <w:marTop w:val="0"/>
      <w:marBottom w:val="0"/>
      <w:divBdr>
        <w:top w:val="none" w:sz="0" w:space="0" w:color="auto"/>
        <w:left w:val="none" w:sz="0" w:space="0" w:color="auto"/>
        <w:bottom w:val="none" w:sz="0" w:space="0" w:color="auto"/>
        <w:right w:val="none" w:sz="0" w:space="0" w:color="auto"/>
      </w:divBdr>
      <w:divsChild>
        <w:div w:id="1897469229">
          <w:marLeft w:val="360"/>
          <w:marRight w:val="0"/>
          <w:marTop w:val="240"/>
          <w:marBottom w:val="120"/>
          <w:divBdr>
            <w:top w:val="none" w:sz="0" w:space="0" w:color="auto"/>
            <w:left w:val="none" w:sz="0" w:space="0" w:color="auto"/>
            <w:bottom w:val="none" w:sz="0" w:space="0" w:color="auto"/>
            <w:right w:val="none" w:sz="0" w:space="0" w:color="auto"/>
          </w:divBdr>
        </w:div>
        <w:div w:id="2063674883">
          <w:marLeft w:val="360"/>
          <w:marRight w:val="0"/>
          <w:marTop w:val="24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tkins@spp.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B4DAC-D3E9-489B-94A9-535DCCDD826C}">
  <ds:schemaRefs>
    <ds:schemaRef ds:uri="http://schemas.openxmlformats.org/officeDocument/2006/bibliography"/>
  </ds:schemaRefs>
</ds:datastoreItem>
</file>

<file path=docMetadata/LabelInfo.xml><?xml version="1.0" encoding="utf-8"?>
<clbl:labelList xmlns:clbl="http://schemas.microsoft.com/office/2020/mipLabelMetadata">
  <clbl:label id="{e9692091-66b8-45b5-9087-387cbcef98ca}" enabled="1" method="Privileged" siteId="{3230926a-71b7-4370-a137-197badc066a2}"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1812</Words>
  <Characters>10332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Tenneco Energy</Company>
  <LinksUpToDate>false</LinksUpToDate>
  <CharactersWithSpaces>12120</CharactersWithSpaces>
  <SharedDoc>false</SharedDoc>
  <HLinks>
    <vt:vector size="6" baseType="variant">
      <vt:variant>
        <vt:i4>720959</vt:i4>
      </vt:variant>
      <vt:variant>
        <vt:i4>0</vt:i4>
      </vt:variant>
      <vt:variant>
        <vt:i4>0</vt:i4>
      </vt:variant>
      <vt:variant>
        <vt:i4>5</vt:i4>
      </vt:variant>
      <vt:variant>
        <vt:lpwstr>mailto:awatkins@spp.org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subject/>
  <dc:creator>JoAnn Garcia</dc:creator>
  <cp:keywords/>
  <dc:description/>
  <cp:lastModifiedBy>Veronica Thomason</cp:lastModifiedBy>
  <cp:revision>4</cp:revision>
  <cp:lastPrinted>2006-01-17T19:38:00Z</cp:lastPrinted>
  <dcterms:created xsi:type="dcterms:W3CDTF">2024-10-01T16:11:00Z</dcterms:created>
  <dcterms:modified xsi:type="dcterms:W3CDTF">2024-10-03T15:01:00Z</dcterms:modified>
</cp:coreProperties>
</file>